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C6" w:rsidRDefault="00E524C6" w:rsidP="00851EE2">
      <w:pPr>
        <w:spacing w:before="12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México, a </w:t>
      </w:r>
      <w:r w:rsidR="00265A35">
        <w:rPr>
          <w:rFonts w:ascii="ITC Avant Garde" w:hAnsi="ITC Avant Garde"/>
        </w:rPr>
        <w:t xml:space="preserve">veintidós </w:t>
      </w:r>
      <w:r>
        <w:rPr>
          <w:rFonts w:ascii="ITC Avant Garde" w:hAnsi="ITC Avant Garde"/>
        </w:rPr>
        <w:t xml:space="preserve">de agosto de dos mil </w:t>
      </w:r>
      <w:r w:rsidR="00330849">
        <w:rPr>
          <w:rFonts w:ascii="ITC Avant Garde" w:hAnsi="ITC Avant Garde"/>
        </w:rPr>
        <w:t>dieciocho. -</w:t>
      </w:r>
      <w:r>
        <w:rPr>
          <w:rFonts w:ascii="ITC Avant Garde" w:hAnsi="ITC Avant Garde"/>
        </w:rPr>
        <w:t xml:space="preserve"> Visto el expediente AI/DC-003-2018, el Pleno de este Instituto Federal de Telecomunicaciones, en la </w:t>
      </w:r>
      <w:r w:rsidR="00B576A9" w:rsidRPr="00B576A9">
        <w:rPr>
          <w:rFonts w:ascii="ITC Avant Garde" w:hAnsi="ITC Avant Garde"/>
        </w:rPr>
        <w:t>XXV</w:t>
      </w:r>
      <w:r>
        <w:rPr>
          <w:rFonts w:ascii="ITC Avant Garde" w:hAnsi="ITC Avant Garde"/>
        </w:rPr>
        <w:t xml:space="preserve"> sesión ordinaria celebrada el </w:t>
      </w:r>
      <w:r w:rsidR="00265A35">
        <w:rPr>
          <w:rFonts w:ascii="ITC Avant Garde" w:hAnsi="ITC Avant Garde"/>
        </w:rPr>
        <w:t>día de hoy</w:t>
      </w:r>
      <w:r>
        <w:rPr>
          <w:rFonts w:ascii="ITC Avant Garde" w:hAnsi="ITC Avant Garde"/>
        </w:rPr>
        <w:t xml:space="preserve">, emite </w:t>
      </w:r>
      <w:r w:rsidR="00AA073A">
        <w:rPr>
          <w:rFonts w:ascii="ITC Avant Garde" w:hAnsi="ITC Avant Garde"/>
        </w:rPr>
        <w:t>la</w:t>
      </w:r>
      <w:r>
        <w:rPr>
          <w:rFonts w:ascii="ITC Avant Garde" w:hAnsi="ITC Avant Garde"/>
        </w:rPr>
        <w:t xml:space="preserve"> presente </w:t>
      </w:r>
      <w:r w:rsidR="00AA073A">
        <w:rPr>
          <w:rFonts w:ascii="ITC Avant Garde" w:hAnsi="ITC Avant Garde"/>
        </w:rPr>
        <w:t>resolución</w:t>
      </w:r>
      <w:r>
        <w:rPr>
          <w:rFonts w:ascii="ITC Avant Garde" w:hAnsi="ITC Avant Garde"/>
        </w:rPr>
        <w:t xml:space="preserve"> en atención a los siguientes </w:t>
      </w:r>
      <w:r w:rsidR="001F0989">
        <w:rPr>
          <w:rFonts w:ascii="ITC Avant Garde" w:hAnsi="ITC Avant Garde"/>
        </w:rPr>
        <w:t>a</w:t>
      </w:r>
      <w:r>
        <w:rPr>
          <w:rFonts w:ascii="ITC Avant Garde" w:hAnsi="ITC Avant Garde"/>
        </w:rPr>
        <w:t>ntecedentes</w:t>
      </w:r>
      <w:r w:rsidR="00AA073A">
        <w:rPr>
          <w:rFonts w:ascii="ITC Avant Garde" w:hAnsi="ITC Avant Garde"/>
        </w:rPr>
        <w:t xml:space="preserve"> y</w:t>
      </w:r>
      <w:r>
        <w:rPr>
          <w:rFonts w:ascii="ITC Avant Garde" w:hAnsi="ITC Avant Garde"/>
        </w:rPr>
        <w:t xml:space="preserve"> </w:t>
      </w:r>
      <w:r w:rsidR="001F0989">
        <w:rPr>
          <w:rFonts w:ascii="ITC Avant Garde" w:hAnsi="ITC Avant Garde"/>
        </w:rPr>
        <w:t>c</w:t>
      </w:r>
      <w:r>
        <w:rPr>
          <w:rFonts w:ascii="ITC Avant Garde" w:hAnsi="ITC Avant Garde"/>
        </w:rPr>
        <w:t>onsideraciones</w:t>
      </w:r>
      <w:r w:rsidR="001F0989">
        <w:rPr>
          <w:rFonts w:ascii="ITC Avant Garde" w:hAnsi="ITC Avant Garde"/>
        </w:rPr>
        <w:t xml:space="preserve"> de derecho</w:t>
      </w:r>
      <w:r>
        <w:rPr>
          <w:rFonts w:ascii="ITC Avant Garde" w:hAnsi="ITC Avant Garde"/>
        </w:rPr>
        <w:t>.</w:t>
      </w:r>
    </w:p>
    <w:p w:rsidR="00E524C6" w:rsidRDefault="00E524C6" w:rsidP="00534E7F">
      <w:pPr>
        <w:spacing w:before="24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 efecto de brindar una ágil lectura de</w:t>
      </w:r>
      <w:r w:rsidR="001F0989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l</w:t>
      </w:r>
      <w:r w:rsidR="001F0989">
        <w:rPr>
          <w:rFonts w:ascii="ITC Avant Garde" w:hAnsi="ITC Avant Garde"/>
        </w:rPr>
        <w:t>a</w:t>
      </w:r>
      <w:r>
        <w:rPr>
          <w:rFonts w:ascii="ITC Avant Garde" w:hAnsi="ITC Avant Garde"/>
        </w:rPr>
        <w:t xml:space="preserve"> </w:t>
      </w:r>
      <w:r w:rsidR="001F0989">
        <w:rPr>
          <w:rFonts w:ascii="ITC Avant Garde" w:hAnsi="ITC Avant Garde"/>
        </w:rPr>
        <w:t>resolución</w:t>
      </w:r>
      <w:r>
        <w:rPr>
          <w:rFonts w:ascii="ITC Avant Garde" w:hAnsi="ITC Avant Garde"/>
        </w:rPr>
        <w:t>, se hará uso de los siguientes acrónimos:</w:t>
      </w:r>
    </w:p>
    <w:tbl>
      <w:tblPr>
        <w:tblStyle w:val="Tablaconcuadrcula"/>
        <w:tblW w:w="8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crónimos"/>
        <w:tblDescription w:val="En una tabla de 2 columnas se proporciona un listado con los acrónimos más frecuentes en el documento."/>
      </w:tblPr>
      <w:tblGrid>
        <w:gridCol w:w="1766"/>
        <w:gridCol w:w="7175"/>
      </w:tblGrid>
      <w:tr w:rsidR="00DA231D" w:rsidRPr="00661995" w:rsidTr="00764A0B">
        <w:trPr>
          <w:tblHeader/>
        </w:trPr>
        <w:tc>
          <w:tcPr>
            <w:tcW w:w="1766" w:type="dxa"/>
            <w:vAlign w:val="center"/>
          </w:tcPr>
          <w:p w:rsidR="00DA231D" w:rsidRPr="001039C0" w:rsidRDefault="00DA231D" w:rsidP="00534E7F">
            <w:pPr>
              <w:rPr>
                <w:rFonts w:ascii="ITC Avant Garde" w:eastAsia="Calibri" w:hAnsi="ITC Avant Garde" w:cs="Calibri"/>
                <w:smallCaps/>
                <w:sz w:val="16"/>
                <w:szCs w:val="16"/>
              </w:rPr>
            </w:pPr>
            <w:r>
              <w:rPr>
                <w:rFonts w:ascii="ITC Avant Garde" w:eastAsia="Calibri" w:hAnsi="ITC Avant Garde" w:cs="Calibri"/>
                <w:smallCaps/>
                <w:sz w:val="16"/>
                <w:szCs w:val="16"/>
              </w:rPr>
              <w:t xml:space="preserve">Artículo </w:t>
            </w:r>
            <w:r w:rsidRPr="00661995">
              <w:rPr>
                <w:rFonts w:ascii="ITC Avant Garde" w:eastAsia="Calibri" w:hAnsi="ITC Avant Garde" w:cs="Calibri"/>
                <w:smallCaps/>
                <w:sz w:val="16"/>
                <w:szCs w:val="16"/>
              </w:rPr>
              <w:t>Noveno Transitorio</w:t>
            </w:r>
          </w:p>
        </w:tc>
        <w:tc>
          <w:tcPr>
            <w:tcW w:w="7175" w:type="dxa"/>
            <w:vAlign w:val="center"/>
          </w:tcPr>
          <w:p w:rsidR="00DA231D" w:rsidRDefault="00DA231D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  <w:r w:rsidRPr="00661995">
              <w:rPr>
                <w:rFonts w:ascii="ITC Avant Garde" w:eastAsia="Calibri" w:hAnsi="ITC Avant Garde" w:cs="Calibri"/>
                <w:sz w:val="16"/>
                <w:szCs w:val="16"/>
              </w:rPr>
              <w:t>Artículo Noveno Transitorio de</w:t>
            </w:r>
            <w:r>
              <w:rPr>
                <w:rFonts w:ascii="ITC Avant Garde" w:eastAsia="Calibri" w:hAnsi="ITC Avant Garde" w:cs="Calibri"/>
                <w:sz w:val="16"/>
                <w:szCs w:val="16"/>
              </w:rPr>
              <w:t xml:space="preserve">l </w:t>
            </w:r>
            <w:r w:rsidRPr="00D50CE5">
              <w:rPr>
                <w:rFonts w:ascii="ITC Avant Garde" w:eastAsia="Calibri" w:hAnsi="ITC Avant Garde" w:cs="Calibri"/>
                <w:i/>
                <w:sz w:val="16"/>
                <w:szCs w:val="16"/>
              </w:rPr>
              <w:t xml:space="preserve">Decreto por el que se expiden la Ley Federal de Telecomunicaciones y Radiodifusión, y la Ley del Sistema Público de Radiodifusión del Estado Mexicano; y se reforman, adicionan y derogan diversas disposiciones en materia de telecomunicaciones y radiodifusión, </w:t>
            </w:r>
            <w:r w:rsidRPr="00D50CE5">
              <w:rPr>
                <w:rFonts w:ascii="ITC Avant Garde" w:eastAsia="Calibri" w:hAnsi="ITC Avant Garde" w:cs="Calibri"/>
                <w:sz w:val="16"/>
                <w:szCs w:val="16"/>
              </w:rPr>
              <w:t>publicado en el D</w:t>
            </w:r>
            <w:r w:rsidR="00B126F5">
              <w:rPr>
                <w:rFonts w:ascii="ITC Avant Garde" w:eastAsia="Calibri" w:hAnsi="ITC Avant Garde" w:cs="Calibri"/>
                <w:sz w:val="16"/>
                <w:szCs w:val="16"/>
              </w:rPr>
              <w:t xml:space="preserve">iario </w:t>
            </w:r>
            <w:r w:rsidRPr="00D50CE5">
              <w:rPr>
                <w:rFonts w:ascii="ITC Avant Garde" w:eastAsia="Calibri" w:hAnsi="ITC Avant Garde" w:cs="Calibri"/>
                <w:sz w:val="16"/>
                <w:szCs w:val="16"/>
              </w:rPr>
              <w:t>O</w:t>
            </w:r>
            <w:r w:rsidR="00B126F5">
              <w:rPr>
                <w:rFonts w:ascii="ITC Avant Garde" w:eastAsia="Calibri" w:hAnsi="ITC Avant Garde" w:cs="Calibri"/>
                <w:sz w:val="16"/>
                <w:szCs w:val="16"/>
              </w:rPr>
              <w:t xml:space="preserve">ficial de la </w:t>
            </w:r>
            <w:r w:rsidRPr="00D50CE5">
              <w:rPr>
                <w:rFonts w:ascii="ITC Avant Garde" w:eastAsia="Calibri" w:hAnsi="ITC Avant Garde" w:cs="Calibri"/>
                <w:sz w:val="16"/>
                <w:szCs w:val="16"/>
              </w:rPr>
              <w:t>F</w:t>
            </w:r>
            <w:r w:rsidR="00B126F5">
              <w:rPr>
                <w:rFonts w:ascii="ITC Avant Garde" w:eastAsia="Calibri" w:hAnsi="ITC Avant Garde" w:cs="Calibri"/>
                <w:sz w:val="16"/>
                <w:szCs w:val="16"/>
              </w:rPr>
              <w:t>ederación</w:t>
            </w:r>
            <w:r w:rsidRPr="00D50CE5">
              <w:rPr>
                <w:rFonts w:ascii="ITC Avant Garde" w:eastAsia="Calibri" w:hAnsi="ITC Avant Garde" w:cs="Calibri"/>
                <w:sz w:val="16"/>
                <w:szCs w:val="16"/>
              </w:rPr>
              <w:t xml:space="preserve"> el catorce de julio de dos mil catorce.</w:t>
            </w:r>
          </w:p>
          <w:p w:rsidR="00DA231D" w:rsidRPr="001039C0" w:rsidRDefault="00DA231D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1039C0" w:rsidRPr="00661995" w:rsidTr="00A16FC3">
        <w:tc>
          <w:tcPr>
            <w:tcW w:w="1766" w:type="dxa"/>
            <w:vAlign w:val="center"/>
          </w:tcPr>
          <w:p w:rsidR="001039C0" w:rsidRPr="001039C0" w:rsidRDefault="001039C0" w:rsidP="00534E7F">
            <w:pPr>
              <w:jc w:val="both"/>
              <w:rPr>
                <w:rFonts w:ascii="ITC Avant Garde" w:eastAsia="Calibri" w:hAnsi="ITC Avant Garde" w:cs="Calibri"/>
                <w:smallCaps/>
                <w:sz w:val="16"/>
                <w:szCs w:val="16"/>
              </w:rPr>
            </w:pPr>
            <w:r w:rsidRPr="001039C0">
              <w:rPr>
                <w:rFonts w:ascii="ITC Avant Garde" w:eastAsia="Calibri" w:hAnsi="ITC Avant Garde" w:cs="Calibri"/>
                <w:smallCaps/>
                <w:sz w:val="16"/>
                <w:szCs w:val="16"/>
              </w:rPr>
              <w:t>ATC</w:t>
            </w:r>
          </w:p>
        </w:tc>
        <w:tc>
          <w:tcPr>
            <w:tcW w:w="7175" w:type="dxa"/>
            <w:vAlign w:val="center"/>
          </w:tcPr>
          <w:p w:rsidR="001039C0" w:rsidRDefault="001039C0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  <w:r w:rsidRPr="001039C0">
              <w:rPr>
                <w:rFonts w:ascii="ITC Avant Garde" w:eastAsia="Calibri" w:hAnsi="ITC Avant Garde" w:cs="Calibri"/>
                <w:sz w:val="16"/>
                <w:szCs w:val="16"/>
              </w:rPr>
              <w:t xml:space="preserve">GIE </w:t>
            </w:r>
            <w:r w:rsidR="00BC3891">
              <w:rPr>
                <w:rFonts w:ascii="ITC Avant Garde" w:eastAsia="Calibri" w:hAnsi="ITC Avant Garde" w:cs="Calibri"/>
                <w:sz w:val="16"/>
                <w:szCs w:val="16"/>
              </w:rPr>
              <w:t>encabezado</w:t>
            </w:r>
            <w:r w:rsidRPr="001039C0">
              <w:rPr>
                <w:rFonts w:ascii="ITC Avant Garde" w:eastAsia="Calibri" w:hAnsi="ITC Avant Garde" w:cs="Calibri"/>
                <w:sz w:val="16"/>
                <w:szCs w:val="16"/>
              </w:rPr>
              <w:t xml:space="preserve"> por American Tower Corporation y </w:t>
            </w:r>
            <w:r w:rsidR="00CD588A">
              <w:rPr>
                <w:rFonts w:ascii="ITC Avant Garde" w:eastAsia="Calibri" w:hAnsi="ITC Avant Garde" w:cs="Calibri"/>
                <w:sz w:val="16"/>
                <w:szCs w:val="16"/>
              </w:rPr>
              <w:t xml:space="preserve">conformado por </w:t>
            </w:r>
            <w:r w:rsidRPr="001039C0">
              <w:rPr>
                <w:rFonts w:ascii="ITC Avant Garde" w:eastAsia="Calibri" w:hAnsi="ITC Avant Garde" w:cs="Calibri"/>
                <w:sz w:val="16"/>
                <w:szCs w:val="16"/>
              </w:rPr>
              <w:t xml:space="preserve">sus subsidiarias </w:t>
            </w:r>
            <w:r w:rsidR="00E216E7" w:rsidRPr="00E216E7">
              <w:rPr>
                <w:rFonts w:ascii="ITC Avant Garde" w:eastAsia="Calibri" w:hAnsi="ITC Avant Garde" w:cs="Calibri"/>
                <w:sz w:val="16"/>
                <w:szCs w:val="16"/>
              </w:rPr>
              <w:t xml:space="preserve">MATC Digital, S. de R.L. de C.V., MATC Infraestructura, S. de R.L. de </w:t>
            </w:r>
            <w:r w:rsidR="00E216E7" w:rsidRPr="00BC3891">
              <w:rPr>
                <w:rFonts w:ascii="ITC Avant Garde" w:eastAsia="Calibri" w:hAnsi="ITC Avant Garde" w:cs="Calibri"/>
                <w:sz w:val="16"/>
                <w:szCs w:val="16"/>
              </w:rPr>
              <w:t>C.V</w:t>
            </w:r>
            <w:r w:rsidR="00BC3891" w:rsidRPr="00BC3891">
              <w:rPr>
                <w:rFonts w:ascii="ITC Avant Garde" w:eastAsia="Calibri" w:hAnsi="ITC Avant Garde" w:cs="Calibri"/>
                <w:sz w:val="16"/>
                <w:szCs w:val="16"/>
              </w:rPr>
              <w:t xml:space="preserve">., </w:t>
            </w:r>
            <w:r w:rsidR="00E216E7" w:rsidRPr="00BC3891">
              <w:rPr>
                <w:rFonts w:ascii="ITC Avant Garde" w:eastAsia="Calibri" w:hAnsi="ITC Avant Garde" w:cs="Calibri"/>
                <w:sz w:val="16"/>
                <w:szCs w:val="16"/>
              </w:rPr>
              <w:t>ATC</w:t>
            </w:r>
            <w:r w:rsidR="00E216E7" w:rsidRPr="00E216E7">
              <w:rPr>
                <w:rFonts w:ascii="ITC Avant Garde" w:eastAsia="Calibri" w:hAnsi="ITC Avant Garde" w:cs="Calibri"/>
                <w:sz w:val="16"/>
                <w:szCs w:val="16"/>
              </w:rPr>
              <w:t xml:space="preserve"> Holding Fibra México, S. de R.L. de C.V., CFCA Telecomm, S.A.P.I. de C.V. y Tecnologías Especializadas en Líneas de Conexión Óptica, S.A.P.I. de C.V.</w:t>
            </w:r>
          </w:p>
          <w:p w:rsidR="00DA231D" w:rsidRPr="001039C0" w:rsidRDefault="00DA231D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1039C0" w:rsidRPr="00661995" w:rsidTr="00A16FC3">
        <w:tc>
          <w:tcPr>
            <w:tcW w:w="1766" w:type="dxa"/>
            <w:vAlign w:val="center"/>
          </w:tcPr>
          <w:p w:rsidR="001039C0" w:rsidRPr="001039C0" w:rsidRDefault="001039C0" w:rsidP="00534E7F">
            <w:pPr>
              <w:jc w:val="both"/>
              <w:rPr>
                <w:rFonts w:ascii="ITC Avant Garde" w:eastAsia="Calibri" w:hAnsi="ITC Avant Garde" w:cs="Calibri"/>
                <w:smallCaps/>
                <w:sz w:val="16"/>
                <w:szCs w:val="16"/>
              </w:rPr>
            </w:pPr>
            <w:r>
              <w:rPr>
                <w:rFonts w:ascii="ITC Avant Garde" w:eastAsia="Calibri" w:hAnsi="ITC Avant Garde" w:cs="Calibri"/>
                <w:smallCaps/>
                <w:sz w:val="16"/>
                <w:szCs w:val="16"/>
              </w:rPr>
              <w:t>ATC HFM</w:t>
            </w:r>
          </w:p>
        </w:tc>
        <w:tc>
          <w:tcPr>
            <w:tcW w:w="7175" w:type="dxa"/>
            <w:vAlign w:val="center"/>
          </w:tcPr>
          <w:p w:rsidR="005A46B5" w:rsidRDefault="005A46B5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  <w:p w:rsidR="001039C0" w:rsidRDefault="001039C0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  <w:r>
              <w:rPr>
                <w:rFonts w:ascii="ITC Avant Garde" w:eastAsia="Calibri" w:hAnsi="ITC Avant Garde" w:cs="Calibri"/>
                <w:sz w:val="16"/>
                <w:szCs w:val="16"/>
              </w:rPr>
              <w:t xml:space="preserve">ATC </w:t>
            </w:r>
            <w:r w:rsidRPr="001039C0">
              <w:rPr>
                <w:rFonts w:ascii="ITC Avant Garde" w:eastAsia="Calibri" w:hAnsi="ITC Avant Garde" w:cs="Calibri"/>
                <w:sz w:val="16"/>
                <w:szCs w:val="16"/>
              </w:rPr>
              <w:t>Holding Fibra México, S. de R.L. de C.V.</w:t>
            </w:r>
          </w:p>
          <w:p w:rsidR="00DA231D" w:rsidRPr="001039C0" w:rsidRDefault="00DA231D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1039C0" w:rsidRPr="00661995" w:rsidTr="00A16FC3">
        <w:tc>
          <w:tcPr>
            <w:tcW w:w="1766" w:type="dxa"/>
            <w:vAlign w:val="center"/>
          </w:tcPr>
          <w:p w:rsidR="001039C0" w:rsidRPr="001039C0" w:rsidRDefault="001039C0" w:rsidP="00534E7F">
            <w:pPr>
              <w:jc w:val="both"/>
              <w:rPr>
                <w:rFonts w:ascii="ITC Avant Garde" w:eastAsia="Calibri" w:hAnsi="ITC Avant Garde" w:cs="Calibri"/>
                <w:smallCaps/>
                <w:sz w:val="16"/>
                <w:szCs w:val="16"/>
              </w:rPr>
            </w:pPr>
            <w:r>
              <w:rPr>
                <w:rFonts w:ascii="ITC Avant Garde" w:eastAsia="Calibri" w:hAnsi="ITC Avant Garde" w:cs="Calibri"/>
                <w:smallCaps/>
                <w:sz w:val="16"/>
                <w:szCs w:val="16"/>
              </w:rPr>
              <w:t>ATC MexHold</w:t>
            </w:r>
          </w:p>
        </w:tc>
        <w:tc>
          <w:tcPr>
            <w:tcW w:w="7175" w:type="dxa"/>
            <w:vAlign w:val="center"/>
          </w:tcPr>
          <w:p w:rsidR="005A46B5" w:rsidRDefault="005A46B5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  <w:p w:rsidR="001039C0" w:rsidRDefault="001039C0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  <w:r w:rsidRPr="001039C0">
              <w:rPr>
                <w:rFonts w:ascii="ITC Avant Garde" w:eastAsia="Calibri" w:hAnsi="ITC Avant Garde" w:cs="Calibri"/>
                <w:sz w:val="16"/>
                <w:szCs w:val="16"/>
              </w:rPr>
              <w:t>ATC MexHold, LLC</w:t>
            </w:r>
            <w:r w:rsidR="00491D39">
              <w:rPr>
                <w:rFonts w:ascii="ITC Avant Garde" w:eastAsia="Calibri" w:hAnsi="ITC Avant Garde" w:cs="Calibri"/>
                <w:sz w:val="16"/>
                <w:szCs w:val="16"/>
              </w:rPr>
              <w:t>.</w:t>
            </w:r>
          </w:p>
          <w:p w:rsidR="00DA231D" w:rsidRPr="001039C0" w:rsidRDefault="00DA231D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1039C0" w:rsidRPr="00661995" w:rsidTr="00A16FC3">
        <w:tc>
          <w:tcPr>
            <w:tcW w:w="1766" w:type="dxa"/>
          </w:tcPr>
          <w:p w:rsidR="001039C0" w:rsidRPr="00661995" w:rsidRDefault="001039C0" w:rsidP="00534E7F">
            <w:pPr>
              <w:jc w:val="both"/>
              <w:rPr>
                <w:rFonts w:ascii="ITC Avant Garde" w:eastAsia="Calibri" w:hAnsi="ITC Avant Garde" w:cs="Calibri"/>
                <w:smallCaps/>
                <w:sz w:val="16"/>
                <w:szCs w:val="16"/>
              </w:rPr>
            </w:pPr>
            <w:r>
              <w:rPr>
                <w:rFonts w:ascii="ITC Avant Garde" w:eastAsia="Calibri" w:hAnsi="ITC Avant Garde" w:cs="Calibri"/>
                <w:smallCaps/>
                <w:sz w:val="16"/>
                <w:szCs w:val="16"/>
              </w:rPr>
              <w:t>CFCA Telecomm</w:t>
            </w:r>
            <w:r w:rsidR="00B126F5">
              <w:rPr>
                <w:rFonts w:ascii="ITC Avant Garde" w:eastAsia="Calibri" w:hAnsi="ITC Avant Garde" w:cs="Calibri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7175" w:type="dxa"/>
          </w:tcPr>
          <w:p w:rsidR="001039C0" w:rsidRDefault="000A6E14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  <w:r>
              <w:rPr>
                <w:rFonts w:ascii="ITC Avant Garde" w:eastAsia="Calibri" w:hAnsi="ITC Avant Garde" w:cs="Calibri"/>
                <w:sz w:val="16"/>
                <w:szCs w:val="16"/>
              </w:rPr>
              <w:t>CFCA Telecomm, S.A.P.I. de C.V.</w:t>
            </w:r>
          </w:p>
          <w:p w:rsidR="00DA231D" w:rsidRPr="00661995" w:rsidRDefault="00DA231D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</w:p>
        </w:tc>
      </w:tr>
      <w:tr w:rsidR="001039C0" w:rsidRPr="00661995" w:rsidTr="00A16FC3">
        <w:tc>
          <w:tcPr>
            <w:tcW w:w="1766" w:type="dxa"/>
          </w:tcPr>
          <w:p w:rsidR="001039C0" w:rsidRPr="00CF1981" w:rsidRDefault="001039C0" w:rsidP="00534E7F">
            <w:pPr>
              <w:jc w:val="both"/>
              <w:rPr>
                <w:rFonts w:ascii="ITC Avant Garde" w:eastAsia="Calibri" w:hAnsi="ITC Avant Garde" w:cs="Calibri"/>
                <w:smallCaps/>
                <w:sz w:val="16"/>
                <w:szCs w:val="16"/>
              </w:rPr>
            </w:pPr>
            <w:r w:rsidRPr="00CF1981">
              <w:rPr>
                <w:rFonts w:ascii="ITC Avant Garde" w:eastAsia="Calibri" w:hAnsi="ITC Avant Garde" w:cs="Calibri"/>
                <w:smallCaps/>
                <w:sz w:val="16"/>
                <w:szCs w:val="16"/>
              </w:rPr>
              <w:t>GIE</w:t>
            </w:r>
          </w:p>
        </w:tc>
        <w:tc>
          <w:tcPr>
            <w:tcW w:w="7175" w:type="dxa"/>
          </w:tcPr>
          <w:p w:rsidR="001039C0" w:rsidRDefault="001039C0" w:rsidP="00534E7F">
            <w:pPr>
              <w:jc w:val="both"/>
              <w:rPr>
                <w:rFonts w:ascii="ITC Avant Garde" w:hAnsi="ITC Avant Garde"/>
                <w:sz w:val="16"/>
                <w:szCs w:val="16"/>
              </w:rPr>
            </w:pPr>
            <w:r>
              <w:rPr>
                <w:rFonts w:ascii="ITC Avant Garde" w:hAnsi="ITC Avant Garde"/>
                <w:sz w:val="16"/>
                <w:szCs w:val="16"/>
              </w:rPr>
              <w:t>Grupo de Interés Económico.</w:t>
            </w:r>
          </w:p>
          <w:p w:rsidR="00DA231D" w:rsidRPr="00CF1981" w:rsidRDefault="00DA231D" w:rsidP="00534E7F">
            <w:pPr>
              <w:jc w:val="both"/>
              <w:rPr>
                <w:rFonts w:ascii="ITC Avant Garde" w:hAnsi="ITC Avant Garde"/>
                <w:sz w:val="16"/>
                <w:szCs w:val="16"/>
              </w:rPr>
            </w:pPr>
          </w:p>
        </w:tc>
      </w:tr>
      <w:tr w:rsidR="001039C0" w:rsidRPr="00661995" w:rsidTr="00A16FC3">
        <w:tc>
          <w:tcPr>
            <w:tcW w:w="1766" w:type="dxa"/>
          </w:tcPr>
          <w:p w:rsidR="001039C0" w:rsidRPr="00661995" w:rsidRDefault="001039C0" w:rsidP="00534E7F">
            <w:pPr>
              <w:jc w:val="both"/>
              <w:rPr>
                <w:rFonts w:ascii="ITC Avant Garde" w:hAnsi="ITC Avant Garde"/>
                <w:sz w:val="16"/>
                <w:szCs w:val="16"/>
              </w:rPr>
            </w:pPr>
            <w:r w:rsidRPr="00661995">
              <w:rPr>
                <w:rFonts w:ascii="ITC Avant Garde" w:eastAsia="Calibri" w:hAnsi="ITC Avant Garde" w:cs="Calibri"/>
                <w:smallCaps/>
                <w:sz w:val="16"/>
                <w:szCs w:val="16"/>
              </w:rPr>
              <w:t>Instituto</w:t>
            </w:r>
            <w:r w:rsidR="00AA073A">
              <w:rPr>
                <w:rFonts w:ascii="ITC Avant Garde" w:eastAsia="Calibri" w:hAnsi="ITC Avant Garde" w:cs="Calibri"/>
                <w:smallCaps/>
                <w:sz w:val="16"/>
                <w:szCs w:val="16"/>
              </w:rPr>
              <w:t xml:space="preserve"> o IFT</w:t>
            </w:r>
          </w:p>
        </w:tc>
        <w:tc>
          <w:tcPr>
            <w:tcW w:w="7175" w:type="dxa"/>
          </w:tcPr>
          <w:p w:rsidR="001039C0" w:rsidRDefault="001039C0" w:rsidP="00534E7F">
            <w:pPr>
              <w:jc w:val="both"/>
              <w:rPr>
                <w:rFonts w:ascii="ITC Avant Garde" w:hAnsi="ITC Avant Garde"/>
                <w:sz w:val="16"/>
                <w:szCs w:val="16"/>
              </w:rPr>
            </w:pPr>
            <w:r w:rsidRPr="00661995">
              <w:rPr>
                <w:rFonts w:ascii="ITC Avant Garde" w:hAnsi="ITC Avant Garde"/>
                <w:sz w:val="16"/>
                <w:szCs w:val="16"/>
              </w:rPr>
              <w:t>Instituto Federal de Telecomunicaciones</w:t>
            </w:r>
            <w:r>
              <w:rPr>
                <w:rFonts w:ascii="ITC Avant Garde" w:hAnsi="ITC Avant Garde"/>
                <w:sz w:val="16"/>
                <w:szCs w:val="16"/>
              </w:rPr>
              <w:t>.</w:t>
            </w:r>
          </w:p>
          <w:p w:rsidR="00DA231D" w:rsidRPr="00661995" w:rsidRDefault="00DA231D" w:rsidP="00534E7F">
            <w:pPr>
              <w:jc w:val="both"/>
              <w:rPr>
                <w:rFonts w:ascii="ITC Avant Garde" w:hAnsi="ITC Avant Garde"/>
                <w:sz w:val="16"/>
                <w:szCs w:val="16"/>
              </w:rPr>
            </w:pPr>
          </w:p>
        </w:tc>
      </w:tr>
      <w:tr w:rsidR="001039C0" w:rsidRPr="00661995" w:rsidTr="00A16FC3">
        <w:tc>
          <w:tcPr>
            <w:tcW w:w="1766" w:type="dxa"/>
          </w:tcPr>
          <w:p w:rsidR="00AA073A" w:rsidRPr="00661995" w:rsidRDefault="00DA231D" w:rsidP="00534E7F">
            <w:pPr>
              <w:jc w:val="both"/>
              <w:rPr>
                <w:rFonts w:ascii="ITC Avant Garde" w:eastAsia="Calibri" w:hAnsi="ITC Avant Garde" w:cs="Calibri"/>
                <w:i/>
                <w:sz w:val="16"/>
                <w:szCs w:val="16"/>
              </w:rPr>
            </w:pPr>
            <w:r>
              <w:rPr>
                <w:rFonts w:ascii="ITC Avant Garde" w:eastAsia="Calibri" w:hAnsi="ITC Avant Garde" w:cs="Calibri"/>
                <w:smallCaps/>
                <w:sz w:val="16"/>
                <w:szCs w:val="16"/>
              </w:rPr>
              <w:t>Operación</w:t>
            </w:r>
          </w:p>
        </w:tc>
        <w:tc>
          <w:tcPr>
            <w:tcW w:w="7175" w:type="dxa"/>
          </w:tcPr>
          <w:p w:rsidR="00AA073A" w:rsidRDefault="00B126F5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  <w:r w:rsidRPr="00B126F5">
              <w:rPr>
                <w:rFonts w:ascii="ITC Avant Garde" w:eastAsia="Calibri" w:hAnsi="ITC Avant Garde" w:cs="Calibri"/>
                <w:sz w:val="16"/>
                <w:szCs w:val="16"/>
              </w:rPr>
              <w:t>La adquisición por parte de ATC MexHold y ATC H</w:t>
            </w:r>
            <w:r>
              <w:rPr>
                <w:rFonts w:ascii="ITC Avant Garde" w:eastAsia="Calibri" w:hAnsi="ITC Avant Garde" w:cs="Calibri"/>
                <w:sz w:val="16"/>
                <w:szCs w:val="16"/>
              </w:rPr>
              <w:t>FM</w:t>
            </w:r>
            <w:r w:rsidRPr="00B126F5">
              <w:rPr>
                <w:rFonts w:ascii="ITC Avant Garde" w:eastAsia="Calibri" w:hAnsi="ITC Avant Garde" w:cs="Calibri"/>
                <w:sz w:val="16"/>
                <w:szCs w:val="16"/>
              </w:rPr>
              <w:t xml:space="preserve"> del </w:t>
            </w:r>
            <w:r w:rsidR="00DD0E63">
              <w:rPr>
                <w:rFonts w:ascii="ITC Avant Garde" w:hAnsi="ITC Avant Garde"/>
                <w:b/>
                <w:bCs/>
                <w:color w:val="0000CC"/>
                <w:sz w:val="16"/>
                <w:szCs w:val="16"/>
              </w:rPr>
              <w:t>“CONFIDENCIAL POR LEY</w:t>
            </w:r>
            <w:r w:rsidR="00F71A86" w:rsidRPr="00F71A86">
              <w:rPr>
                <w:rFonts w:ascii="ITC Avant Garde" w:hAnsi="ITC Avant Garde"/>
                <w:b/>
                <w:bCs/>
                <w:color w:val="0000CC"/>
                <w:sz w:val="16"/>
                <w:szCs w:val="16"/>
              </w:rPr>
              <w:t>”</w:t>
            </w:r>
            <w:r w:rsidRPr="00B126F5">
              <w:rPr>
                <w:rFonts w:ascii="ITC Avant Garde" w:eastAsia="Calibri" w:hAnsi="ITC Avant Garde" w:cs="Calibri"/>
                <w:sz w:val="16"/>
                <w:szCs w:val="16"/>
              </w:rPr>
              <w:t xml:space="preserve"> de las acciones representativas del capital social de CFCA Telecomm y de </w:t>
            </w:r>
            <w:r w:rsidR="00DD0E63">
              <w:rPr>
                <w:rFonts w:ascii="ITC Avant Garde" w:hAnsi="ITC Avant Garde"/>
                <w:b/>
                <w:bCs/>
                <w:color w:val="0000CC"/>
                <w:sz w:val="16"/>
                <w:szCs w:val="16"/>
              </w:rPr>
              <w:t>“CONFIDENCIAL POR LEY</w:t>
            </w:r>
            <w:r w:rsidR="00F71A86" w:rsidRPr="00F71A86">
              <w:rPr>
                <w:rFonts w:ascii="ITC Avant Garde" w:hAnsi="ITC Avant Garde"/>
                <w:b/>
                <w:bCs/>
                <w:color w:val="0000CC"/>
                <w:sz w:val="16"/>
                <w:szCs w:val="16"/>
              </w:rPr>
              <w:t>”</w:t>
            </w:r>
            <w:r w:rsidRPr="00B126F5">
              <w:rPr>
                <w:rFonts w:ascii="ITC Avant Garde" w:eastAsia="Calibri" w:hAnsi="ITC Avant Garde" w:cs="Calibri"/>
                <w:sz w:val="16"/>
                <w:szCs w:val="16"/>
              </w:rPr>
              <w:t xml:space="preserve"> acciones representativas del capital social de </w:t>
            </w:r>
            <w:r>
              <w:rPr>
                <w:rFonts w:ascii="ITC Avant Garde" w:eastAsia="Calibri" w:hAnsi="ITC Avant Garde" w:cs="Calibri"/>
                <w:smallCaps/>
                <w:sz w:val="16"/>
                <w:szCs w:val="16"/>
              </w:rPr>
              <w:t>Telco</w:t>
            </w:r>
            <w:r w:rsidRPr="00B126F5">
              <w:rPr>
                <w:rFonts w:ascii="ITC Avant Garde" w:eastAsia="Calibri" w:hAnsi="ITC Avant Garde" w:cs="Calibri"/>
                <w:sz w:val="16"/>
                <w:szCs w:val="16"/>
              </w:rPr>
              <w:t xml:space="preserve"> (equivalente al</w:t>
            </w:r>
            <w:r w:rsidR="00F71A86">
              <w:rPr>
                <w:rFonts w:ascii="ITC Avant Garde" w:eastAsia="Calibri" w:hAnsi="ITC Avant Garde" w:cs="Calibri"/>
                <w:sz w:val="16"/>
                <w:szCs w:val="16"/>
              </w:rPr>
              <w:t xml:space="preserve"> </w:t>
            </w:r>
            <w:r w:rsidR="00DD0E63">
              <w:rPr>
                <w:rFonts w:ascii="ITC Avant Garde" w:hAnsi="ITC Avant Garde"/>
                <w:b/>
                <w:bCs/>
                <w:color w:val="0000CC"/>
                <w:sz w:val="16"/>
                <w:szCs w:val="16"/>
              </w:rPr>
              <w:t>“CONFIDENCIAL POR LEY</w:t>
            </w:r>
            <w:r w:rsidR="00F71A86" w:rsidRPr="00F71A86">
              <w:rPr>
                <w:rFonts w:ascii="ITC Avant Garde" w:hAnsi="ITC Avant Garde"/>
                <w:b/>
                <w:bCs/>
                <w:color w:val="0000CC"/>
                <w:sz w:val="16"/>
                <w:szCs w:val="16"/>
              </w:rPr>
              <w:t>”</w:t>
            </w:r>
            <w:r w:rsidRPr="00B126F5">
              <w:rPr>
                <w:rFonts w:ascii="ITC Avant Garde" w:eastAsia="Calibri" w:hAnsi="ITC Avant Garde" w:cs="Calibri"/>
                <w:sz w:val="16"/>
                <w:szCs w:val="16"/>
              </w:rPr>
              <w:t>),</w:t>
            </w:r>
          </w:p>
          <w:p w:rsidR="00AA073A" w:rsidRPr="00661995" w:rsidRDefault="00AA073A" w:rsidP="00534E7F">
            <w:pPr>
              <w:jc w:val="both"/>
              <w:rPr>
                <w:rFonts w:ascii="ITC Avant Garde" w:hAnsi="ITC Avant Garde"/>
                <w:sz w:val="16"/>
                <w:szCs w:val="16"/>
              </w:rPr>
            </w:pPr>
          </w:p>
        </w:tc>
      </w:tr>
      <w:tr w:rsidR="000A6E14" w:rsidRPr="00661995" w:rsidTr="00A16FC3">
        <w:tc>
          <w:tcPr>
            <w:tcW w:w="1766" w:type="dxa"/>
          </w:tcPr>
          <w:p w:rsidR="000A6E14" w:rsidRPr="00661995" w:rsidRDefault="000A6E14" w:rsidP="00534E7F">
            <w:pPr>
              <w:jc w:val="both"/>
              <w:rPr>
                <w:rFonts w:ascii="ITC Avant Garde" w:eastAsia="Calibri" w:hAnsi="ITC Avant Garde" w:cs="Calibri"/>
                <w:smallCaps/>
                <w:sz w:val="16"/>
                <w:szCs w:val="16"/>
              </w:rPr>
            </w:pPr>
            <w:r>
              <w:rPr>
                <w:rFonts w:ascii="ITC Avant Garde" w:eastAsia="Calibri" w:hAnsi="ITC Avant Garde" w:cs="Calibri"/>
                <w:smallCaps/>
                <w:sz w:val="16"/>
                <w:szCs w:val="16"/>
              </w:rPr>
              <w:t>Telco</w:t>
            </w:r>
          </w:p>
        </w:tc>
        <w:tc>
          <w:tcPr>
            <w:tcW w:w="7175" w:type="dxa"/>
          </w:tcPr>
          <w:p w:rsidR="000A6E14" w:rsidRPr="00661995" w:rsidRDefault="000A6E14" w:rsidP="00534E7F">
            <w:pPr>
              <w:jc w:val="both"/>
              <w:rPr>
                <w:rFonts w:ascii="ITC Avant Garde" w:eastAsia="Calibri" w:hAnsi="ITC Avant Garde" w:cs="Calibri"/>
                <w:sz w:val="16"/>
                <w:szCs w:val="16"/>
              </w:rPr>
            </w:pPr>
            <w:r>
              <w:rPr>
                <w:rFonts w:ascii="ITC Avant Garde" w:eastAsia="Calibri" w:hAnsi="ITC Avant Garde" w:cs="Calibri"/>
                <w:sz w:val="16"/>
                <w:szCs w:val="16"/>
              </w:rPr>
              <w:t>Tecnologías Especializadas en Líneas de Conexión Óptica, S.A.P.I. de C.V.</w:t>
            </w:r>
          </w:p>
        </w:tc>
      </w:tr>
    </w:tbl>
    <w:p w:rsidR="00E524C6" w:rsidRDefault="00E524C6" w:rsidP="00534E7F">
      <w:pPr>
        <w:pStyle w:val="Ttulo1"/>
        <w:spacing w:before="240" w:after="240" w:line="276" w:lineRule="auto"/>
      </w:pPr>
      <w:r w:rsidRPr="008603D5">
        <w:t>Antecedentes</w:t>
      </w:r>
    </w:p>
    <w:p w:rsidR="00E524C6" w:rsidRDefault="00E524C6" w:rsidP="00534E7F">
      <w:pPr>
        <w:tabs>
          <w:tab w:val="left" w:pos="709"/>
        </w:tabs>
        <w:spacing w:before="240" w:line="276" w:lineRule="auto"/>
        <w:jc w:val="both"/>
        <w:rPr>
          <w:rFonts w:ascii="ITC Avant Garde" w:eastAsia="Calibri" w:hAnsi="ITC Avant Garde" w:cs="Calibri"/>
        </w:rPr>
      </w:pPr>
      <w:r>
        <w:rPr>
          <w:rFonts w:ascii="ITC Avant Garde" w:eastAsia="Calibri" w:hAnsi="ITC Avant Garde" w:cs="Calibri"/>
          <w:b/>
          <w:smallCaps/>
        </w:rPr>
        <w:t>Primero.-</w:t>
      </w:r>
      <w:r>
        <w:rPr>
          <w:rFonts w:ascii="ITC Avant Garde" w:eastAsia="Times New Roman" w:hAnsi="ITC Avant Garde" w:cs="Calibri"/>
          <w:b/>
          <w:bCs/>
          <w:lang w:eastAsia="es-ES"/>
        </w:rPr>
        <w:t xml:space="preserve"> </w:t>
      </w:r>
      <w:r>
        <w:rPr>
          <w:rFonts w:ascii="ITC Avant Garde" w:eastAsia="Calibri" w:hAnsi="ITC Avant Garde" w:cs="Calibri"/>
        </w:rPr>
        <w:t xml:space="preserve">El </w:t>
      </w:r>
      <w:r w:rsidR="002C3D5A">
        <w:rPr>
          <w:rFonts w:ascii="ITC Avant Garde" w:eastAsia="Calibri" w:hAnsi="ITC Avant Garde" w:cs="Calibri"/>
        </w:rPr>
        <w:t>cuatro de diciembre de dos mil diecisiete</w:t>
      </w:r>
      <w:r>
        <w:rPr>
          <w:rFonts w:ascii="ITC Avant Garde" w:eastAsia="Calibri" w:hAnsi="ITC Avant Garde" w:cs="Calibri"/>
        </w:rPr>
        <w:t xml:space="preserve">, los representantes legales de </w:t>
      </w:r>
      <w:r w:rsidR="000A6E14" w:rsidRPr="00D50CE5">
        <w:rPr>
          <w:rFonts w:ascii="ITC Avant Garde" w:eastAsia="Calibri" w:hAnsi="ITC Avant Garde" w:cs="Calibri"/>
        </w:rPr>
        <w:t>SixSigma Networks México, S.A. de C.V.</w:t>
      </w:r>
      <w:r w:rsidRPr="00D50CE5">
        <w:rPr>
          <w:rFonts w:ascii="ITC Avant Garde" w:eastAsia="Calibri" w:hAnsi="ITC Avant Garde" w:cs="Calibri"/>
        </w:rPr>
        <w:t xml:space="preserve">, </w:t>
      </w:r>
      <w:r w:rsidR="000A6E14" w:rsidRPr="00D50CE5">
        <w:rPr>
          <w:rFonts w:ascii="ITC Avant Garde" w:eastAsia="Calibri" w:hAnsi="ITC Avant Garde" w:cs="Calibri"/>
        </w:rPr>
        <w:t>Wingu Networks, S.A. de C.V</w:t>
      </w:r>
      <w:r w:rsidRPr="00D50CE5">
        <w:rPr>
          <w:rFonts w:ascii="ITC Avant Garde" w:eastAsia="Calibri" w:hAnsi="ITC Avant Garde" w:cs="Calibri"/>
        </w:rPr>
        <w:t xml:space="preserve">, </w:t>
      </w:r>
      <w:r w:rsidR="000A6E14" w:rsidRPr="00D50CE5">
        <w:rPr>
          <w:rFonts w:ascii="ITC Avant Garde" w:eastAsia="Calibri" w:hAnsi="ITC Avant Garde" w:cs="Calibri"/>
        </w:rPr>
        <w:t>Metro Net, S.A.P.I. de C.V</w:t>
      </w:r>
      <w:r w:rsidRPr="00D50CE5">
        <w:rPr>
          <w:rFonts w:ascii="ITC Avant Garde" w:eastAsia="Calibri" w:hAnsi="ITC Avant Garde" w:cs="Calibri"/>
        </w:rPr>
        <w:t xml:space="preserve">, </w:t>
      </w:r>
      <w:r w:rsidRPr="00E524C6">
        <w:rPr>
          <w:rFonts w:ascii="ITC Avant Garde" w:eastAsia="Calibri" w:hAnsi="ITC Avant Garde" w:cs="Calibri"/>
          <w:smallCaps/>
        </w:rPr>
        <w:t xml:space="preserve">CFCA Telecomm, Telco, ATC MexHold </w:t>
      </w:r>
      <w:r w:rsidRPr="00E524C6">
        <w:rPr>
          <w:rFonts w:ascii="ITC Avant Garde" w:eastAsia="Calibri" w:hAnsi="ITC Avant Garde" w:cs="Calibri"/>
        </w:rPr>
        <w:t>y</w:t>
      </w:r>
      <w:r w:rsidRPr="00E524C6">
        <w:rPr>
          <w:rFonts w:ascii="ITC Avant Garde" w:eastAsia="Calibri" w:hAnsi="ITC Avant Garde" w:cs="Calibri"/>
          <w:smallCaps/>
        </w:rPr>
        <w:t xml:space="preserve"> ATC HFM</w:t>
      </w:r>
      <w:r>
        <w:rPr>
          <w:rFonts w:ascii="ITC Avant Garde" w:eastAsia="Calibri" w:hAnsi="ITC Avant Garde" w:cs="Calibri"/>
          <w:smallCaps/>
        </w:rPr>
        <w:t>,</w:t>
      </w:r>
      <w:r>
        <w:rPr>
          <w:rFonts w:ascii="ITC Avant Garde" w:eastAsia="Calibri" w:hAnsi="ITC Avant Garde" w:cs="Calibri"/>
        </w:rPr>
        <w:t xml:space="preserve"> presentaron ante la Oficialía de Partes del </w:t>
      </w:r>
      <w:r>
        <w:rPr>
          <w:rFonts w:ascii="ITC Avant Garde" w:eastAsia="Calibri" w:hAnsi="ITC Avant Garde" w:cs="Calibri"/>
          <w:smallCaps/>
        </w:rPr>
        <w:t xml:space="preserve">Instituto </w:t>
      </w:r>
      <w:r>
        <w:rPr>
          <w:rFonts w:ascii="ITC Avant Garde" w:eastAsia="Calibri" w:hAnsi="ITC Avant Garde" w:cs="Calibri"/>
        </w:rPr>
        <w:t>un aviso de conce</w:t>
      </w:r>
      <w:r w:rsidR="00BC3891">
        <w:rPr>
          <w:rFonts w:ascii="ITC Avant Garde" w:eastAsia="Calibri" w:hAnsi="ITC Avant Garde" w:cs="Calibri"/>
        </w:rPr>
        <w:t xml:space="preserve">ntración en términos del </w:t>
      </w:r>
      <w:r w:rsidR="00AA073A" w:rsidRPr="00AA073A">
        <w:rPr>
          <w:rFonts w:ascii="ITC Avant Garde" w:eastAsia="Calibri" w:hAnsi="ITC Avant Garde" w:cs="Calibri"/>
          <w:smallCaps/>
        </w:rPr>
        <w:t>Artículo</w:t>
      </w:r>
      <w:r w:rsidR="00AA073A">
        <w:rPr>
          <w:rFonts w:ascii="ITC Avant Garde" w:eastAsia="Calibri" w:hAnsi="ITC Avant Garde" w:cs="Calibri"/>
        </w:rPr>
        <w:t xml:space="preserve"> </w:t>
      </w:r>
      <w:r w:rsidR="00BC3891">
        <w:rPr>
          <w:rFonts w:ascii="ITC Avant Garde" w:eastAsia="Calibri" w:hAnsi="ITC Avant Garde" w:cs="Calibri"/>
        </w:rPr>
        <w:t>N</w:t>
      </w:r>
      <w:r>
        <w:rPr>
          <w:rFonts w:ascii="ITC Avant Garde" w:eastAsia="Calibri" w:hAnsi="ITC Avant Garde" w:cs="Calibri"/>
          <w:smallCaps/>
        </w:rPr>
        <w:t>oveno Transitorio</w:t>
      </w:r>
      <w:r>
        <w:rPr>
          <w:rFonts w:ascii="ITC Avant Garde" w:eastAsia="Calibri" w:hAnsi="ITC Avant Garde" w:cs="Calibri"/>
        </w:rPr>
        <w:t xml:space="preserve">, </w:t>
      </w:r>
      <w:r w:rsidRPr="00E524C6">
        <w:rPr>
          <w:rFonts w:ascii="ITC Avant Garde" w:eastAsia="Calibri" w:hAnsi="ITC Avant Garde" w:cs="Calibri"/>
        </w:rPr>
        <w:t>respecto de la adquisición, directa e indirecta, por ATC M</w:t>
      </w:r>
      <w:r w:rsidRPr="00E524C6">
        <w:rPr>
          <w:rFonts w:ascii="ITC Avant Garde" w:eastAsia="Calibri" w:hAnsi="ITC Avant Garde" w:cs="Calibri"/>
          <w:smallCaps/>
        </w:rPr>
        <w:t>exHold</w:t>
      </w:r>
      <w:r w:rsidRPr="00E524C6">
        <w:rPr>
          <w:rFonts w:ascii="ITC Avant Garde" w:eastAsia="Calibri" w:hAnsi="ITC Avant Garde" w:cs="Calibri"/>
        </w:rPr>
        <w:t xml:space="preserve"> y ATC HFM, de la totalidad de las acciones representativas del capital social de </w:t>
      </w:r>
      <w:r w:rsidRPr="00E524C6">
        <w:rPr>
          <w:rFonts w:ascii="ITC Avant Garde" w:eastAsia="Calibri" w:hAnsi="ITC Avant Garde" w:cs="Calibri"/>
          <w:smallCaps/>
        </w:rPr>
        <w:t>CFCA Telecomm</w:t>
      </w:r>
      <w:r w:rsidRPr="00E524C6">
        <w:rPr>
          <w:rFonts w:ascii="ITC Avant Garde" w:eastAsia="Calibri" w:hAnsi="ITC Avant Garde" w:cs="Calibri"/>
        </w:rPr>
        <w:t xml:space="preserve"> y </w:t>
      </w:r>
      <w:r w:rsidRPr="00E524C6">
        <w:rPr>
          <w:rFonts w:ascii="ITC Avant Garde" w:eastAsia="Calibri" w:hAnsi="ITC Avant Garde" w:cs="Calibri"/>
          <w:smallCaps/>
        </w:rPr>
        <w:t>Telco</w:t>
      </w:r>
      <w:r w:rsidRPr="00E524C6">
        <w:rPr>
          <w:rFonts w:ascii="ITC Avant Garde" w:eastAsia="Calibri" w:hAnsi="ITC Avant Garde" w:cs="Calibri"/>
        </w:rPr>
        <w:t>.</w:t>
      </w:r>
    </w:p>
    <w:p w:rsidR="00E524C6" w:rsidRDefault="00E524C6" w:rsidP="00534E7F">
      <w:pPr>
        <w:tabs>
          <w:tab w:val="left" w:pos="709"/>
        </w:tabs>
        <w:spacing w:before="240" w:line="276" w:lineRule="auto"/>
        <w:jc w:val="both"/>
        <w:rPr>
          <w:rFonts w:ascii="ITC Avant Garde" w:eastAsia="Calibri" w:hAnsi="ITC Avant Garde" w:cs="Calibri"/>
        </w:rPr>
      </w:pPr>
      <w:r>
        <w:rPr>
          <w:rFonts w:ascii="ITC Avant Garde" w:eastAsia="Calibri" w:hAnsi="ITC Avant Garde" w:cs="Calibri"/>
          <w:b/>
          <w:smallCaps/>
        </w:rPr>
        <w:lastRenderedPageBreak/>
        <w:t>Segundo</w:t>
      </w:r>
      <w:r>
        <w:rPr>
          <w:rFonts w:ascii="ITC Avant Garde" w:eastAsia="Calibri" w:hAnsi="ITC Avant Garde" w:cs="Calibri"/>
        </w:rPr>
        <w:t xml:space="preserve">.- Mediante acuerdo </w:t>
      </w:r>
      <w:r w:rsidRPr="00E524C6">
        <w:rPr>
          <w:rFonts w:ascii="ITC Avant Garde" w:eastAsia="Calibri" w:hAnsi="ITC Avant Garde" w:cs="Calibri"/>
        </w:rPr>
        <w:t>P/IFT/100418/245</w:t>
      </w:r>
      <w:r w:rsidR="00EF6C53">
        <w:rPr>
          <w:rFonts w:ascii="ITC Avant Garde" w:eastAsia="Calibri" w:hAnsi="ITC Avant Garde" w:cs="Calibri"/>
        </w:rPr>
        <w:t xml:space="preserve"> de fecha diez de abril de dos mil dieciocho</w:t>
      </w:r>
      <w:r>
        <w:rPr>
          <w:rFonts w:ascii="ITC Avant Garde" w:eastAsia="Calibri" w:hAnsi="ITC Avant Garde" w:cs="Calibri"/>
        </w:rPr>
        <w:t xml:space="preserve">, el Pleno del </w:t>
      </w:r>
      <w:r>
        <w:rPr>
          <w:rFonts w:ascii="ITC Avant Garde" w:eastAsia="Calibri" w:hAnsi="ITC Avant Garde" w:cs="Calibri"/>
          <w:smallCaps/>
        </w:rPr>
        <w:t>Instituto</w:t>
      </w:r>
      <w:r>
        <w:rPr>
          <w:rFonts w:ascii="ITC Avant Garde" w:eastAsia="Calibri" w:hAnsi="ITC Avant Garde" w:cs="Calibri"/>
        </w:rPr>
        <w:t xml:space="preserve"> resolvió que la </w:t>
      </w:r>
      <w:r w:rsidR="004904A0">
        <w:rPr>
          <w:rFonts w:ascii="ITC Avant Garde" w:eastAsia="Calibri" w:hAnsi="ITC Avant Garde" w:cs="Calibri"/>
          <w:smallCaps/>
        </w:rPr>
        <w:t>Operación</w:t>
      </w:r>
      <w:r w:rsidRPr="00177031" w:rsidDel="00177031">
        <w:rPr>
          <w:rFonts w:ascii="ITC Avant Garde" w:eastAsia="Calibri" w:hAnsi="ITC Avant Garde" w:cs="Calibri"/>
        </w:rPr>
        <w:t xml:space="preserve"> </w:t>
      </w:r>
      <w:r w:rsidRPr="00177031">
        <w:rPr>
          <w:rFonts w:ascii="ITC Avant Garde" w:eastAsia="Calibri" w:hAnsi="ITC Avant Garde" w:cs="Calibri"/>
        </w:rPr>
        <w:t>cumplió</w:t>
      </w:r>
      <w:r>
        <w:rPr>
          <w:rFonts w:ascii="ITC Avant Garde" w:eastAsia="Calibri" w:hAnsi="ITC Avant Garde" w:cs="Calibri"/>
        </w:rPr>
        <w:t xml:space="preserve"> con los requisitos establecidos en el </w:t>
      </w:r>
      <w:r w:rsidR="00AA073A">
        <w:rPr>
          <w:rFonts w:ascii="ITC Avant Garde" w:eastAsia="Calibri" w:hAnsi="ITC Avant Garde" w:cs="Calibri"/>
          <w:smallCaps/>
        </w:rPr>
        <w:t xml:space="preserve">Artículo </w:t>
      </w:r>
      <w:r>
        <w:rPr>
          <w:rFonts w:ascii="ITC Avant Garde" w:hAnsi="ITC Avant Garde"/>
          <w:smallCaps/>
        </w:rPr>
        <w:t>Noveno Transitorio</w:t>
      </w:r>
      <w:r>
        <w:rPr>
          <w:rFonts w:ascii="ITC Avant Garde" w:eastAsia="Calibri" w:hAnsi="ITC Avant Garde" w:cs="Calibri"/>
        </w:rPr>
        <w:t>, por lo que se enc</w:t>
      </w:r>
      <w:r w:rsidR="00AA073A">
        <w:rPr>
          <w:rFonts w:ascii="ITC Avant Garde" w:eastAsia="Calibri" w:hAnsi="ITC Avant Garde" w:cs="Calibri"/>
        </w:rPr>
        <w:t>ontró</w:t>
      </w:r>
      <w:r>
        <w:rPr>
          <w:rFonts w:ascii="ITC Avant Garde" w:eastAsia="Calibri" w:hAnsi="ITC Avant Garde" w:cs="Calibri"/>
        </w:rPr>
        <w:t xml:space="preserve"> en el supuesto de no requerir la autorización del Pleno del IFT</w:t>
      </w:r>
      <w:r w:rsidR="00AA073A">
        <w:rPr>
          <w:rFonts w:ascii="ITC Avant Garde" w:eastAsia="Calibri" w:hAnsi="ITC Avant Garde" w:cs="Calibri"/>
        </w:rPr>
        <w:t xml:space="preserve"> para su realización</w:t>
      </w:r>
      <w:r>
        <w:rPr>
          <w:rFonts w:ascii="ITC Avant Garde" w:eastAsia="Calibri" w:hAnsi="ITC Avant Garde" w:cs="Calibri"/>
        </w:rPr>
        <w:t xml:space="preserve">. Por otra parte, ordenó dar </w:t>
      </w:r>
      <w:r>
        <w:rPr>
          <w:rFonts w:ascii="ITC Avant Garde" w:hAnsi="ITC Avant Garde"/>
        </w:rPr>
        <w:t xml:space="preserve">vista a la Autoridad Investigadora del </w:t>
      </w:r>
      <w:r>
        <w:rPr>
          <w:rFonts w:ascii="ITC Avant Garde" w:eastAsia="Calibri" w:hAnsi="ITC Avant Garde" w:cs="Calibri"/>
          <w:smallCaps/>
        </w:rPr>
        <w:t>Instituto</w:t>
      </w:r>
      <w:r>
        <w:rPr>
          <w:rFonts w:ascii="ITC Avant Garde" w:hAnsi="ITC Avant Garde"/>
        </w:rPr>
        <w:t xml:space="preserve"> para los efectos legales a que hubiera lugar.</w:t>
      </w:r>
    </w:p>
    <w:p w:rsidR="00E524C6" w:rsidRPr="00E524C6" w:rsidRDefault="00E524C6" w:rsidP="00534E7F">
      <w:pPr>
        <w:tabs>
          <w:tab w:val="left" w:pos="709"/>
        </w:tabs>
        <w:spacing w:before="240" w:line="276" w:lineRule="auto"/>
        <w:jc w:val="both"/>
        <w:rPr>
          <w:rFonts w:ascii="ITC Avant Garde" w:eastAsia="Calibri" w:hAnsi="ITC Avant Garde" w:cs="Calibri"/>
        </w:rPr>
      </w:pPr>
      <w:r>
        <w:rPr>
          <w:rFonts w:ascii="ITC Avant Garde" w:eastAsia="Calibri" w:hAnsi="ITC Avant Garde" w:cs="Calibri"/>
          <w:b/>
          <w:smallCaps/>
        </w:rPr>
        <w:t>Tercero.</w:t>
      </w:r>
      <w:r>
        <w:rPr>
          <w:rFonts w:ascii="ITC Avant Garde" w:eastAsia="Calibri" w:hAnsi="ITC Avant Garde" w:cs="Calibri"/>
          <w:b/>
        </w:rPr>
        <w:t>-</w:t>
      </w:r>
      <w:r>
        <w:rPr>
          <w:rFonts w:ascii="ITC Avant Garde" w:hAnsi="ITC Avant Garde"/>
          <w:b/>
        </w:rPr>
        <w:t xml:space="preserve"> </w:t>
      </w:r>
      <w:r>
        <w:rPr>
          <w:rFonts w:ascii="ITC Avant Garde" w:eastAsia="Calibri" w:hAnsi="ITC Avant Garde" w:cs="Calibri"/>
        </w:rPr>
        <w:t>En cumplimiento a</w:t>
      </w:r>
      <w:r w:rsidR="00AA073A">
        <w:rPr>
          <w:rFonts w:ascii="ITC Avant Garde" w:eastAsia="Calibri" w:hAnsi="ITC Avant Garde" w:cs="Calibri"/>
        </w:rPr>
        <w:t xml:space="preserve"> lo dispuesto en el quinto párrafo del </w:t>
      </w:r>
      <w:r w:rsidR="00AA073A">
        <w:rPr>
          <w:rFonts w:ascii="ITC Avant Garde" w:eastAsia="Calibri" w:hAnsi="ITC Avant Garde" w:cs="Calibri"/>
          <w:smallCaps/>
        </w:rPr>
        <w:t xml:space="preserve">Artículo Noveno Transitorio, </w:t>
      </w:r>
      <w:r w:rsidR="00AA073A">
        <w:rPr>
          <w:rFonts w:ascii="ITC Avant Garde" w:eastAsia="Calibri" w:hAnsi="ITC Avant Garde" w:cs="Calibri"/>
        </w:rPr>
        <w:t>y considerando el sentido de</w:t>
      </w:r>
      <w:r>
        <w:rPr>
          <w:rFonts w:ascii="ITC Avant Garde" w:eastAsia="Calibri" w:hAnsi="ITC Avant Garde" w:cs="Calibri"/>
        </w:rPr>
        <w:t xml:space="preserve"> la resolución referida en el numeral previo, e</w:t>
      </w:r>
      <w:r>
        <w:rPr>
          <w:rFonts w:ascii="ITC Avant Garde" w:eastAsia="Times New Roman" w:hAnsi="ITC Avant Garde" w:cs="Calibri"/>
          <w:bCs/>
          <w:lang w:eastAsia="es-ES"/>
        </w:rPr>
        <w:t xml:space="preserve">l </w:t>
      </w:r>
      <w:r w:rsidRPr="00E524C6">
        <w:rPr>
          <w:rFonts w:ascii="ITC Avant Garde" w:eastAsia="Times New Roman" w:hAnsi="ITC Avant Garde" w:cs="Calibri"/>
          <w:bCs/>
          <w:lang w:eastAsia="es-ES"/>
        </w:rPr>
        <w:t>dieciséis de abril de dos mil dieciocho</w:t>
      </w:r>
      <w:r>
        <w:rPr>
          <w:rFonts w:ascii="ITC Avant Garde" w:eastAsia="Times New Roman" w:hAnsi="ITC Avant Garde" w:cs="Calibri"/>
          <w:bCs/>
          <w:lang w:eastAsia="es-ES"/>
        </w:rPr>
        <w:t xml:space="preserve">, </w:t>
      </w:r>
      <w:r>
        <w:rPr>
          <w:rFonts w:ascii="ITC Avant Garde" w:eastAsia="Calibri" w:hAnsi="ITC Avant Garde" w:cs="Calibri"/>
        </w:rPr>
        <w:t xml:space="preserve">la titular de la </w:t>
      </w:r>
      <w:r>
        <w:rPr>
          <w:rFonts w:ascii="ITC Avant Garde" w:hAnsi="ITC Avant Garde"/>
        </w:rPr>
        <w:t>Autoridad Investigadora</w:t>
      </w:r>
      <w:r w:rsidR="003034A1">
        <w:rPr>
          <w:rFonts w:ascii="ITC Avant Garde" w:hAnsi="ITC Avant Garde"/>
        </w:rPr>
        <w:t xml:space="preserve"> del Instituto</w:t>
      </w:r>
      <w:r>
        <w:rPr>
          <w:rFonts w:ascii="ITC Avant Garde" w:hAnsi="ITC Avant Garde"/>
        </w:rPr>
        <w:t xml:space="preserve"> </w:t>
      </w:r>
      <w:r>
        <w:rPr>
          <w:rFonts w:ascii="ITC Avant Garde" w:eastAsia="Calibri" w:hAnsi="ITC Avant Garde" w:cs="Calibri"/>
        </w:rPr>
        <w:t xml:space="preserve">emitió el acuerdo </w:t>
      </w:r>
      <w:r w:rsidR="003034A1">
        <w:rPr>
          <w:rFonts w:ascii="ITC Avant Garde" w:eastAsia="Calibri" w:hAnsi="ITC Avant Garde" w:cs="Calibri"/>
        </w:rPr>
        <w:t>de inicio d</w:t>
      </w:r>
      <w:r>
        <w:rPr>
          <w:rFonts w:ascii="ITC Avant Garde" w:eastAsia="Calibri" w:hAnsi="ITC Avant Garde" w:cs="Calibri"/>
        </w:rPr>
        <w:t xml:space="preserve">el procedimiento de investigación </w:t>
      </w:r>
      <w:r w:rsidRPr="00E524C6">
        <w:rPr>
          <w:rFonts w:ascii="ITC Avant Garde" w:eastAsia="Calibri" w:hAnsi="ITC Avant Garde" w:cs="Calibri"/>
        </w:rPr>
        <w:t>para determinar la probable existencia de agentes económicos con poder sustancial en el o los mercados de redes de telecomunicaciones que presten servicios de voz, datos o video, a nivel nacional, estatal, regional y/o local, el cual fue radicado bajo</w:t>
      </w:r>
      <w:r w:rsidR="003034A1">
        <w:rPr>
          <w:rFonts w:ascii="ITC Avant Garde" w:eastAsia="Calibri" w:hAnsi="ITC Avant Garde" w:cs="Calibri"/>
        </w:rPr>
        <w:t xml:space="preserve"> el número de</w:t>
      </w:r>
      <w:r w:rsidRPr="00E524C6">
        <w:rPr>
          <w:rFonts w:ascii="ITC Avant Garde" w:eastAsia="Calibri" w:hAnsi="ITC Avant Garde" w:cs="Calibri"/>
        </w:rPr>
        <w:t xml:space="preserve"> expediente AI/DC-003-2018</w:t>
      </w:r>
      <w:r w:rsidR="00265A35">
        <w:rPr>
          <w:rFonts w:ascii="ITC Avant Garde" w:eastAsia="Calibri" w:hAnsi="ITC Avant Garde" w:cs="Calibri"/>
        </w:rPr>
        <w:t xml:space="preserve"> y cuyo </w:t>
      </w:r>
      <w:r>
        <w:rPr>
          <w:rFonts w:ascii="ITC Avant Garde" w:eastAsia="Calibri" w:hAnsi="ITC Avant Garde" w:cs="Calibri"/>
        </w:rPr>
        <w:t xml:space="preserve">extracto </w:t>
      </w:r>
      <w:r w:rsidR="00265A35">
        <w:rPr>
          <w:rFonts w:ascii="ITC Avant Garde" w:eastAsia="Calibri" w:hAnsi="ITC Avant Garde" w:cs="Calibri"/>
        </w:rPr>
        <w:t xml:space="preserve">fue publicado </w:t>
      </w:r>
      <w:r>
        <w:rPr>
          <w:rFonts w:ascii="ITC Avant Garde" w:eastAsia="Calibri" w:hAnsi="ITC Avant Garde" w:cs="Calibri"/>
        </w:rPr>
        <w:t xml:space="preserve">en el </w:t>
      </w:r>
      <w:r w:rsidR="00265A35">
        <w:rPr>
          <w:rFonts w:ascii="ITC Avant Garde" w:eastAsia="Calibri" w:hAnsi="ITC Avant Garde" w:cs="Calibri"/>
        </w:rPr>
        <w:t xml:space="preserve">Diario Oficial de la Federación </w:t>
      </w:r>
      <w:r>
        <w:rPr>
          <w:rFonts w:ascii="ITC Avant Garde" w:eastAsia="Calibri" w:hAnsi="ITC Avant Garde" w:cs="Calibri"/>
        </w:rPr>
        <w:t xml:space="preserve">el </w:t>
      </w:r>
      <w:r w:rsidRPr="00E524C6">
        <w:rPr>
          <w:rFonts w:ascii="ITC Avant Garde" w:eastAsia="Calibri" w:hAnsi="ITC Avant Garde" w:cs="Calibri"/>
        </w:rPr>
        <w:t>veinticuatro de abril de dos mil dieciocho</w:t>
      </w:r>
      <w:r>
        <w:rPr>
          <w:rFonts w:ascii="ITC Avant Garde" w:eastAsia="Calibri" w:hAnsi="ITC Avant Garde" w:cs="Calibri"/>
        </w:rPr>
        <w:t>.</w:t>
      </w:r>
    </w:p>
    <w:p w:rsidR="00E524C6" w:rsidRDefault="00E524C6" w:rsidP="00534E7F">
      <w:pPr>
        <w:spacing w:before="240" w:line="276" w:lineRule="auto"/>
        <w:jc w:val="both"/>
        <w:rPr>
          <w:rFonts w:ascii="ITC Avant Garde" w:eastAsia="Calibri" w:hAnsi="ITC Avant Garde" w:cs="Calibri"/>
        </w:rPr>
      </w:pPr>
      <w:r>
        <w:rPr>
          <w:rFonts w:ascii="ITC Avant Garde" w:eastAsia="Calibri" w:hAnsi="ITC Avant Garde" w:cs="Calibri"/>
          <w:b/>
          <w:smallCaps/>
        </w:rPr>
        <w:t>Cuarto</w:t>
      </w:r>
      <w:r>
        <w:rPr>
          <w:rFonts w:ascii="ITC Avant Garde" w:eastAsia="Calibri" w:hAnsi="ITC Avant Garde" w:cs="Calibri"/>
          <w:smallCaps/>
        </w:rPr>
        <w:t xml:space="preserve">.- </w:t>
      </w:r>
      <w:r>
        <w:rPr>
          <w:rFonts w:ascii="ITC Avant Garde" w:eastAsia="Calibri" w:hAnsi="ITC Avant Garde" w:cs="Calibri"/>
        </w:rPr>
        <w:t xml:space="preserve">El </w:t>
      </w:r>
      <w:r w:rsidR="008A58B8">
        <w:rPr>
          <w:rFonts w:ascii="ITC Avant Garde" w:eastAsia="Calibri" w:hAnsi="ITC Avant Garde" w:cs="Calibri"/>
        </w:rPr>
        <w:t>nueve</w:t>
      </w:r>
      <w:r w:rsidR="008A58B8" w:rsidRPr="008A58B8">
        <w:rPr>
          <w:rFonts w:ascii="ITC Avant Garde" w:eastAsia="Calibri" w:hAnsi="ITC Avant Garde" w:cs="Calibri"/>
        </w:rPr>
        <w:t xml:space="preserve"> de julio de dos mil dieciocho </w:t>
      </w:r>
      <w:r>
        <w:rPr>
          <w:rFonts w:ascii="ITC Avant Garde" w:eastAsia="Calibri" w:hAnsi="ITC Avant Garde" w:cs="Calibri"/>
        </w:rPr>
        <w:t xml:space="preserve">la titular de la </w:t>
      </w:r>
      <w:r w:rsidRPr="0037562C">
        <w:rPr>
          <w:rFonts w:ascii="ITC Avant Garde" w:hAnsi="ITC Avant Garde"/>
        </w:rPr>
        <w:t>Autoridad Investigadora</w:t>
      </w:r>
      <w:r>
        <w:rPr>
          <w:rFonts w:ascii="ITC Avant Garde" w:eastAsia="Calibri" w:hAnsi="ITC Avant Garde" w:cs="Calibri"/>
        </w:rPr>
        <w:t xml:space="preserve"> </w:t>
      </w:r>
      <w:r w:rsidR="003034A1">
        <w:rPr>
          <w:rFonts w:ascii="ITC Avant Garde" w:eastAsia="Calibri" w:hAnsi="ITC Avant Garde" w:cs="Calibri"/>
        </w:rPr>
        <w:t xml:space="preserve">del Instituto </w:t>
      </w:r>
      <w:r>
        <w:rPr>
          <w:rFonts w:ascii="ITC Avant Garde" w:eastAsia="Calibri" w:hAnsi="ITC Avant Garde" w:cs="Calibri"/>
        </w:rPr>
        <w:t>emitió el acuerdo de conclusión de</w:t>
      </w:r>
      <w:r w:rsidR="003034A1">
        <w:rPr>
          <w:rFonts w:ascii="ITC Avant Garde" w:eastAsia="Calibri" w:hAnsi="ITC Avant Garde" w:cs="Calibri"/>
        </w:rPr>
        <w:t xml:space="preserve"> la</w:t>
      </w:r>
      <w:r>
        <w:rPr>
          <w:rFonts w:ascii="ITC Avant Garde" w:eastAsia="Calibri" w:hAnsi="ITC Avant Garde" w:cs="Calibri"/>
        </w:rPr>
        <w:t xml:space="preserve"> investigación </w:t>
      </w:r>
      <w:r w:rsidR="003034A1">
        <w:rPr>
          <w:rFonts w:ascii="ITC Avant Garde" w:eastAsia="Calibri" w:hAnsi="ITC Avant Garde" w:cs="Calibri"/>
        </w:rPr>
        <w:t xml:space="preserve">radicada bajo el número </w:t>
      </w:r>
      <w:r>
        <w:rPr>
          <w:rFonts w:ascii="ITC Avant Garde" w:eastAsia="Calibri" w:hAnsi="ITC Avant Garde" w:cs="Calibri"/>
        </w:rPr>
        <w:t xml:space="preserve">de </w:t>
      </w:r>
      <w:r w:rsidR="00D202A1">
        <w:rPr>
          <w:rFonts w:ascii="ITC Avant Garde" w:eastAsia="Calibri" w:hAnsi="ITC Avant Garde" w:cs="Calibri"/>
        </w:rPr>
        <w:t>e</w:t>
      </w:r>
      <w:r w:rsidRPr="00D202A1">
        <w:rPr>
          <w:rFonts w:ascii="ITC Avant Garde" w:eastAsia="Calibri" w:hAnsi="ITC Avant Garde" w:cs="Calibri"/>
        </w:rPr>
        <w:t>xpediente</w:t>
      </w:r>
      <w:r w:rsidR="003034A1">
        <w:rPr>
          <w:rFonts w:ascii="ITC Avant Garde" w:eastAsia="Calibri" w:hAnsi="ITC Avant Garde" w:cs="Calibri"/>
        </w:rPr>
        <w:t xml:space="preserve"> </w:t>
      </w:r>
      <w:r w:rsidR="003034A1">
        <w:rPr>
          <w:rFonts w:ascii="ITC Avant Garde" w:hAnsi="ITC Avant Garde"/>
        </w:rPr>
        <w:t>AI/DC-003-2018</w:t>
      </w:r>
      <w:r>
        <w:rPr>
          <w:rFonts w:ascii="ITC Avant Garde" w:eastAsia="Calibri" w:hAnsi="ITC Avant Garde" w:cs="Calibri"/>
        </w:rPr>
        <w:t xml:space="preserve">, </w:t>
      </w:r>
      <w:r w:rsidR="00265A35">
        <w:rPr>
          <w:rFonts w:ascii="ITC Avant Garde" w:eastAsia="Calibri" w:hAnsi="ITC Avant Garde" w:cs="Calibri"/>
        </w:rPr>
        <w:t xml:space="preserve">el cual </w:t>
      </w:r>
      <w:r>
        <w:rPr>
          <w:rFonts w:ascii="ITC Avant Garde" w:eastAsia="Calibri" w:hAnsi="ITC Avant Garde" w:cs="Calibri"/>
        </w:rPr>
        <w:t xml:space="preserve">fue notificado </w:t>
      </w:r>
      <w:r w:rsidRPr="0037562C">
        <w:rPr>
          <w:rFonts w:ascii="ITC Avant Garde" w:eastAsia="Calibri" w:hAnsi="ITC Avant Garde" w:cs="Calibri"/>
        </w:rPr>
        <w:t xml:space="preserve">mediante la </w:t>
      </w:r>
      <w:r w:rsidR="004904A0">
        <w:rPr>
          <w:rFonts w:ascii="ITC Avant Garde" w:eastAsia="Calibri" w:hAnsi="ITC Avant Garde" w:cs="Calibri"/>
        </w:rPr>
        <w:t>l</w:t>
      </w:r>
      <w:r w:rsidRPr="0037562C">
        <w:rPr>
          <w:rFonts w:ascii="ITC Avant Garde" w:eastAsia="Calibri" w:hAnsi="ITC Avant Garde" w:cs="Calibri"/>
        </w:rPr>
        <w:t xml:space="preserve">ista </w:t>
      </w:r>
      <w:r w:rsidR="004904A0">
        <w:rPr>
          <w:rFonts w:ascii="ITC Avant Garde" w:eastAsia="Calibri" w:hAnsi="ITC Avant Garde" w:cs="Calibri"/>
        </w:rPr>
        <w:t>de n</w:t>
      </w:r>
      <w:r w:rsidRPr="0037562C">
        <w:rPr>
          <w:rFonts w:ascii="ITC Avant Garde" w:eastAsia="Calibri" w:hAnsi="ITC Avant Garde" w:cs="Calibri"/>
        </w:rPr>
        <w:t xml:space="preserve">otificaciones de la </w:t>
      </w:r>
      <w:r>
        <w:rPr>
          <w:rFonts w:ascii="ITC Avant Garde" w:eastAsia="Calibri" w:hAnsi="ITC Avant Garde" w:cs="Calibri"/>
        </w:rPr>
        <w:t>Autoridad Investigadora</w:t>
      </w:r>
      <w:r w:rsidR="003034A1" w:rsidRPr="003034A1">
        <w:rPr>
          <w:rFonts w:ascii="ITC Avant Garde" w:eastAsia="Calibri" w:hAnsi="ITC Avant Garde" w:cs="Calibri"/>
        </w:rPr>
        <w:t xml:space="preserve"> </w:t>
      </w:r>
      <w:r w:rsidR="003034A1">
        <w:rPr>
          <w:rFonts w:ascii="ITC Avant Garde" w:eastAsia="Calibri" w:hAnsi="ITC Avant Garde" w:cs="Calibri"/>
        </w:rPr>
        <w:t>en la misma fecha</w:t>
      </w:r>
      <w:r w:rsidRPr="00D65888">
        <w:rPr>
          <w:rFonts w:ascii="ITC Avant Garde" w:eastAsia="Calibri" w:hAnsi="ITC Avant Garde" w:cs="Calibri"/>
        </w:rPr>
        <w:t xml:space="preserve">. </w:t>
      </w:r>
    </w:p>
    <w:p w:rsidR="00E524C6" w:rsidRDefault="00E524C6" w:rsidP="00534E7F">
      <w:pPr>
        <w:spacing w:before="240" w:line="276" w:lineRule="auto"/>
        <w:jc w:val="both"/>
        <w:rPr>
          <w:rFonts w:ascii="ITC Avant Garde" w:eastAsia="Calibri" w:hAnsi="ITC Avant Garde" w:cs="Times New Roman"/>
        </w:rPr>
      </w:pPr>
      <w:r>
        <w:rPr>
          <w:rFonts w:ascii="ITC Avant Garde" w:eastAsia="Calibri" w:hAnsi="ITC Avant Garde" w:cs="Calibri"/>
          <w:b/>
          <w:smallCaps/>
        </w:rPr>
        <w:t>Quinto</w:t>
      </w:r>
      <w:r>
        <w:rPr>
          <w:rFonts w:ascii="ITC Avant Garde" w:eastAsia="Calibri" w:hAnsi="ITC Avant Garde" w:cs="Calibri"/>
        </w:rPr>
        <w:t xml:space="preserve">.- </w:t>
      </w:r>
      <w:r w:rsidR="003034A1">
        <w:rPr>
          <w:rFonts w:ascii="ITC Avant Garde" w:eastAsia="Calibri" w:hAnsi="ITC Avant Garde" w:cs="Calibri"/>
        </w:rPr>
        <w:t>E</w:t>
      </w:r>
      <w:r>
        <w:rPr>
          <w:rFonts w:ascii="ITC Avant Garde" w:eastAsia="Calibri" w:hAnsi="ITC Avant Garde" w:cs="Calibri"/>
        </w:rPr>
        <w:t xml:space="preserve">l </w:t>
      </w:r>
      <w:r w:rsidR="00265A35">
        <w:rPr>
          <w:rFonts w:ascii="ITC Avant Garde" w:eastAsia="Calibri" w:hAnsi="ITC Avant Garde" w:cs="Times New Roman"/>
        </w:rPr>
        <w:t xml:space="preserve">catorce </w:t>
      </w:r>
      <w:r w:rsidR="008A58B8">
        <w:rPr>
          <w:rFonts w:ascii="ITC Avant Garde" w:eastAsia="Calibri" w:hAnsi="ITC Avant Garde" w:cs="Times New Roman"/>
        </w:rPr>
        <w:t>de agosto de dos mil dieciocho</w:t>
      </w:r>
      <w:r w:rsidRPr="001713AB">
        <w:rPr>
          <w:rFonts w:ascii="ITC Avant Garde" w:eastAsia="Calibri" w:hAnsi="ITC Avant Garde" w:cs="Times New Roman"/>
        </w:rPr>
        <w:t>,</w:t>
      </w:r>
      <w:r>
        <w:rPr>
          <w:rFonts w:ascii="ITC Avant Garde" w:eastAsia="Calibri" w:hAnsi="ITC Avant Garde" w:cs="Times New Roman"/>
        </w:rPr>
        <w:t xml:space="preserve"> la Autoridad Investigadora </w:t>
      </w:r>
      <w:r w:rsidR="003034A1">
        <w:rPr>
          <w:rFonts w:ascii="ITC Avant Garde" w:eastAsia="Calibri" w:hAnsi="ITC Avant Garde" w:cs="Times New Roman"/>
        </w:rPr>
        <w:t xml:space="preserve">del Instituto </w:t>
      </w:r>
      <w:r>
        <w:rPr>
          <w:rFonts w:ascii="ITC Avant Garde" w:eastAsia="Calibri" w:hAnsi="ITC Avant Garde" w:cs="Times New Roman"/>
        </w:rPr>
        <w:t>emitió</w:t>
      </w:r>
      <w:r>
        <w:rPr>
          <w:rFonts w:ascii="ITC Avant Garde" w:hAnsi="ITC Avant Garde"/>
          <w:noProof/>
        </w:rPr>
        <w:t xml:space="preserve"> </w:t>
      </w:r>
      <w:r w:rsidR="003034A1">
        <w:rPr>
          <w:rFonts w:ascii="ITC Avant Garde" w:hAnsi="ITC Avant Garde"/>
          <w:noProof/>
        </w:rPr>
        <w:t xml:space="preserve">el </w:t>
      </w:r>
      <w:r w:rsidR="00CD588A">
        <w:rPr>
          <w:rFonts w:ascii="ITC Avant Garde" w:hAnsi="ITC Avant Garde"/>
          <w:noProof/>
        </w:rPr>
        <w:t>D</w:t>
      </w:r>
      <w:r>
        <w:rPr>
          <w:rFonts w:ascii="ITC Avant Garde" w:hAnsi="ITC Avant Garde"/>
          <w:noProof/>
        </w:rPr>
        <w:t xml:space="preserve">ictamen </w:t>
      </w:r>
      <w:r w:rsidR="00CD588A">
        <w:rPr>
          <w:rFonts w:ascii="ITC Avant Garde" w:hAnsi="ITC Avant Garde"/>
          <w:noProof/>
        </w:rPr>
        <w:t xml:space="preserve">Preliminar </w:t>
      </w:r>
      <w:r w:rsidR="003034A1">
        <w:rPr>
          <w:rFonts w:ascii="ITC Avant Garde" w:hAnsi="ITC Avant Garde"/>
          <w:noProof/>
        </w:rPr>
        <w:t xml:space="preserve">con el que propuso a este </w:t>
      </w:r>
      <w:r w:rsidR="00B5713F">
        <w:rPr>
          <w:rFonts w:ascii="ITC Avant Garde" w:hAnsi="ITC Avant Garde"/>
          <w:noProof/>
        </w:rPr>
        <w:t>ó</w:t>
      </w:r>
      <w:r w:rsidR="003034A1">
        <w:rPr>
          <w:rFonts w:ascii="ITC Avant Garde" w:hAnsi="ITC Avant Garde"/>
          <w:noProof/>
        </w:rPr>
        <w:t xml:space="preserve">rgano </w:t>
      </w:r>
      <w:r w:rsidR="00B5713F">
        <w:rPr>
          <w:rFonts w:ascii="ITC Avant Garde" w:hAnsi="ITC Avant Garde"/>
          <w:noProof/>
        </w:rPr>
        <w:t>c</w:t>
      </w:r>
      <w:r w:rsidR="003034A1">
        <w:rPr>
          <w:rFonts w:ascii="ITC Avant Garde" w:hAnsi="ITC Avant Garde"/>
          <w:noProof/>
        </w:rPr>
        <w:t>olegiado el c</w:t>
      </w:r>
      <w:r>
        <w:rPr>
          <w:rFonts w:ascii="ITC Avant Garde" w:hAnsi="ITC Avant Garde"/>
          <w:noProof/>
        </w:rPr>
        <w:t>ierre</w:t>
      </w:r>
      <w:r w:rsidR="00CD588A">
        <w:rPr>
          <w:rFonts w:ascii="ITC Avant Garde" w:hAnsi="ITC Avant Garde"/>
          <w:noProof/>
        </w:rPr>
        <w:t xml:space="preserve"> de</w:t>
      </w:r>
      <w:r w:rsidR="003034A1">
        <w:rPr>
          <w:rFonts w:ascii="ITC Avant Garde" w:hAnsi="ITC Avant Garde"/>
          <w:noProof/>
        </w:rPr>
        <w:t>l</w:t>
      </w:r>
      <w:r w:rsidR="00CD588A">
        <w:rPr>
          <w:rFonts w:ascii="ITC Avant Garde" w:hAnsi="ITC Avant Garde"/>
          <w:noProof/>
        </w:rPr>
        <w:t xml:space="preserve"> </w:t>
      </w:r>
      <w:r w:rsidR="003034A1">
        <w:rPr>
          <w:rFonts w:ascii="ITC Avant Garde" w:hAnsi="ITC Avant Garde"/>
          <w:noProof/>
        </w:rPr>
        <w:t>e</w:t>
      </w:r>
      <w:r w:rsidR="00CD588A">
        <w:rPr>
          <w:rFonts w:ascii="ITC Avant Garde" w:hAnsi="ITC Avant Garde"/>
          <w:noProof/>
        </w:rPr>
        <w:t>xpediente</w:t>
      </w:r>
      <w:r w:rsidR="003034A1">
        <w:rPr>
          <w:rFonts w:ascii="ITC Avant Garde" w:hAnsi="ITC Avant Garde"/>
          <w:noProof/>
        </w:rPr>
        <w:t xml:space="preserve"> </w:t>
      </w:r>
      <w:r w:rsidR="003034A1">
        <w:rPr>
          <w:rFonts w:ascii="ITC Avant Garde" w:hAnsi="ITC Avant Garde"/>
        </w:rPr>
        <w:t>AI/DC-003-2018</w:t>
      </w:r>
      <w:r>
        <w:rPr>
          <w:rFonts w:ascii="ITC Avant Garde" w:hAnsi="ITC Avant Garde"/>
          <w:noProof/>
        </w:rPr>
        <w:t xml:space="preserve">, por considerar que no existen </w:t>
      </w:r>
      <w:r w:rsidRPr="00E224EB">
        <w:rPr>
          <w:rFonts w:ascii="ITC Avant Garde" w:eastAsia="Calibri" w:hAnsi="ITC Avant Garde" w:cs="Times New Roman"/>
        </w:rPr>
        <w:t xml:space="preserve">elementos </w:t>
      </w:r>
      <w:r w:rsidR="003034A1">
        <w:rPr>
          <w:rFonts w:ascii="ITC Avant Garde" w:eastAsia="Calibri" w:hAnsi="ITC Avant Garde" w:cs="Times New Roman"/>
        </w:rPr>
        <w:t xml:space="preserve">suficientes </w:t>
      </w:r>
      <w:r w:rsidRPr="00E224EB">
        <w:rPr>
          <w:rFonts w:ascii="ITC Avant Garde" w:eastAsia="Calibri" w:hAnsi="ITC Avant Garde" w:cs="Times New Roman"/>
        </w:rPr>
        <w:t xml:space="preserve">para determinar que, </w:t>
      </w:r>
      <w:r>
        <w:rPr>
          <w:rFonts w:ascii="ITC Avant Garde" w:eastAsia="Calibri" w:hAnsi="ITC Avant Garde" w:cs="Times New Roman"/>
        </w:rPr>
        <w:t>como resultado</w:t>
      </w:r>
      <w:r w:rsidRPr="00E224EB">
        <w:rPr>
          <w:rFonts w:ascii="ITC Avant Garde" w:eastAsia="Calibri" w:hAnsi="ITC Avant Garde" w:cs="Times New Roman"/>
        </w:rPr>
        <w:t xml:space="preserve"> de la </w:t>
      </w:r>
      <w:r w:rsidR="004904A0">
        <w:rPr>
          <w:rFonts w:ascii="ITC Avant Garde" w:eastAsia="Calibri" w:hAnsi="ITC Avant Garde" w:cs="Times New Roman"/>
          <w:smallCaps/>
        </w:rPr>
        <w:t>Operación</w:t>
      </w:r>
      <w:r w:rsidRPr="00E224EB">
        <w:rPr>
          <w:rFonts w:ascii="ITC Avant Garde" w:eastAsia="Calibri" w:hAnsi="ITC Avant Garde" w:cs="Times New Roman"/>
        </w:rPr>
        <w:t xml:space="preserve">, </w:t>
      </w:r>
      <w:r w:rsidR="00B04CBB">
        <w:rPr>
          <w:rFonts w:ascii="ITC Avant Garde" w:eastAsia="Calibri" w:hAnsi="ITC Avant Garde" w:cs="Calibri"/>
        </w:rPr>
        <w:t xml:space="preserve">el GIE </w:t>
      </w:r>
      <w:r w:rsidR="00B04CBB" w:rsidRPr="00B04CBB">
        <w:rPr>
          <w:rFonts w:ascii="ITC Avant Garde" w:eastAsia="Calibri" w:hAnsi="ITC Avant Garde" w:cs="Calibri"/>
        </w:rPr>
        <w:t xml:space="preserve">encabezado por American Tower Corporation y conformado por sus subsidiarias MATC Digital, S. de R.L. de C.V., MATC Infraestructura, S. de R.L. de C.V., ATC </w:t>
      </w:r>
      <w:r w:rsidR="00B04CBB">
        <w:rPr>
          <w:rFonts w:ascii="ITC Avant Garde" w:eastAsia="Calibri" w:hAnsi="ITC Avant Garde" w:cs="Calibri"/>
        </w:rPr>
        <w:t>HFM</w:t>
      </w:r>
      <w:r w:rsidR="00B04CBB" w:rsidRPr="00B04CBB">
        <w:rPr>
          <w:rFonts w:ascii="ITC Avant Garde" w:eastAsia="Calibri" w:hAnsi="ITC Avant Garde" w:cs="Calibri"/>
        </w:rPr>
        <w:t xml:space="preserve">, CFCA </w:t>
      </w:r>
      <w:r w:rsidR="00B04CBB" w:rsidRPr="00B04CBB">
        <w:rPr>
          <w:rFonts w:ascii="ITC Avant Garde" w:eastAsia="Calibri" w:hAnsi="ITC Avant Garde" w:cs="Calibri"/>
          <w:smallCaps/>
        </w:rPr>
        <w:t>Telecomm</w:t>
      </w:r>
      <w:r w:rsidR="00B04CBB">
        <w:rPr>
          <w:rFonts w:ascii="ITC Avant Garde" w:eastAsia="Calibri" w:hAnsi="ITC Avant Garde" w:cs="Calibri"/>
        </w:rPr>
        <w:t xml:space="preserve"> </w:t>
      </w:r>
      <w:r w:rsidR="00B04CBB" w:rsidRPr="00B04CBB">
        <w:rPr>
          <w:rFonts w:ascii="ITC Avant Garde" w:eastAsia="Calibri" w:hAnsi="ITC Avant Garde" w:cs="Calibri"/>
        </w:rPr>
        <w:t xml:space="preserve">y </w:t>
      </w:r>
      <w:r w:rsidR="00B04CBB" w:rsidRPr="00B04CBB">
        <w:rPr>
          <w:rFonts w:ascii="ITC Avant Garde" w:eastAsia="Calibri" w:hAnsi="ITC Avant Garde" w:cs="Calibri"/>
          <w:smallCaps/>
        </w:rPr>
        <w:t>Telco</w:t>
      </w:r>
      <w:r w:rsidR="00B04CBB">
        <w:rPr>
          <w:rFonts w:ascii="ITC Avant Garde" w:eastAsia="Calibri" w:hAnsi="ITC Avant Garde" w:cs="Calibri"/>
        </w:rPr>
        <w:t>,</w:t>
      </w:r>
      <w:r w:rsidRPr="00E224EB">
        <w:rPr>
          <w:rFonts w:ascii="ITC Avant Garde" w:eastAsia="Calibri" w:hAnsi="ITC Avant Garde" w:cs="Times New Roman"/>
        </w:rPr>
        <w:t xml:space="preserve"> adquiera poder sustancial en </w:t>
      </w:r>
      <w:r>
        <w:rPr>
          <w:rFonts w:ascii="ITC Avant Garde" w:hAnsi="ITC Avant Garde"/>
          <w:noProof/>
        </w:rPr>
        <w:t xml:space="preserve">los mercados </w:t>
      </w:r>
      <w:r w:rsidR="00EF6C53">
        <w:rPr>
          <w:rFonts w:ascii="ITC Avant Garde" w:hAnsi="ITC Avant Garde"/>
          <w:noProof/>
        </w:rPr>
        <w:t xml:space="preserve">relevantes </w:t>
      </w:r>
      <w:r>
        <w:rPr>
          <w:rFonts w:ascii="ITC Avant Garde" w:hAnsi="ITC Avant Garde"/>
          <w:noProof/>
        </w:rPr>
        <w:t>analizados</w:t>
      </w:r>
      <w:r>
        <w:rPr>
          <w:rFonts w:ascii="ITC Avant Garde" w:hAnsi="ITC Avant Garde"/>
        </w:rPr>
        <w:t xml:space="preserve"> en </w:t>
      </w:r>
      <w:r w:rsidRPr="00D202A1">
        <w:rPr>
          <w:rFonts w:ascii="ITC Avant Garde" w:eastAsia="Calibri" w:hAnsi="ITC Avant Garde" w:cs="Times New Roman"/>
        </w:rPr>
        <w:t xml:space="preserve">el </w:t>
      </w:r>
      <w:r w:rsidR="00A7497D">
        <w:rPr>
          <w:rFonts w:ascii="ITC Avant Garde" w:eastAsia="Calibri" w:hAnsi="ITC Avant Garde" w:cs="Times New Roman"/>
        </w:rPr>
        <w:t xml:space="preserve">referido </w:t>
      </w:r>
      <w:r w:rsidRPr="00D202A1">
        <w:rPr>
          <w:rFonts w:ascii="ITC Avant Garde" w:eastAsia="Calibri" w:hAnsi="ITC Avant Garde" w:cs="Times New Roman"/>
        </w:rPr>
        <w:t>expediente.</w:t>
      </w:r>
    </w:p>
    <w:p w:rsidR="00E524C6" w:rsidRDefault="00E524C6" w:rsidP="00534E7F">
      <w:pPr>
        <w:pStyle w:val="Ttulo1"/>
        <w:spacing w:before="240" w:after="160" w:line="276" w:lineRule="auto"/>
      </w:pPr>
      <w:r w:rsidRPr="008603D5">
        <w:t>Consideraciones de Derecho</w:t>
      </w:r>
    </w:p>
    <w:p w:rsidR="00E524C6" w:rsidRDefault="00E524C6" w:rsidP="00534E7F">
      <w:pPr>
        <w:spacing w:before="240" w:line="276" w:lineRule="auto"/>
        <w:jc w:val="both"/>
        <w:rPr>
          <w:rFonts w:ascii="ITC Avant Garde" w:eastAsia="Times New Roman" w:hAnsi="ITC Avant Garde"/>
          <w:smallCaps/>
          <w:lang w:eastAsia="es-ES"/>
        </w:rPr>
      </w:pPr>
      <w:r w:rsidRPr="00801849">
        <w:rPr>
          <w:rFonts w:ascii="ITC Avant Garde" w:eastAsia="Calibri" w:hAnsi="ITC Avant Garde" w:cs="Calibri"/>
          <w:b/>
          <w:smallCaps/>
        </w:rPr>
        <w:t>Primer</w:t>
      </w:r>
      <w:r>
        <w:rPr>
          <w:rFonts w:ascii="ITC Avant Garde" w:eastAsia="Calibri" w:hAnsi="ITC Avant Garde" w:cs="Calibri"/>
          <w:b/>
          <w:smallCaps/>
        </w:rPr>
        <w:t>a</w:t>
      </w:r>
      <w:r w:rsidRPr="00801849">
        <w:rPr>
          <w:rFonts w:ascii="ITC Avant Garde" w:hAnsi="ITC Avant Garde"/>
        </w:rPr>
        <w:t>.</w:t>
      </w:r>
      <w:r>
        <w:rPr>
          <w:rFonts w:ascii="ITC Avant Garde" w:hAnsi="ITC Avant Garde"/>
        </w:rPr>
        <w:t>-</w:t>
      </w:r>
      <w:r w:rsidRPr="00801849">
        <w:rPr>
          <w:rFonts w:ascii="ITC Avant Garde" w:hAnsi="ITC Avant Garde"/>
        </w:rPr>
        <w:t xml:space="preserve"> El </w:t>
      </w:r>
      <w:r w:rsidRPr="00801849">
        <w:rPr>
          <w:rFonts w:ascii="ITC Avant Garde" w:hAnsi="ITC Avant Garde"/>
          <w:smallCaps/>
        </w:rPr>
        <w:t>P</w:t>
      </w:r>
      <w:r w:rsidRPr="00801849">
        <w:rPr>
          <w:rFonts w:ascii="ITC Avant Garde" w:hAnsi="ITC Avant Garde"/>
        </w:rPr>
        <w:t>leno</w:t>
      </w:r>
      <w:r w:rsidRPr="00801849">
        <w:rPr>
          <w:rFonts w:ascii="ITC Avant Garde" w:hAnsi="ITC Avant Garde"/>
          <w:smallCaps/>
        </w:rPr>
        <w:t xml:space="preserve"> </w:t>
      </w:r>
      <w:r w:rsidRPr="00801849">
        <w:rPr>
          <w:rFonts w:ascii="ITC Avant Garde" w:hAnsi="ITC Avant Garde"/>
        </w:rPr>
        <w:t>del</w:t>
      </w:r>
      <w:r w:rsidRPr="00801849">
        <w:rPr>
          <w:rFonts w:ascii="ITC Avant Garde" w:hAnsi="ITC Avant Garde"/>
          <w:smallCaps/>
        </w:rPr>
        <w:t xml:space="preserve"> Instituto</w:t>
      </w:r>
      <w:r w:rsidRPr="00801849">
        <w:rPr>
          <w:rFonts w:ascii="ITC Avant Garde" w:hAnsi="ITC Avant Garde"/>
        </w:rPr>
        <w:t xml:space="preserve"> es competente para resolver el presente asunto, con fundamento en los artículos </w:t>
      </w:r>
      <w:r w:rsidRPr="00801849">
        <w:rPr>
          <w:rFonts w:ascii="ITC Avant Garde" w:hAnsi="ITC Avant Garde"/>
          <w:noProof/>
        </w:rPr>
        <w:t xml:space="preserve">28 párrafos décimo quinto y décimo sexto de la Constitución Política de los Estados Unidos Mexicanos; </w:t>
      </w:r>
      <w:r w:rsidRPr="00801849">
        <w:rPr>
          <w:rFonts w:ascii="ITC Avant Garde" w:hAnsi="ITC Avant Garde"/>
          <w:noProof/>
          <w:color w:val="000000"/>
        </w:rPr>
        <w:t>7 párrafo tercero, 15 fracci</w:t>
      </w:r>
      <w:r>
        <w:rPr>
          <w:rFonts w:ascii="ITC Avant Garde" w:hAnsi="ITC Avant Garde"/>
          <w:noProof/>
          <w:color w:val="000000"/>
        </w:rPr>
        <w:t>ones XVIII y</w:t>
      </w:r>
      <w:r w:rsidRPr="00801849">
        <w:rPr>
          <w:rFonts w:ascii="ITC Avant Garde" w:hAnsi="ITC Avant Garde"/>
          <w:noProof/>
          <w:color w:val="000000"/>
        </w:rPr>
        <w:t xml:space="preserve"> XX, </w:t>
      </w:r>
      <w:r w:rsidR="00E71752">
        <w:rPr>
          <w:rFonts w:ascii="ITC Avant Garde" w:hAnsi="ITC Avant Garde"/>
          <w:noProof/>
          <w:color w:val="000000"/>
        </w:rPr>
        <w:t xml:space="preserve">16, 17 </w:t>
      </w:r>
      <w:r>
        <w:rPr>
          <w:rFonts w:ascii="ITC Avant Garde" w:hAnsi="ITC Avant Garde"/>
          <w:noProof/>
          <w:color w:val="000000"/>
        </w:rPr>
        <w:t xml:space="preserve">párrafo </w:t>
      </w:r>
      <w:r w:rsidR="00E71752">
        <w:rPr>
          <w:rFonts w:ascii="ITC Avant Garde" w:hAnsi="ITC Avant Garde"/>
          <w:noProof/>
          <w:color w:val="000000"/>
        </w:rPr>
        <w:t xml:space="preserve">primero </w:t>
      </w:r>
      <w:r>
        <w:rPr>
          <w:rFonts w:ascii="ITC Avant Garde" w:hAnsi="ITC Avant Garde"/>
          <w:noProof/>
          <w:color w:val="000000"/>
        </w:rPr>
        <w:t>y fracciones I y XV</w:t>
      </w:r>
      <w:r w:rsidRPr="00801849">
        <w:rPr>
          <w:rFonts w:ascii="ITC Avant Garde" w:hAnsi="ITC Avant Garde"/>
          <w:noProof/>
          <w:color w:val="000000"/>
        </w:rPr>
        <w:t>, 264</w:t>
      </w:r>
      <w:r>
        <w:rPr>
          <w:rFonts w:ascii="ITC Avant Garde" w:hAnsi="ITC Avant Garde"/>
          <w:noProof/>
          <w:color w:val="000000"/>
        </w:rPr>
        <w:t xml:space="preserve"> párrafo</w:t>
      </w:r>
      <w:r w:rsidR="00E71752">
        <w:rPr>
          <w:rFonts w:ascii="ITC Avant Garde" w:hAnsi="ITC Avant Garde"/>
          <w:noProof/>
          <w:color w:val="000000"/>
        </w:rPr>
        <w:t xml:space="preserve"> primero</w:t>
      </w:r>
      <w:r w:rsidRPr="00801849">
        <w:rPr>
          <w:rFonts w:ascii="ITC Avant Garde" w:hAnsi="ITC Avant Garde"/>
          <w:noProof/>
          <w:color w:val="000000"/>
        </w:rPr>
        <w:t>, 279</w:t>
      </w:r>
      <w:r w:rsidR="00A7497D">
        <w:rPr>
          <w:rFonts w:ascii="ITC Avant Garde" w:hAnsi="ITC Avant Garde"/>
          <w:noProof/>
          <w:color w:val="000000"/>
        </w:rPr>
        <w:t xml:space="preserve"> y</w:t>
      </w:r>
      <w:r w:rsidRPr="00801849">
        <w:rPr>
          <w:rFonts w:ascii="ITC Avant Garde" w:hAnsi="ITC Avant Garde"/>
          <w:noProof/>
          <w:color w:val="000000"/>
        </w:rPr>
        <w:t xml:space="preserve"> 280 </w:t>
      </w:r>
      <w:r w:rsidRPr="00801849">
        <w:rPr>
          <w:rFonts w:ascii="ITC Avant Garde" w:hAnsi="ITC Avant Garde"/>
          <w:noProof/>
        </w:rPr>
        <w:t>de la</w:t>
      </w:r>
      <w:r w:rsidR="00C250C9">
        <w:rPr>
          <w:rFonts w:ascii="ITC Avant Garde" w:hAnsi="ITC Avant Garde"/>
          <w:noProof/>
        </w:rPr>
        <w:t xml:space="preserve"> Ley Federal de Telecomunicaciones y Radiodifusión</w:t>
      </w:r>
      <w:r w:rsidRPr="00801849">
        <w:rPr>
          <w:rFonts w:ascii="ITC Avant Garde" w:hAnsi="ITC Avant Garde"/>
          <w:noProof/>
          <w:color w:val="000000"/>
        </w:rPr>
        <w:t xml:space="preserve">; 5 párrafo </w:t>
      </w:r>
      <w:r w:rsidRPr="00801849">
        <w:rPr>
          <w:rFonts w:ascii="ITC Avant Garde" w:hAnsi="ITC Avant Garde"/>
          <w:noProof/>
          <w:color w:val="000000"/>
        </w:rPr>
        <w:lastRenderedPageBreak/>
        <w:t>primero</w:t>
      </w:r>
      <w:r>
        <w:rPr>
          <w:rFonts w:ascii="ITC Avant Garde" w:hAnsi="ITC Avant Garde"/>
          <w:noProof/>
          <w:color w:val="000000"/>
        </w:rPr>
        <w:t xml:space="preserve"> y 12 fracción XI</w:t>
      </w:r>
      <w:r w:rsidRPr="00801849">
        <w:rPr>
          <w:rFonts w:ascii="ITC Avant Garde" w:hAnsi="ITC Avant Garde"/>
          <w:noProof/>
          <w:color w:val="000000"/>
        </w:rPr>
        <w:t xml:space="preserve"> de la</w:t>
      </w:r>
      <w:r w:rsidR="00C250C9">
        <w:rPr>
          <w:rFonts w:ascii="ITC Avant Garde" w:hAnsi="ITC Avant Garde"/>
          <w:noProof/>
          <w:color w:val="000000"/>
        </w:rPr>
        <w:t xml:space="preserve"> Ley Federal de Competencia Económica</w:t>
      </w:r>
      <w:r w:rsidRPr="00801849">
        <w:rPr>
          <w:rFonts w:ascii="ITC Avant Garde" w:hAnsi="ITC Avant Garde"/>
          <w:noProof/>
        </w:rPr>
        <w:t>;</w:t>
      </w:r>
      <w:r w:rsidRPr="00801849">
        <w:rPr>
          <w:rFonts w:ascii="ITC Avant Garde" w:hAnsi="ITC Avant Garde"/>
          <w:noProof/>
          <w:color w:val="000000"/>
        </w:rPr>
        <w:t xml:space="preserve"> </w:t>
      </w:r>
      <w:r w:rsidR="00A7497D">
        <w:rPr>
          <w:rFonts w:ascii="ITC Avant Garde" w:hAnsi="ITC Avant Garde"/>
          <w:noProof/>
          <w:color w:val="000000"/>
        </w:rPr>
        <w:t>así como</w:t>
      </w:r>
      <w:r>
        <w:rPr>
          <w:rFonts w:ascii="ITC Avant Garde" w:hAnsi="ITC Avant Garde"/>
          <w:noProof/>
          <w:color w:val="000000"/>
        </w:rPr>
        <w:t xml:space="preserve"> </w:t>
      </w:r>
      <w:r w:rsidRPr="00801849">
        <w:rPr>
          <w:rFonts w:ascii="ITC Avant Garde" w:hAnsi="ITC Avant Garde"/>
          <w:noProof/>
          <w:color w:val="000000"/>
        </w:rPr>
        <w:t xml:space="preserve">6 fracciones </w:t>
      </w:r>
      <w:r>
        <w:rPr>
          <w:rFonts w:ascii="ITC Avant Garde" w:hAnsi="ITC Avant Garde"/>
          <w:noProof/>
          <w:color w:val="000000"/>
        </w:rPr>
        <w:t xml:space="preserve">VIII </w:t>
      </w:r>
      <w:r w:rsidRPr="00BF7842">
        <w:rPr>
          <w:rFonts w:ascii="ITC Avant Garde" w:hAnsi="ITC Avant Garde"/>
          <w:i/>
          <w:noProof/>
          <w:color w:val="000000"/>
        </w:rPr>
        <w:t>in fine</w:t>
      </w:r>
      <w:r>
        <w:rPr>
          <w:rFonts w:ascii="ITC Avant Garde" w:hAnsi="ITC Avant Garde"/>
          <w:noProof/>
          <w:color w:val="000000"/>
        </w:rPr>
        <w:t xml:space="preserve">, </w:t>
      </w:r>
      <w:r w:rsidRPr="00801849">
        <w:rPr>
          <w:rFonts w:ascii="ITC Avant Garde" w:hAnsi="ITC Avant Garde"/>
          <w:noProof/>
          <w:color w:val="000000"/>
        </w:rPr>
        <w:t xml:space="preserve">XII y </w:t>
      </w:r>
      <w:r w:rsidRPr="00BC3891">
        <w:rPr>
          <w:rFonts w:ascii="ITC Avant Garde" w:hAnsi="ITC Avant Garde"/>
          <w:noProof/>
          <w:color w:val="000000"/>
        </w:rPr>
        <w:t>XXXVII</w:t>
      </w:r>
      <w:r w:rsidR="00296CD5" w:rsidRPr="00BC3891">
        <w:rPr>
          <w:rFonts w:ascii="ITC Avant Garde" w:hAnsi="ITC Avant Garde"/>
          <w:noProof/>
          <w:color w:val="000000"/>
        </w:rPr>
        <w:t>I</w:t>
      </w:r>
      <w:r>
        <w:rPr>
          <w:rFonts w:ascii="ITC Avant Garde" w:hAnsi="ITC Avant Garde"/>
          <w:noProof/>
          <w:color w:val="000000"/>
        </w:rPr>
        <w:t xml:space="preserve"> </w:t>
      </w:r>
      <w:r w:rsidRPr="00801849">
        <w:rPr>
          <w:rFonts w:ascii="ITC Avant Garde" w:hAnsi="ITC Avant Garde"/>
          <w:noProof/>
          <w:color w:val="000000"/>
        </w:rPr>
        <w:t xml:space="preserve">del </w:t>
      </w:r>
      <w:r w:rsidR="001F0989" w:rsidRPr="001F0989">
        <w:rPr>
          <w:rFonts w:ascii="ITC Avant Garde" w:eastAsia="Calibri" w:hAnsi="ITC Avant Garde" w:cs="Calibri"/>
        </w:rPr>
        <w:t>Estatuto Orgánico del Instituto Fed</w:t>
      </w:r>
      <w:r w:rsidR="001F0989">
        <w:rPr>
          <w:rFonts w:ascii="ITC Avant Garde" w:eastAsia="Calibri" w:hAnsi="ITC Avant Garde" w:cs="Calibri"/>
        </w:rPr>
        <w:t>eral de Telecomunicaciones</w:t>
      </w:r>
      <w:r w:rsidR="001F0989" w:rsidRPr="001F0989">
        <w:rPr>
          <w:rFonts w:ascii="ITC Avant Garde" w:eastAsia="Times New Roman" w:hAnsi="ITC Avant Garde"/>
          <w:lang w:val="es-ES" w:eastAsia="es-ES"/>
        </w:rPr>
        <w:t>.</w:t>
      </w:r>
    </w:p>
    <w:p w:rsidR="00E524C6" w:rsidRDefault="00E524C6" w:rsidP="00534E7F">
      <w:pPr>
        <w:spacing w:before="24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  <w:smallCaps/>
        </w:rPr>
        <w:t>Segunda</w:t>
      </w:r>
      <w:r w:rsidRPr="00801849">
        <w:rPr>
          <w:rFonts w:ascii="ITC Avant Garde" w:hAnsi="ITC Avant Garde"/>
          <w:b/>
        </w:rPr>
        <w:t>.-</w:t>
      </w:r>
      <w:r w:rsidRPr="00801849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De acuerdo con los elementos presentados por la Autoridad Investigadora en el Dictamen </w:t>
      </w:r>
      <w:r w:rsidR="00CD588A">
        <w:rPr>
          <w:rFonts w:ascii="ITC Avant Garde" w:hAnsi="ITC Avant Garde"/>
        </w:rPr>
        <w:t>Preliminar</w:t>
      </w:r>
      <w:r w:rsidR="003034A1">
        <w:rPr>
          <w:rFonts w:ascii="ITC Avant Garde" w:hAnsi="ITC Avant Garde"/>
        </w:rPr>
        <w:t xml:space="preserve"> por el que propone el</w:t>
      </w:r>
      <w:r>
        <w:rPr>
          <w:rFonts w:ascii="ITC Avant Garde" w:hAnsi="ITC Avant Garde"/>
        </w:rPr>
        <w:t xml:space="preserve"> </w:t>
      </w:r>
      <w:r w:rsidR="003034A1">
        <w:rPr>
          <w:rFonts w:ascii="ITC Avant Garde" w:hAnsi="ITC Avant Garde"/>
        </w:rPr>
        <w:t>c</w:t>
      </w:r>
      <w:r>
        <w:rPr>
          <w:rFonts w:ascii="ITC Avant Garde" w:hAnsi="ITC Avant Garde"/>
        </w:rPr>
        <w:t>ierre de</w:t>
      </w:r>
      <w:r w:rsidR="003034A1">
        <w:rPr>
          <w:rFonts w:ascii="ITC Avant Garde" w:hAnsi="ITC Avant Garde"/>
        </w:rPr>
        <w:t>l</w:t>
      </w:r>
      <w:r>
        <w:rPr>
          <w:rFonts w:ascii="ITC Avant Garde" w:hAnsi="ITC Avant Garde"/>
        </w:rPr>
        <w:t xml:space="preserve"> </w:t>
      </w:r>
      <w:r w:rsidR="003034A1">
        <w:rPr>
          <w:rFonts w:ascii="ITC Avant Garde" w:hAnsi="ITC Avant Garde"/>
        </w:rPr>
        <w:t>e</w:t>
      </w:r>
      <w:r>
        <w:rPr>
          <w:rFonts w:ascii="ITC Avant Garde" w:hAnsi="ITC Avant Garde"/>
        </w:rPr>
        <w:t>xpediente</w:t>
      </w:r>
      <w:r w:rsidR="003034A1">
        <w:rPr>
          <w:rFonts w:ascii="ITC Avant Garde" w:hAnsi="ITC Avant Garde"/>
        </w:rPr>
        <w:t xml:space="preserve"> AI/DC-003-2018</w:t>
      </w:r>
      <w:r>
        <w:rPr>
          <w:rFonts w:ascii="ITC Avant Garde" w:hAnsi="ITC Avant Garde"/>
        </w:rPr>
        <w:t>:</w:t>
      </w:r>
    </w:p>
    <w:p w:rsidR="00CD588A" w:rsidRPr="00CD588A" w:rsidRDefault="00E524C6" w:rsidP="00534E7F">
      <w:pPr>
        <w:spacing w:before="240" w:line="276" w:lineRule="auto"/>
        <w:jc w:val="both"/>
        <w:rPr>
          <w:rFonts w:ascii="ITC Avant Garde" w:hAnsi="ITC Avant Garde"/>
        </w:rPr>
      </w:pPr>
      <w:r w:rsidRPr="00826DD4">
        <w:rPr>
          <w:rFonts w:ascii="ITC Avant Garde" w:hAnsi="ITC Avant Garde"/>
        </w:rPr>
        <w:t xml:space="preserve">[i] </w:t>
      </w:r>
      <w:r w:rsidR="00CD588A" w:rsidRPr="00CD588A">
        <w:rPr>
          <w:rFonts w:ascii="ITC Avant Garde" w:hAnsi="ITC Avant Garde"/>
        </w:rPr>
        <w:t xml:space="preserve">American Tower Corporation, en su carácter de controlador, MATC Digital, S. de R.L. de C.V., MATC Infraestructura, S. de R.L. de C.V., ATC </w:t>
      </w:r>
      <w:r w:rsidR="0047627B">
        <w:rPr>
          <w:rFonts w:ascii="ITC Avant Garde" w:hAnsi="ITC Avant Garde"/>
        </w:rPr>
        <w:t>HFM</w:t>
      </w:r>
      <w:r w:rsidR="00CD588A" w:rsidRPr="00CD588A">
        <w:rPr>
          <w:rFonts w:ascii="ITC Avant Garde" w:hAnsi="ITC Avant Garde"/>
        </w:rPr>
        <w:t xml:space="preserve">, CFCA </w:t>
      </w:r>
      <w:r w:rsidR="0047627B">
        <w:rPr>
          <w:rFonts w:ascii="ITC Avant Garde" w:hAnsi="ITC Avant Garde"/>
          <w:smallCaps/>
        </w:rPr>
        <w:t>Telecomm</w:t>
      </w:r>
      <w:r w:rsidR="00CD588A" w:rsidRPr="00CD588A">
        <w:rPr>
          <w:rFonts w:ascii="ITC Avant Garde" w:hAnsi="ITC Avant Garde"/>
        </w:rPr>
        <w:t xml:space="preserve"> </w:t>
      </w:r>
      <w:r w:rsidR="0047627B">
        <w:rPr>
          <w:rFonts w:ascii="ITC Avant Garde" w:hAnsi="ITC Avant Garde"/>
        </w:rPr>
        <w:t xml:space="preserve">y </w:t>
      </w:r>
      <w:r w:rsidR="0047627B" w:rsidRPr="0047627B">
        <w:rPr>
          <w:rFonts w:ascii="ITC Avant Garde" w:hAnsi="ITC Avant Garde"/>
          <w:smallCaps/>
        </w:rPr>
        <w:t>Telco</w:t>
      </w:r>
      <w:r w:rsidR="00CD588A" w:rsidRPr="00CD588A">
        <w:rPr>
          <w:rFonts w:ascii="ITC Avant Garde" w:hAnsi="ITC Avant Garde"/>
        </w:rPr>
        <w:t xml:space="preserve">, integran un </w:t>
      </w:r>
      <w:r w:rsidR="0047627B">
        <w:rPr>
          <w:rFonts w:ascii="ITC Avant Garde" w:hAnsi="ITC Avant Garde"/>
        </w:rPr>
        <w:t>GIE</w:t>
      </w:r>
      <w:r w:rsidR="00CD588A" w:rsidRPr="00CD588A">
        <w:rPr>
          <w:rFonts w:ascii="ITC Avant Garde" w:hAnsi="ITC Avant Garde"/>
        </w:rPr>
        <w:t xml:space="preserve"> denomina</w:t>
      </w:r>
      <w:r w:rsidR="00B04CBB">
        <w:rPr>
          <w:rFonts w:ascii="ITC Avant Garde" w:hAnsi="ITC Avant Garde"/>
        </w:rPr>
        <w:t>do</w:t>
      </w:r>
      <w:r w:rsidR="00CD588A" w:rsidRPr="00CD588A">
        <w:rPr>
          <w:rFonts w:ascii="ITC Avant Garde" w:hAnsi="ITC Avant Garde"/>
        </w:rPr>
        <w:t xml:space="preserve"> ATC</w:t>
      </w:r>
      <w:r w:rsidR="00B04CBB">
        <w:rPr>
          <w:rFonts w:ascii="ITC Avant Garde" w:hAnsi="ITC Avant Garde"/>
        </w:rPr>
        <w:t>.</w:t>
      </w:r>
    </w:p>
    <w:p w:rsidR="007568E6" w:rsidRDefault="00E524C6" w:rsidP="00534E7F">
      <w:pPr>
        <w:spacing w:before="240" w:line="276" w:lineRule="auto"/>
        <w:jc w:val="both"/>
        <w:rPr>
          <w:rFonts w:ascii="ITC Avant Garde" w:hAnsi="ITC Avant Garde"/>
        </w:rPr>
      </w:pPr>
      <w:r w:rsidRPr="00BF7842">
        <w:rPr>
          <w:rFonts w:ascii="ITC Avant Garde" w:hAnsi="ITC Avant Garde"/>
          <w:smallCaps/>
        </w:rPr>
        <w:t>[</w:t>
      </w:r>
      <w:r w:rsidRPr="00BF7842">
        <w:rPr>
          <w:rFonts w:ascii="ITC Avant Garde" w:hAnsi="ITC Avant Garde"/>
        </w:rPr>
        <w:t>ii</w:t>
      </w:r>
      <w:r w:rsidRPr="00BF7842">
        <w:rPr>
          <w:rFonts w:ascii="ITC Avant Garde" w:hAnsi="ITC Avant Garde"/>
          <w:smallCaps/>
        </w:rPr>
        <w:t xml:space="preserve">] </w:t>
      </w:r>
      <w:r w:rsidRPr="00BF7842">
        <w:rPr>
          <w:rFonts w:ascii="ITC Avant Garde" w:hAnsi="ITC Avant Garde"/>
        </w:rPr>
        <w:t>No existen elementos para determinar que</w:t>
      </w:r>
      <w:r>
        <w:rPr>
          <w:rFonts w:ascii="ITC Avant Garde" w:hAnsi="ITC Avant Garde"/>
        </w:rPr>
        <w:t xml:space="preserve"> el</w:t>
      </w:r>
      <w:r w:rsidRPr="00BF7842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GIE</w:t>
      </w:r>
      <w:r w:rsidRPr="00BF7842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referido</w:t>
      </w:r>
      <w:r w:rsidRPr="00BF7842">
        <w:rPr>
          <w:rFonts w:ascii="ITC Avant Garde" w:hAnsi="ITC Avant Garde"/>
        </w:rPr>
        <w:t xml:space="preserve"> en el inciso </w:t>
      </w:r>
      <w:r>
        <w:rPr>
          <w:rFonts w:ascii="ITC Avant Garde" w:hAnsi="ITC Avant Garde"/>
        </w:rPr>
        <w:t>“[</w:t>
      </w:r>
      <w:r w:rsidRPr="00BF7842">
        <w:rPr>
          <w:rFonts w:ascii="ITC Avant Garde" w:hAnsi="ITC Avant Garde"/>
        </w:rPr>
        <w:t>i</w:t>
      </w:r>
      <w:r>
        <w:rPr>
          <w:rFonts w:ascii="ITC Avant Garde" w:hAnsi="ITC Avant Garde"/>
        </w:rPr>
        <w:t>]”</w:t>
      </w:r>
      <w:r w:rsidRPr="00BF7842">
        <w:rPr>
          <w:rFonts w:ascii="ITC Avant Garde" w:hAnsi="ITC Avant Garde"/>
        </w:rPr>
        <w:t xml:space="preserve"> de esta consideración, adquiera poder sustancial en los mercados </w:t>
      </w:r>
      <w:r>
        <w:rPr>
          <w:rFonts w:ascii="ITC Avant Garde" w:hAnsi="ITC Avant Garde"/>
        </w:rPr>
        <w:t>relevantes de los servicios de arrendamiento de enlaces dedicados</w:t>
      </w:r>
      <w:r w:rsidR="007568E6">
        <w:rPr>
          <w:rFonts w:ascii="ITC Avant Garde" w:hAnsi="ITC Avant Garde"/>
        </w:rPr>
        <w:t xml:space="preserve"> identificados en el Dictamen Preliminar.</w:t>
      </w:r>
    </w:p>
    <w:p w:rsidR="007568E6" w:rsidRDefault="00E524C6" w:rsidP="00534E7F">
      <w:pPr>
        <w:spacing w:before="240" w:line="276" w:lineRule="auto"/>
        <w:jc w:val="both"/>
        <w:rPr>
          <w:rFonts w:ascii="ITC Avant Garde" w:hAnsi="ITC Avant Garde"/>
        </w:rPr>
      </w:pPr>
      <w:r w:rsidRPr="00BF7842">
        <w:rPr>
          <w:rFonts w:ascii="ITC Avant Garde" w:hAnsi="ITC Avant Garde"/>
        </w:rPr>
        <w:t>[iii] No existen elementos para determinar que</w:t>
      </w:r>
      <w:r>
        <w:rPr>
          <w:rFonts w:ascii="ITC Avant Garde" w:hAnsi="ITC Avant Garde"/>
        </w:rPr>
        <w:t xml:space="preserve"> el</w:t>
      </w:r>
      <w:r w:rsidRPr="00BF7842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GIE</w:t>
      </w:r>
      <w:r w:rsidRPr="00BF7842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referido</w:t>
      </w:r>
      <w:r w:rsidRPr="00BF7842">
        <w:rPr>
          <w:rFonts w:ascii="ITC Avant Garde" w:hAnsi="ITC Avant Garde"/>
        </w:rPr>
        <w:t xml:space="preserve"> en el inciso </w:t>
      </w:r>
      <w:r>
        <w:rPr>
          <w:rFonts w:ascii="ITC Avant Garde" w:hAnsi="ITC Avant Garde"/>
        </w:rPr>
        <w:t>“[</w:t>
      </w:r>
      <w:r w:rsidRPr="00BF7842">
        <w:rPr>
          <w:rFonts w:ascii="ITC Avant Garde" w:hAnsi="ITC Avant Garde"/>
        </w:rPr>
        <w:t>i</w:t>
      </w:r>
      <w:r>
        <w:rPr>
          <w:rFonts w:ascii="ITC Avant Garde" w:hAnsi="ITC Avant Garde"/>
        </w:rPr>
        <w:t>]”</w:t>
      </w:r>
      <w:r w:rsidRPr="00BF7842">
        <w:rPr>
          <w:rFonts w:ascii="ITC Avant Garde" w:hAnsi="ITC Avant Garde"/>
        </w:rPr>
        <w:t xml:space="preserve"> de esta consideración, </w:t>
      </w:r>
      <w:r w:rsidR="00296CD5" w:rsidRPr="00296CD5">
        <w:rPr>
          <w:rFonts w:ascii="ITC Avant Garde" w:hAnsi="ITC Avant Garde"/>
        </w:rPr>
        <w:t>adquiera poder sustancial en el mercado relevante del servicio de acceso a internet dedicado</w:t>
      </w:r>
      <w:r w:rsidR="007568E6">
        <w:rPr>
          <w:rFonts w:ascii="ITC Avant Garde" w:hAnsi="ITC Avant Garde"/>
        </w:rPr>
        <w:t xml:space="preserve"> identificado en el Dictamen Preliminar.</w:t>
      </w:r>
    </w:p>
    <w:p w:rsidR="00296CD5" w:rsidRDefault="00E524C6" w:rsidP="00534E7F">
      <w:pPr>
        <w:spacing w:before="240" w:line="276" w:lineRule="auto"/>
        <w:jc w:val="both"/>
        <w:rPr>
          <w:rFonts w:ascii="ITC Avant Garde" w:hAnsi="ITC Avant Garde"/>
        </w:rPr>
      </w:pPr>
      <w:r w:rsidRPr="00BF7842">
        <w:rPr>
          <w:rFonts w:ascii="ITC Avant Garde" w:hAnsi="ITC Avant Garde"/>
        </w:rPr>
        <w:t>[iv] No existen elementos para determinar que</w:t>
      </w:r>
      <w:r>
        <w:rPr>
          <w:rFonts w:ascii="ITC Avant Garde" w:hAnsi="ITC Avant Garde"/>
        </w:rPr>
        <w:t xml:space="preserve"> el</w:t>
      </w:r>
      <w:r w:rsidRPr="00BF7842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GIE</w:t>
      </w:r>
      <w:r w:rsidRPr="00BF7842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referido</w:t>
      </w:r>
      <w:r w:rsidRPr="00BF7842">
        <w:rPr>
          <w:rFonts w:ascii="ITC Avant Garde" w:hAnsi="ITC Avant Garde"/>
        </w:rPr>
        <w:t xml:space="preserve"> en el inciso </w:t>
      </w:r>
      <w:r>
        <w:rPr>
          <w:rFonts w:ascii="ITC Avant Garde" w:hAnsi="ITC Avant Garde"/>
        </w:rPr>
        <w:t>“[</w:t>
      </w:r>
      <w:r w:rsidRPr="00BF7842">
        <w:rPr>
          <w:rFonts w:ascii="ITC Avant Garde" w:hAnsi="ITC Avant Garde"/>
        </w:rPr>
        <w:t>i</w:t>
      </w:r>
      <w:r>
        <w:rPr>
          <w:rFonts w:ascii="ITC Avant Garde" w:hAnsi="ITC Avant Garde"/>
        </w:rPr>
        <w:t>]”</w:t>
      </w:r>
      <w:r w:rsidRPr="00BF7842">
        <w:rPr>
          <w:rFonts w:ascii="ITC Avant Garde" w:hAnsi="ITC Avant Garde"/>
        </w:rPr>
        <w:t xml:space="preserve"> de esta consideración,</w:t>
      </w:r>
      <w:r w:rsidR="00296CD5">
        <w:rPr>
          <w:rFonts w:ascii="ITC Avant Garde" w:hAnsi="ITC Avant Garde"/>
        </w:rPr>
        <w:t xml:space="preserve"> </w:t>
      </w:r>
      <w:r w:rsidR="00296CD5" w:rsidRPr="00296CD5">
        <w:rPr>
          <w:rFonts w:ascii="ITC Avant Garde" w:hAnsi="ITC Avant Garde"/>
        </w:rPr>
        <w:t xml:space="preserve">adquiera poder sustancial en el mercado relevante del servicio de arrendamiento de sitios de telecomunicaciones </w:t>
      </w:r>
      <w:r w:rsidR="007568E6">
        <w:rPr>
          <w:rFonts w:ascii="ITC Avant Garde" w:hAnsi="ITC Avant Garde"/>
        </w:rPr>
        <w:t>identificado en el Dictamen Preliminar.</w:t>
      </w:r>
    </w:p>
    <w:p w:rsidR="00E524C6" w:rsidRDefault="00E524C6" w:rsidP="00534E7F">
      <w:pPr>
        <w:spacing w:before="240" w:line="276" w:lineRule="auto"/>
        <w:jc w:val="both"/>
        <w:rPr>
          <w:rFonts w:ascii="ITC Avant Garde" w:hAnsi="ITC Avant Garde"/>
        </w:rPr>
      </w:pPr>
      <w:r>
        <w:rPr>
          <w:rFonts w:ascii="ITC Avant Garde" w:eastAsia="Calibri" w:hAnsi="ITC Avant Garde" w:cs="Calibri"/>
          <w:b/>
          <w:smallCaps/>
        </w:rPr>
        <w:t>Tercera</w:t>
      </w:r>
      <w:r w:rsidRPr="00801849">
        <w:rPr>
          <w:rFonts w:ascii="ITC Avant Garde" w:eastAsia="Calibri" w:hAnsi="ITC Avant Garde" w:cs="Calibri"/>
          <w:b/>
          <w:smallCaps/>
        </w:rPr>
        <w:t>.-</w:t>
      </w:r>
      <w:r w:rsidRPr="00801849">
        <w:rPr>
          <w:rFonts w:ascii="ITC Avant Garde" w:eastAsia="Times New Roman" w:hAnsi="ITC Avant Garde" w:cs="Calibri"/>
          <w:b/>
          <w:bCs/>
          <w:lang w:eastAsia="es-ES"/>
        </w:rPr>
        <w:t xml:space="preserve"> </w:t>
      </w:r>
      <w:r>
        <w:rPr>
          <w:rFonts w:ascii="ITC Avant Garde" w:eastAsia="Times New Roman" w:hAnsi="ITC Avant Garde" w:cs="Calibri"/>
          <w:bCs/>
          <w:lang w:eastAsia="es-ES"/>
        </w:rPr>
        <w:t>De conformidad con el artículo 120</w:t>
      </w:r>
      <w:r w:rsidR="003034A1">
        <w:rPr>
          <w:rFonts w:ascii="ITC Avant Garde" w:eastAsia="Times New Roman" w:hAnsi="ITC Avant Garde" w:cs="Calibri"/>
          <w:bCs/>
          <w:lang w:eastAsia="es-ES"/>
        </w:rPr>
        <w:t>,</w:t>
      </w:r>
      <w:r>
        <w:rPr>
          <w:rFonts w:ascii="ITC Avant Garde" w:eastAsia="Times New Roman" w:hAnsi="ITC Avant Garde" w:cs="Calibri"/>
          <w:bCs/>
          <w:lang w:eastAsia="es-ES"/>
        </w:rPr>
        <w:t xml:space="preserve"> fracción II</w:t>
      </w:r>
      <w:r w:rsidR="003034A1">
        <w:rPr>
          <w:rFonts w:ascii="ITC Avant Garde" w:eastAsia="Times New Roman" w:hAnsi="ITC Avant Garde" w:cs="Calibri"/>
          <w:bCs/>
          <w:lang w:eastAsia="es-ES"/>
        </w:rPr>
        <w:t>,</w:t>
      </w:r>
      <w:r>
        <w:rPr>
          <w:rFonts w:ascii="ITC Avant Garde" w:eastAsia="Times New Roman" w:hAnsi="ITC Avant Garde" w:cs="Calibri"/>
          <w:bCs/>
          <w:lang w:eastAsia="es-ES"/>
        </w:rPr>
        <w:t xml:space="preserve"> de las Disposiciones Regulatoria</w:t>
      </w:r>
      <w:r w:rsidR="001F0989">
        <w:rPr>
          <w:rFonts w:ascii="ITC Avant Garde" w:eastAsia="Times New Roman" w:hAnsi="ITC Avant Garde" w:cs="Calibri"/>
          <w:bCs/>
          <w:lang w:eastAsia="es-ES"/>
        </w:rPr>
        <w:t>s</w:t>
      </w:r>
      <w:r w:rsidR="001F0989" w:rsidRPr="001F0989">
        <w:t xml:space="preserve"> </w:t>
      </w:r>
      <w:r w:rsidR="001F0989" w:rsidRPr="001F0989">
        <w:rPr>
          <w:rFonts w:ascii="ITC Avant Garde" w:eastAsia="Times New Roman" w:hAnsi="ITC Avant Garde" w:cs="Calibri"/>
          <w:bCs/>
          <w:lang w:eastAsia="es-ES"/>
        </w:rPr>
        <w:t>de la Ley Federal de Competencia Económica para los sectores de telecomunicaciones y radiodifusión</w:t>
      </w:r>
      <w:r w:rsidR="004C09E4">
        <w:rPr>
          <w:rFonts w:ascii="ITC Avant Garde" w:eastAsia="Times New Roman" w:hAnsi="ITC Avant Garde" w:cs="Calibri"/>
          <w:bCs/>
          <w:lang w:eastAsia="es-ES"/>
        </w:rPr>
        <w:t>,</w:t>
      </w:r>
      <w:r>
        <w:rPr>
          <w:rFonts w:ascii="ITC Avant Garde" w:eastAsia="Times New Roman" w:hAnsi="ITC Avant Garde" w:cs="Calibri"/>
          <w:bCs/>
          <w:lang w:eastAsia="es-ES"/>
        </w:rPr>
        <w:t xml:space="preserve"> y una vez analizado el </w:t>
      </w:r>
      <w:r w:rsidRPr="00BF7842">
        <w:rPr>
          <w:rFonts w:ascii="ITC Avant Garde" w:eastAsia="Times New Roman" w:hAnsi="ITC Avant Garde" w:cs="Calibri"/>
          <w:bCs/>
          <w:lang w:eastAsia="es-ES"/>
        </w:rPr>
        <w:t xml:space="preserve">Dictamen </w:t>
      </w:r>
      <w:r w:rsidR="003034A1">
        <w:rPr>
          <w:rFonts w:ascii="ITC Avant Garde" w:eastAsia="Times New Roman" w:hAnsi="ITC Avant Garde" w:cs="Calibri"/>
          <w:bCs/>
          <w:lang w:eastAsia="es-ES"/>
        </w:rPr>
        <w:t xml:space="preserve">Preliminar </w:t>
      </w:r>
      <w:r>
        <w:rPr>
          <w:rFonts w:ascii="ITC Avant Garde" w:eastAsia="Times New Roman" w:hAnsi="ITC Avant Garde" w:cs="Calibri"/>
          <w:bCs/>
          <w:lang w:eastAsia="es-ES"/>
        </w:rPr>
        <w:t>presenta</w:t>
      </w:r>
      <w:r w:rsidR="00370CDB">
        <w:rPr>
          <w:rFonts w:ascii="ITC Avant Garde" w:eastAsia="Times New Roman" w:hAnsi="ITC Avant Garde" w:cs="Calibri"/>
          <w:bCs/>
          <w:lang w:eastAsia="es-ES"/>
        </w:rPr>
        <w:t xml:space="preserve">do por </w:t>
      </w:r>
      <w:r>
        <w:rPr>
          <w:rFonts w:ascii="ITC Avant Garde" w:eastAsia="Times New Roman" w:hAnsi="ITC Avant Garde" w:cs="Calibri"/>
          <w:bCs/>
          <w:lang w:eastAsia="es-ES"/>
        </w:rPr>
        <w:t>l</w:t>
      </w:r>
      <w:r w:rsidR="00370CDB">
        <w:rPr>
          <w:rFonts w:ascii="ITC Avant Garde" w:eastAsia="Times New Roman" w:hAnsi="ITC Avant Garde" w:cs="Calibri"/>
          <w:bCs/>
          <w:lang w:eastAsia="es-ES"/>
        </w:rPr>
        <w:t>a</w:t>
      </w:r>
      <w:r>
        <w:rPr>
          <w:rFonts w:ascii="ITC Avant Garde" w:eastAsia="Times New Roman" w:hAnsi="ITC Avant Garde" w:cs="Calibri"/>
          <w:bCs/>
          <w:lang w:eastAsia="es-ES"/>
        </w:rPr>
        <w:t xml:space="preserve"> Titular de la Autoridad Investigadora,</w:t>
      </w:r>
      <w:r w:rsidR="000236FC">
        <w:rPr>
          <w:rFonts w:ascii="ITC Avant Garde" w:eastAsia="Times New Roman" w:hAnsi="ITC Avant Garde" w:cs="Calibri"/>
          <w:bCs/>
          <w:lang w:eastAsia="es-ES"/>
        </w:rPr>
        <w:t xml:space="preserve"> por el que propone el cierre del expediente </w:t>
      </w:r>
      <w:r w:rsidR="000236FC">
        <w:rPr>
          <w:rFonts w:ascii="ITC Avant Garde" w:hAnsi="ITC Avant Garde"/>
        </w:rPr>
        <w:t>AI/DC-003-2018,</w:t>
      </w:r>
      <w:r>
        <w:rPr>
          <w:rFonts w:ascii="ITC Avant Garde" w:eastAsia="Times New Roman" w:hAnsi="ITC Avant Garde" w:cs="Calibri"/>
          <w:bCs/>
          <w:lang w:eastAsia="es-ES"/>
        </w:rPr>
        <w:t xml:space="preserve"> el</w:t>
      </w:r>
      <w:r w:rsidRPr="008E3509">
        <w:rPr>
          <w:rFonts w:ascii="ITC Avant Garde" w:hAnsi="ITC Avant Garde"/>
          <w:smallCaps/>
        </w:rPr>
        <w:t xml:space="preserve"> </w:t>
      </w:r>
      <w:r w:rsidRPr="00801849">
        <w:rPr>
          <w:rFonts w:ascii="ITC Avant Garde" w:hAnsi="ITC Avant Garde"/>
          <w:smallCaps/>
        </w:rPr>
        <w:t>P</w:t>
      </w:r>
      <w:r w:rsidRPr="00801849">
        <w:rPr>
          <w:rFonts w:ascii="ITC Avant Garde" w:hAnsi="ITC Avant Garde"/>
        </w:rPr>
        <w:t>leno</w:t>
      </w:r>
      <w:r w:rsidRPr="00801849">
        <w:rPr>
          <w:rFonts w:ascii="ITC Avant Garde" w:hAnsi="ITC Avant Garde"/>
          <w:smallCaps/>
        </w:rPr>
        <w:t xml:space="preserve"> </w:t>
      </w:r>
      <w:r w:rsidRPr="00801849">
        <w:rPr>
          <w:rFonts w:ascii="ITC Avant Garde" w:hAnsi="ITC Avant Garde"/>
        </w:rPr>
        <w:t>del</w:t>
      </w:r>
      <w:r w:rsidRPr="00801849">
        <w:rPr>
          <w:rFonts w:ascii="ITC Avant Garde" w:hAnsi="ITC Avant Garde"/>
          <w:smallCaps/>
        </w:rPr>
        <w:t xml:space="preserve"> Instituto</w:t>
      </w:r>
      <w:r>
        <w:rPr>
          <w:rFonts w:ascii="ITC Avant Garde" w:hAnsi="ITC Avant Garde"/>
          <w:smallCaps/>
        </w:rPr>
        <w:t xml:space="preserve"> </w:t>
      </w:r>
      <w:r w:rsidRPr="00801849">
        <w:rPr>
          <w:rFonts w:ascii="ITC Avant Garde" w:hAnsi="ITC Avant Garde"/>
        </w:rPr>
        <w:t xml:space="preserve">considera que no existen elementos </w:t>
      </w:r>
      <w:r>
        <w:rPr>
          <w:rFonts w:ascii="ITC Avant Garde" w:hAnsi="ITC Avant Garde"/>
        </w:rPr>
        <w:t xml:space="preserve">suficientes </w:t>
      </w:r>
      <w:r w:rsidRPr="00801849">
        <w:rPr>
          <w:rFonts w:ascii="ITC Avant Garde" w:hAnsi="ITC Avant Garde"/>
        </w:rPr>
        <w:t xml:space="preserve">para </w:t>
      </w:r>
      <w:r>
        <w:rPr>
          <w:rFonts w:ascii="ITC Avant Garde" w:hAnsi="ITC Avant Garde"/>
        </w:rPr>
        <w:t xml:space="preserve">ordenar el inicio del procedimiento previsto en las fracciones V </w:t>
      </w:r>
      <w:r w:rsidRPr="00660DAA">
        <w:rPr>
          <w:rFonts w:ascii="ITC Avant Garde" w:hAnsi="ITC Avant Garde"/>
          <w:i/>
        </w:rPr>
        <w:t>in fine</w:t>
      </w:r>
      <w:r>
        <w:rPr>
          <w:rFonts w:ascii="ITC Avant Garde" w:hAnsi="ITC Avant Garde"/>
        </w:rPr>
        <w:t xml:space="preserve"> y VI a X del artículo 96 de la</w:t>
      </w:r>
      <w:r w:rsidR="00C250C9">
        <w:rPr>
          <w:rFonts w:ascii="ITC Avant Garde" w:hAnsi="ITC Avant Garde"/>
        </w:rPr>
        <w:t xml:space="preserve"> Ley Federal de Competencia Económica</w:t>
      </w:r>
      <w:r>
        <w:rPr>
          <w:rFonts w:ascii="ITC Avant Garde" w:hAnsi="ITC Avant Garde"/>
          <w:smallCaps/>
        </w:rPr>
        <w:t>.</w:t>
      </w:r>
    </w:p>
    <w:p w:rsidR="00E524C6" w:rsidRDefault="00E524C6" w:rsidP="00534E7F">
      <w:pPr>
        <w:spacing w:before="240" w:line="276" w:lineRule="auto"/>
        <w:jc w:val="both"/>
        <w:rPr>
          <w:rFonts w:ascii="ITC Avant Garde" w:hAnsi="ITC Avant Garde"/>
        </w:rPr>
      </w:pPr>
      <w:r w:rsidRPr="00801849">
        <w:rPr>
          <w:rFonts w:ascii="ITC Avant Garde" w:hAnsi="ITC Avant Garde"/>
        </w:rPr>
        <w:t>Por lo anteriormente expuesto, el Pleno del</w:t>
      </w:r>
      <w:r w:rsidRPr="00801849">
        <w:rPr>
          <w:rFonts w:ascii="ITC Avant Garde" w:hAnsi="ITC Avant Garde"/>
          <w:smallCaps/>
        </w:rPr>
        <w:t xml:space="preserve"> Instituto</w:t>
      </w:r>
      <w:r>
        <w:rPr>
          <w:rFonts w:ascii="ITC Avant Garde" w:hAnsi="ITC Avant Garde"/>
          <w:smallCaps/>
        </w:rPr>
        <w:t xml:space="preserve"> </w:t>
      </w:r>
      <w:r>
        <w:rPr>
          <w:rFonts w:ascii="ITC Avant Garde" w:hAnsi="ITC Avant Garde"/>
        </w:rPr>
        <w:t>emite los siguientes</w:t>
      </w:r>
      <w:r w:rsidRPr="00801849">
        <w:rPr>
          <w:rFonts w:ascii="ITC Avant Garde" w:hAnsi="ITC Avant Garde"/>
        </w:rPr>
        <w:t>:</w:t>
      </w:r>
    </w:p>
    <w:p w:rsidR="00E524C6" w:rsidRDefault="00E524C6" w:rsidP="00E54755">
      <w:pPr>
        <w:pStyle w:val="Ttulo1"/>
        <w:spacing w:before="960" w:after="160" w:line="276" w:lineRule="auto"/>
      </w:pPr>
      <w:r w:rsidRPr="008603D5">
        <w:lastRenderedPageBreak/>
        <w:t>Resolutivos</w:t>
      </w:r>
    </w:p>
    <w:p w:rsidR="00E524C6" w:rsidRDefault="00E524C6" w:rsidP="00534E7F">
      <w:pPr>
        <w:spacing w:before="240" w:line="276" w:lineRule="auto"/>
        <w:jc w:val="both"/>
        <w:rPr>
          <w:rFonts w:ascii="ITC Avant Garde" w:hAnsi="ITC Avant Garde"/>
        </w:rPr>
      </w:pPr>
      <w:r w:rsidRPr="00BF7842">
        <w:rPr>
          <w:rFonts w:ascii="ITC Avant Garde" w:hAnsi="ITC Avant Garde"/>
          <w:b/>
          <w:smallCaps/>
        </w:rPr>
        <w:t>Primero</w:t>
      </w:r>
      <w:r>
        <w:rPr>
          <w:rFonts w:ascii="ITC Avant Garde" w:hAnsi="ITC Avant Garde"/>
          <w:b/>
        </w:rPr>
        <w:t>.-</w:t>
      </w:r>
      <w:r w:rsidRPr="006853E9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En virtud de lo señalado en las consid</w:t>
      </w:r>
      <w:r w:rsidR="00FE5B88">
        <w:rPr>
          <w:rFonts w:ascii="ITC Avant Garde" w:hAnsi="ITC Avant Garde"/>
        </w:rPr>
        <w:t xml:space="preserve">eraciones segunda y tercera de </w:t>
      </w:r>
      <w:r w:rsidR="00181EDF">
        <w:rPr>
          <w:rFonts w:ascii="ITC Avant Garde" w:hAnsi="ITC Avant Garde"/>
        </w:rPr>
        <w:t xml:space="preserve">la presente </w:t>
      </w:r>
      <w:r w:rsidR="00A7497D">
        <w:rPr>
          <w:rFonts w:ascii="ITC Avant Garde" w:hAnsi="ITC Avant Garde"/>
        </w:rPr>
        <w:t>resolución</w:t>
      </w:r>
      <w:r>
        <w:rPr>
          <w:rFonts w:ascii="ITC Avant Garde" w:hAnsi="ITC Avant Garde"/>
        </w:rPr>
        <w:t xml:space="preserve">, </w:t>
      </w:r>
      <w:r w:rsidRPr="001F3BB1">
        <w:rPr>
          <w:rFonts w:ascii="ITC Avant Garde" w:hAnsi="ITC Avant Garde"/>
        </w:rPr>
        <w:t xml:space="preserve">se decreta el cierre del </w:t>
      </w:r>
      <w:r w:rsidR="00717D30">
        <w:rPr>
          <w:rFonts w:ascii="ITC Avant Garde" w:hAnsi="ITC Avant Garde"/>
        </w:rPr>
        <w:t>expediente AI/DC-003</w:t>
      </w:r>
      <w:r w:rsidRPr="00D65888">
        <w:rPr>
          <w:rFonts w:ascii="ITC Avant Garde" w:hAnsi="ITC Avant Garde"/>
        </w:rPr>
        <w:t>-201</w:t>
      </w:r>
      <w:r w:rsidR="00717D30">
        <w:rPr>
          <w:rFonts w:ascii="ITC Avant Garde" w:hAnsi="ITC Avant Garde"/>
        </w:rPr>
        <w:t>8</w:t>
      </w:r>
      <w:r w:rsidRPr="00D65888">
        <w:rPr>
          <w:rFonts w:ascii="ITC Avant Garde" w:hAnsi="ITC Avant Garde"/>
        </w:rPr>
        <w:t>.</w:t>
      </w:r>
    </w:p>
    <w:p w:rsidR="00E524C6" w:rsidRDefault="00E524C6" w:rsidP="00534E7F">
      <w:pPr>
        <w:spacing w:before="240" w:line="276" w:lineRule="auto"/>
        <w:jc w:val="both"/>
        <w:rPr>
          <w:rFonts w:ascii="ITC Avant Garde" w:hAnsi="ITC Avant Garde"/>
        </w:rPr>
      </w:pPr>
      <w:r w:rsidRPr="00BF7842">
        <w:rPr>
          <w:rFonts w:ascii="ITC Avant Garde" w:hAnsi="ITC Avant Garde"/>
          <w:b/>
          <w:smallCaps/>
        </w:rPr>
        <w:t>Segundo</w:t>
      </w:r>
      <w:r w:rsidRPr="00801849">
        <w:rPr>
          <w:rFonts w:ascii="ITC Avant Garde" w:hAnsi="ITC Avant Garde"/>
          <w:b/>
        </w:rPr>
        <w:t>.-</w:t>
      </w:r>
      <w:r w:rsidRPr="00801849">
        <w:rPr>
          <w:rFonts w:ascii="ITC Avant Garde" w:hAnsi="ITC Avant Garde"/>
        </w:rPr>
        <w:t xml:space="preserve"> Notifíquese </w:t>
      </w:r>
      <w:r>
        <w:rPr>
          <w:rFonts w:ascii="ITC Avant Garde" w:hAnsi="ITC Avant Garde"/>
        </w:rPr>
        <w:t>personalmente el</w:t>
      </w:r>
      <w:r w:rsidRPr="00801849">
        <w:rPr>
          <w:rFonts w:ascii="ITC Avant Garde" w:hAnsi="ITC Avant Garde"/>
        </w:rPr>
        <w:t xml:space="preserve"> presente </w:t>
      </w:r>
      <w:r>
        <w:rPr>
          <w:rFonts w:ascii="ITC Avant Garde" w:hAnsi="ITC Avant Garde"/>
        </w:rPr>
        <w:t>acuerdo</w:t>
      </w:r>
      <w:r w:rsidRPr="00801849">
        <w:rPr>
          <w:rFonts w:ascii="ITC Avant Garde" w:hAnsi="ITC Avant Garde"/>
        </w:rPr>
        <w:t xml:space="preserve">, </w:t>
      </w:r>
      <w:r>
        <w:rPr>
          <w:rFonts w:ascii="ITC Avant Garde" w:hAnsi="ITC Avant Garde"/>
        </w:rPr>
        <w:t xml:space="preserve">así como el </w:t>
      </w:r>
      <w:r w:rsidRPr="00BF7842">
        <w:rPr>
          <w:rFonts w:ascii="ITC Avant Garde" w:eastAsia="Times New Roman" w:hAnsi="ITC Avant Garde" w:cs="Calibri"/>
          <w:bCs/>
          <w:lang w:eastAsia="es-ES"/>
        </w:rPr>
        <w:t xml:space="preserve">Dictamen </w:t>
      </w:r>
      <w:r w:rsidR="000236FC">
        <w:rPr>
          <w:rFonts w:ascii="ITC Avant Garde" w:eastAsia="Times New Roman" w:hAnsi="ITC Avant Garde" w:cs="Calibri"/>
          <w:bCs/>
          <w:lang w:eastAsia="es-ES"/>
        </w:rPr>
        <w:t>Preliminar</w:t>
      </w:r>
      <w:r w:rsidR="00181EDF">
        <w:rPr>
          <w:rFonts w:ascii="ITC Avant Garde" w:eastAsia="Times New Roman" w:hAnsi="ITC Avant Garde" w:cs="Calibri"/>
          <w:bCs/>
          <w:lang w:eastAsia="es-ES"/>
        </w:rPr>
        <w:t xml:space="preserve"> </w:t>
      </w:r>
      <w:r w:rsidRPr="00BF7842">
        <w:rPr>
          <w:rFonts w:ascii="ITC Avant Garde" w:eastAsia="Times New Roman" w:hAnsi="ITC Avant Garde" w:cs="Calibri"/>
          <w:bCs/>
          <w:lang w:eastAsia="es-ES"/>
        </w:rPr>
        <w:t xml:space="preserve">de </w:t>
      </w:r>
      <w:r w:rsidR="00181EDF">
        <w:rPr>
          <w:rFonts w:ascii="ITC Avant Garde" w:eastAsia="Times New Roman" w:hAnsi="ITC Avant Garde" w:cs="Calibri"/>
          <w:bCs/>
          <w:lang w:eastAsia="es-ES"/>
        </w:rPr>
        <w:t>c</w:t>
      </w:r>
      <w:r w:rsidRPr="00BF7842">
        <w:rPr>
          <w:rFonts w:ascii="ITC Avant Garde" w:eastAsia="Times New Roman" w:hAnsi="ITC Avant Garde" w:cs="Calibri"/>
          <w:bCs/>
          <w:lang w:eastAsia="es-ES"/>
        </w:rPr>
        <w:t xml:space="preserve">ierre de </w:t>
      </w:r>
      <w:r w:rsidR="00181EDF">
        <w:rPr>
          <w:rFonts w:ascii="ITC Avant Garde" w:eastAsia="Times New Roman" w:hAnsi="ITC Avant Garde" w:cs="Calibri"/>
          <w:bCs/>
          <w:lang w:eastAsia="es-ES"/>
        </w:rPr>
        <w:t>e</w:t>
      </w:r>
      <w:r w:rsidRPr="00BF7842">
        <w:rPr>
          <w:rFonts w:ascii="ITC Avant Garde" w:eastAsia="Times New Roman" w:hAnsi="ITC Avant Garde" w:cs="Calibri"/>
          <w:bCs/>
          <w:lang w:eastAsia="es-ES"/>
        </w:rPr>
        <w:t>xpediente</w:t>
      </w:r>
      <w:r>
        <w:rPr>
          <w:rFonts w:ascii="ITC Avant Garde" w:eastAsia="Times New Roman" w:hAnsi="ITC Avant Garde" w:cs="Calibri"/>
          <w:bCs/>
          <w:smallCaps/>
          <w:lang w:eastAsia="es-ES"/>
        </w:rPr>
        <w:t>,</w:t>
      </w:r>
      <w:r w:rsidRPr="00801849">
        <w:rPr>
          <w:rFonts w:ascii="ITC Avant Garde" w:hAnsi="ITC Avant Garde"/>
        </w:rPr>
        <w:t xml:space="preserve"> a </w:t>
      </w:r>
      <w:r w:rsidR="00717D30" w:rsidRPr="00D50CE5">
        <w:rPr>
          <w:rFonts w:ascii="ITC Avant Garde" w:hAnsi="ITC Avant Garde"/>
        </w:rPr>
        <w:t>ATC Holding Fibra México, S. de R.L. de C.V.</w:t>
      </w:r>
      <w:r w:rsidR="00491D39">
        <w:rPr>
          <w:rFonts w:ascii="ITC Avant Garde" w:hAnsi="ITC Avant Garde"/>
        </w:rPr>
        <w:t xml:space="preserve">, </w:t>
      </w:r>
      <w:r w:rsidRPr="00801849">
        <w:rPr>
          <w:rFonts w:ascii="ITC Avant Garde" w:hAnsi="ITC Avant Garde"/>
        </w:rPr>
        <w:t>para todos los efectos legales a que haya lugar.</w:t>
      </w:r>
    </w:p>
    <w:p w:rsidR="006C1F3F" w:rsidRDefault="00F71A86" w:rsidP="00815D1C">
      <w:pPr>
        <w:spacing w:before="240" w:after="240"/>
        <w:jc w:val="both"/>
        <w:rPr>
          <w:rFonts w:ascii="ITC Avant Garde" w:hAnsi="ITC Avant Garde"/>
          <w:sz w:val="14"/>
        </w:rPr>
      </w:pPr>
      <w:r w:rsidRPr="00F71A86">
        <w:rPr>
          <w:rFonts w:ascii="ITC Avant Garde" w:hAnsi="ITC Avant Garde"/>
          <w:b/>
          <w:color w:val="000000" w:themeColor="text1"/>
          <w:lang w:val="es-ES"/>
        </w:rPr>
        <w:t>(Espacio para firmas de los Comisionados del Instituto Federal de Telecomunicaciones)</w:t>
      </w:r>
    </w:p>
    <w:p w:rsidR="006C1F3F" w:rsidRPr="00E90C82" w:rsidRDefault="006C1F3F" w:rsidP="006C1F3F">
      <w:pPr>
        <w:spacing w:after="0" w:line="240" w:lineRule="auto"/>
        <w:jc w:val="both"/>
        <w:rPr>
          <w:rFonts w:ascii="ITC Avant Garde" w:hAnsi="ITC Avant Garde"/>
          <w:sz w:val="14"/>
        </w:rPr>
      </w:pPr>
      <w:r w:rsidRPr="006C1F3F">
        <w:rPr>
          <w:rFonts w:ascii="ITC Avant Garde" w:hAnsi="ITC Avant Garde"/>
          <w:sz w:val="14"/>
        </w:rPr>
        <w:t xml:space="preserve">La presente Resolución fue aprobada por el Pleno del Instituto Federal de Telecomunicaciones en su XXV Sesión Ordinaria celebrada el 22 de agosto de 2018, por </w:t>
      </w:r>
      <w:r w:rsidRPr="006C1F3F">
        <w:rPr>
          <w:rFonts w:ascii="ITC Avant Garde" w:hAnsi="ITC Avant Garde"/>
          <w:bCs/>
          <w:sz w:val="14"/>
        </w:rPr>
        <w:t>mayoría</w:t>
      </w:r>
      <w:r w:rsidRPr="006C1F3F">
        <w:rPr>
          <w:rFonts w:ascii="ITC Avant Garde" w:hAnsi="ITC Avant Garde"/>
          <w:sz w:val="14"/>
        </w:rPr>
        <w:t xml:space="preserve"> de votos de los Comisionados Gabriel Oswaldo Contreras Saldívar, Mario Germán Fromow Rangel, Adolfo Cuevas Teja, Javier Juárez Mojica, Arturo Robles Rovalo y Sóstenes Díaz González; y con el </w:t>
      </w:r>
      <w:r w:rsidRPr="006C1F3F">
        <w:rPr>
          <w:rFonts w:ascii="ITC Avant Garde" w:hAnsi="ITC Avant Garde"/>
          <w:bCs/>
          <w:sz w:val="14"/>
        </w:rPr>
        <w:t>voto en contra de la Comisionada María Elena Estavillo Flores</w:t>
      </w:r>
      <w:r w:rsidRPr="006C1F3F">
        <w:rPr>
          <w:rFonts w:ascii="ITC Avant Garde" w:hAnsi="ITC Avant Garde"/>
          <w:sz w:val="14"/>
        </w:rPr>
        <w:t>; con fundamento en los párrafos vigési</w:t>
      </w:r>
      <w:bookmarkStart w:id="0" w:name="_GoBack"/>
      <w:bookmarkEnd w:id="0"/>
      <w:r w:rsidRPr="006C1F3F">
        <w:rPr>
          <w:rFonts w:ascii="ITC Avant Garde" w:hAnsi="ITC Avant Garde"/>
          <w:sz w:val="14"/>
        </w:rPr>
        <w:t>mo, fracciones I y III; y vigésimo primero, del artículo 28 de la Constitución Política de los Estados Unidos Mexicanos; artículos 7, 16 y 45 de la Ley Federal de Telecomunicaciones y Radiodifusión; 5 y 18 de la Ley Federal de Competencia Económica; así como en los artículos 1, 7, 8 y 12 del Estatuto Orgánico del Instituto Federal de Telecomunicaciones, mediante Acuerdo P/IFT/220818/532.</w:t>
      </w:r>
    </w:p>
    <w:sectPr w:rsidR="006C1F3F" w:rsidRPr="00E90C82" w:rsidSect="00245EAB">
      <w:footerReference w:type="even" r:id="rId7"/>
      <w:footerReference w:type="default" r:id="rId8"/>
      <w:headerReference w:type="first" r:id="rId9"/>
      <w:pgSz w:w="12240" w:h="15840"/>
      <w:pgMar w:top="2268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45" w:rsidRDefault="00B05A45">
      <w:pPr>
        <w:spacing w:after="0" w:line="240" w:lineRule="auto"/>
      </w:pPr>
      <w:r>
        <w:separator/>
      </w:r>
    </w:p>
  </w:endnote>
  <w:endnote w:type="continuationSeparator" w:id="0">
    <w:p w:rsidR="00B05A45" w:rsidRDefault="00B0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Demi">
    <w:panose1 w:val="020B0702020203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236946"/>
      <w:docPartObj>
        <w:docPartGallery w:val="Page Numbers (Bottom of Page)"/>
        <w:docPartUnique/>
      </w:docPartObj>
    </w:sdtPr>
    <w:sdtEndPr/>
    <w:sdtContent>
      <w:p w:rsidR="00931EC5" w:rsidRDefault="00B72D3E" w:rsidP="00931EC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EAB" w:rsidRPr="00245EAB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068547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8"/>
      </w:rPr>
    </w:sdtEndPr>
    <w:sdtContent>
      <w:p w:rsidR="00CA0846" w:rsidRPr="00534E7F" w:rsidRDefault="00B72D3E" w:rsidP="00931EC5">
        <w:pPr>
          <w:pStyle w:val="Piedepgina"/>
          <w:jc w:val="right"/>
          <w:rPr>
            <w:rFonts w:ascii="ITC Avant Garde" w:hAnsi="ITC Avant Garde"/>
            <w:sz w:val="18"/>
          </w:rPr>
        </w:pPr>
        <w:r w:rsidRPr="00534E7F">
          <w:rPr>
            <w:rFonts w:ascii="ITC Avant Garde" w:hAnsi="ITC Avant Garde"/>
            <w:sz w:val="18"/>
          </w:rPr>
          <w:fldChar w:fldCharType="begin"/>
        </w:r>
        <w:r w:rsidRPr="00534E7F">
          <w:rPr>
            <w:rFonts w:ascii="ITC Avant Garde" w:hAnsi="ITC Avant Garde"/>
            <w:sz w:val="18"/>
          </w:rPr>
          <w:instrText>PAGE   \* MERGEFORMAT</w:instrText>
        </w:r>
        <w:r w:rsidRPr="00534E7F">
          <w:rPr>
            <w:rFonts w:ascii="ITC Avant Garde" w:hAnsi="ITC Avant Garde"/>
            <w:sz w:val="18"/>
          </w:rPr>
          <w:fldChar w:fldCharType="separate"/>
        </w:r>
        <w:r w:rsidR="0075751C" w:rsidRPr="0075751C">
          <w:rPr>
            <w:rFonts w:ascii="ITC Avant Garde" w:hAnsi="ITC Avant Garde"/>
            <w:noProof/>
            <w:sz w:val="18"/>
            <w:lang w:val="es-ES"/>
          </w:rPr>
          <w:t>4</w:t>
        </w:r>
        <w:r w:rsidRPr="00534E7F">
          <w:rPr>
            <w:rFonts w:ascii="ITC Avant Garde" w:hAnsi="ITC Avant Garde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45" w:rsidRDefault="00B05A45">
      <w:pPr>
        <w:spacing w:after="0" w:line="240" w:lineRule="auto"/>
      </w:pPr>
      <w:r>
        <w:separator/>
      </w:r>
    </w:p>
  </w:footnote>
  <w:footnote w:type="continuationSeparator" w:id="0">
    <w:p w:rsidR="00B05A45" w:rsidRDefault="00B0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AB" w:rsidRDefault="00245EAB" w:rsidP="00DD0E63">
    <w:pPr>
      <w:spacing w:before="480" w:after="0" w:line="240" w:lineRule="auto"/>
      <w:jc w:val="both"/>
      <w:rPr>
        <w:rFonts w:ascii="ITC Avant Garde Demi" w:hAnsi="ITC Avant Garde Demi"/>
        <w:b/>
        <w:color w:val="0000FF"/>
        <w:sz w:val="20"/>
        <w:szCs w:val="20"/>
      </w:rPr>
    </w:pPr>
    <w:r>
      <w:rPr>
        <w:rFonts w:ascii="ITC Avant Garde Demi" w:hAnsi="ITC Avant Garde Demi"/>
        <w:b/>
        <w:color w:val="0000FF"/>
        <w:sz w:val="20"/>
        <w:szCs w:val="20"/>
      </w:rPr>
      <w:t xml:space="preserve">Los textos que aparecen </w:t>
    </w:r>
    <w:r w:rsidR="00BF2CC0">
      <w:rPr>
        <w:rFonts w:ascii="ITC Avant Garde Demi" w:hAnsi="ITC Avant Garde Demi"/>
        <w:b/>
        <w:color w:val="0000FF"/>
        <w:sz w:val="20"/>
        <w:szCs w:val="20"/>
      </w:rPr>
      <w:t>como “CONFIDENCIAL POR LEY”</w:t>
    </w:r>
    <w:r>
      <w:rPr>
        <w:rFonts w:ascii="ITC Avant Garde Demi" w:hAnsi="ITC Avant Garde Demi"/>
        <w:b/>
        <w:color w:val="0000FF"/>
        <w:sz w:val="20"/>
        <w:szCs w:val="20"/>
      </w:rPr>
      <w:t xml:space="preserve"> corresponden a información </w:t>
    </w:r>
    <w:r w:rsidR="00BF2CC0">
      <w:rPr>
        <w:rFonts w:ascii="ITC Avant Garde Demi" w:hAnsi="ITC Avant Garde Demi"/>
        <w:b/>
        <w:color w:val="0000FF"/>
        <w:sz w:val="20"/>
        <w:szCs w:val="20"/>
      </w:rPr>
      <w:t xml:space="preserve">clasificada con el carácter de </w:t>
    </w:r>
    <w:r>
      <w:rPr>
        <w:rFonts w:ascii="ITC Avant Garde Demi" w:hAnsi="ITC Avant Garde Demi"/>
        <w:b/>
        <w:color w:val="0000FF"/>
        <w:sz w:val="20"/>
        <w:szCs w:val="20"/>
      </w:rPr>
      <w:t xml:space="preserve">confidencial, de conformidad con los artículos </w:t>
    </w:r>
    <w:r w:rsidR="00BF2CC0">
      <w:rPr>
        <w:rFonts w:ascii="ITC Avant Garde Demi" w:hAnsi="ITC Avant Garde Demi"/>
        <w:b/>
        <w:color w:val="0000FF"/>
        <w:sz w:val="20"/>
        <w:szCs w:val="20"/>
      </w:rPr>
      <w:t xml:space="preserve">3, fracción IX, </w:t>
    </w:r>
    <w:r w:rsidR="00DD0E63">
      <w:rPr>
        <w:rFonts w:ascii="ITC Avant Garde Demi" w:hAnsi="ITC Avant Garde Demi"/>
        <w:b/>
        <w:color w:val="0000FF"/>
        <w:sz w:val="20"/>
        <w:szCs w:val="20"/>
      </w:rPr>
      <w:t xml:space="preserve">124 y 125 </w:t>
    </w:r>
    <w:r w:rsidR="00BF2CC0">
      <w:rPr>
        <w:rFonts w:ascii="ITC Avant Garde Demi" w:hAnsi="ITC Avant Garde Demi"/>
        <w:b/>
        <w:color w:val="0000FF"/>
        <w:sz w:val="20"/>
        <w:szCs w:val="20"/>
      </w:rPr>
      <w:t>de la Ley Fe</w:t>
    </w:r>
    <w:r w:rsidR="00DD0E63">
      <w:rPr>
        <w:rFonts w:ascii="ITC Avant Garde Demi" w:hAnsi="ITC Avant Garde Demi"/>
        <w:b/>
        <w:color w:val="0000FF"/>
        <w:sz w:val="20"/>
        <w:szCs w:val="20"/>
      </w:rPr>
      <w:t xml:space="preserve">deral de Competencia Económica. Por lo anterior, dicha información obra resguardada en cuerda separada al presente expediente.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C6"/>
    <w:rsid w:val="000236FC"/>
    <w:rsid w:val="000470B7"/>
    <w:rsid w:val="00061A6C"/>
    <w:rsid w:val="00074259"/>
    <w:rsid w:val="00077A77"/>
    <w:rsid w:val="000A6E14"/>
    <w:rsid w:val="000B198F"/>
    <w:rsid w:val="000C31E6"/>
    <w:rsid w:val="000C7D44"/>
    <w:rsid w:val="001039C0"/>
    <w:rsid w:val="00181EDF"/>
    <w:rsid w:val="001A5D4E"/>
    <w:rsid w:val="001F0989"/>
    <w:rsid w:val="002212B4"/>
    <w:rsid w:val="00224D69"/>
    <w:rsid w:val="00245EAB"/>
    <w:rsid w:val="00265A35"/>
    <w:rsid w:val="00286745"/>
    <w:rsid w:val="00296CD5"/>
    <w:rsid w:val="002C226E"/>
    <w:rsid w:val="002C3D5A"/>
    <w:rsid w:val="002F7E2E"/>
    <w:rsid w:val="003034A1"/>
    <w:rsid w:val="00330849"/>
    <w:rsid w:val="00342C70"/>
    <w:rsid w:val="003561AD"/>
    <w:rsid w:val="00370CDB"/>
    <w:rsid w:val="003931F9"/>
    <w:rsid w:val="003B7EA0"/>
    <w:rsid w:val="003F28EB"/>
    <w:rsid w:val="00452E3E"/>
    <w:rsid w:val="0046352C"/>
    <w:rsid w:val="004673F7"/>
    <w:rsid w:val="0047318F"/>
    <w:rsid w:val="0047627B"/>
    <w:rsid w:val="004904A0"/>
    <w:rsid w:val="00491D39"/>
    <w:rsid w:val="00495B6B"/>
    <w:rsid w:val="004C09E4"/>
    <w:rsid w:val="00503364"/>
    <w:rsid w:val="0051627E"/>
    <w:rsid w:val="00534E7F"/>
    <w:rsid w:val="005A46B5"/>
    <w:rsid w:val="00661C66"/>
    <w:rsid w:val="006A6324"/>
    <w:rsid w:val="006C1F3F"/>
    <w:rsid w:val="006F2F51"/>
    <w:rsid w:val="0070135A"/>
    <w:rsid w:val="00717D30"/>
    <w:rsid w:val="00722267"/>
    <w:rsid w:val="007469E3"/>
    <w:rsid w:val="007568E6"/>
    <w:rsid w:val="0075751C"/>
    <w:rsid w:val="00764A0B"/>
    <w:rsid w:val="007B57F3"/>
    <w:rsid w:val="007F4B82"/>
    <w:rsid w:val="00815D1C"/>
    <w:rsid w:val="00821479"/>
    <w:rsid w:val="00851EE2"/>
    <w:rsid w:val="00895CCD"/>
    <w:rsid w:val="008A58B8"/>
    <w:rsid w:val="008C3791"/>
    <w:rsid w:val="009205AA"/>
    <w:rsid w:val="00942AC4"/>
    <w:rsid w:val="009503D2"/>
    <w:rsid w:val="009A2CD9"/>
    <w:rsid w:val="009A2E3F"/>
    <w:rsid w:val="00A16FC3"/>
    <w:rsid w:val="00A50011"/>
    <w:rsid w:val="00A7497D"/>
    <w:rsid w:val="00AA073A"/>
    <w:rsid w:val="00AD4687"/>
    <w:rsid w:val="00AF64BA"/>
    <w:rsid w:val="00B04CBB"/>
    <w:rsid w:val="00B05A45"/>
    <w:rsid w:val="00B1063E"/>
    <w:rsid w:val="00B126F5"/>
    <w:rsid w:val="00B216AB"/>
    <w:rsid w:val="00B26B18"/>
    <w:rsid w:val="00B32367"/>
    <w:rsid w:val="00B5713F"/>
    <w:rsid w:val="00B576A9"/>
    <w:rsid w:val="00B6759B"/>
    <w:rsid w:val="00B72D3E"/>
    <w:rsid w:val="00BB5999"/>
    <w:rsid w:val="00BC3891"/>
    <w:rsid w:val="00BD7CEF"/>
    <w:rsid w:val="00BF2CC0"/>
    <w:rsid w:val="00C02BA2"/>
    <w:rsid w:val="00C122F4"/>
    <w:rsid w:val="00C250C9"/>
    <w:rsid w:val="00C56233"/>
    <w:rsid w:val="00C61E67"/>
    <w:rsid w:val="00C6377F"/>
    <w:rsid w:val="00C73549"/>
    <w:rsid w:val="00C936B3"/>
    <w:rsid w:val="00CA7B41"/>
    <w:rsid w:val="00CD588A"/>
    <w:rsid w:val="00CE7992"/>
    <w:rsid w:val="00CF3AB7"/>
    <w:rsid w:val="00D161C4"/>
    <w:rsid w:val="00D202A1"/>
    <w:rsid w:val="00D27E5C"/>
    <w:rsid w:val="00D407B8"/>
    <w:rsid w:val="00D50CE5"/>
    <w:rsid w:val="00D60050"/>
    <w:rsid w:val="00D84154"/>
    <w:rsid w:val="00DA231D"/>
    <w:rsid w:val="00DC7580"/>
    <w:rsid w:val="00DD0E63"/>
    <w:rsid w:val="00E216E7"/>
    <w:rsid w:val="00E524C6"/>
    <w:rsid w:val="00E54755"/>
    <w:rsid w:val="00E71752"/>
    <w:rsid w:val="00E83117"/>
    <w:rsid w:val="00E90C82"/>
    <w:rsid w:val="00ED1A84"/>
    <w:rsid w:val="00EF6C53"/>
    <w:rsid w:val="00F71A86"/>
    <w:rsid w:val="00FB7819"/>
    <w:rsid w:val="00FE5B88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3BA0610-8598-425D-89A8-06E05B76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C6"/>
  </w:style>
  <w:style w:type="paragraph" w:styleId="Ttulo1">
    <w:name w:val="heading 1"/>
    <w:basedOn w:val="Normal"/>
    <w:next w:val="Normal"/>
    <w:link w:val="Ttulo1Car"/>
    <w:uiPriority w:val="9"/>
    <w:qFormat/>
    <w:rsid w:val="00E524C6"/>
    <w:pPr>
      <w:spacing w:after="0" w:line="240" w:lineRule="auto"/>
      <w:jc w:val="center"/>
      <w:outlineLvl w:val="0"/>
    </w:pPr>
    <w:rPr>
      <w:rFonts w:ascii="ITC Avant Garde" w:hAnsi="ITC Avant Garde"/>
      <w:b/>
      <w:small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24C6"/>
    <w:rPr>
      <w:rFonts w:ascii="ITC Avant Garde" w:hAnsi="ITC Avant Garde"/>
      <w:b/>
      <w:smallCaps/>
    </w:rPr>
  </w:style>
  <w:style w:type="paragraph" w:styleId="Encabezado">
    <w:name w:val="header"/>
    <w:basedOn w:val="Normal"/>
    <w:link w:val="EncabezadoCar"/>
    <w:uiPriority w:val="99"/>
    <w:unhideWhenUsed/>
    <w:rsid w:val="00E524C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524C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524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4C6"/>
  </w:style>
  <w:style w:type="table" w:styleId="Cuadrculadetablaclara">
    <w:name w:val="Grid Table Light"/>
    <w:basedOn w:val="Tablanormal"/>
    <w:uiPriority w:val="40"/>
    <w:rsid w:val="00E524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39"/>
    <w:rsid w:val="0010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039C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039C0"/>
  </w:style>
  <w:style w:type="paragraph" w:styleId="Textodeglobo">
    <w:name w:val="Balloon Text"/>
    <w:basedOn w:val="Normal"/>
    <w:link w:val="TextodegloboCar"/>
    <w:uiPriority w:val="99"/>
    <w:semiHidden/>
    <w:unhideWhenUsed/>
    <w:rsid w:val="0050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36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03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3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3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3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3364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09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09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F0989"/>
    <w:rPr>
      <w:vertAlign w:val="superscript"/>
    </w:rPr>
  </w:style>
  <w:style w:type="paragraph" w:styleId="TDC3">
    <w:name w:val="toc 3"/>
    <w:basedOn w:val="TDC2"/>
    <w:next w:val="Normal"/>
    <w:autoRedefine/>
    <w:uiPriority w:val="39"/>
    <w:unhideWhenUsed/>
    <w:rsid w:val="00074259"/>
    <w:pPr>
      <w:spacing w:after="0" w:line="276" w:lineRule="auto"/>
      <w:ind w:left="0"/>
      <w:jc w:val="center"/>
    </w:pPr>
    <w:rPr>
      <w:rFonts w:ascii="Times New Roman" w:eastAsia="Calibri" w:hAnsi="Times New Roman" w:cs="Times New Roman"/>
      <w:noProof/>
      <w:sz w:val="20"/>
      <w:lang w:val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07425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B5C4277-2CE6-403D-8542-693C936D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1237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Sinuhe Castillo Torres</dc:creator>
  <cp:keywords/>
  <dc:description/>
  <cp:lastModifiedBy>Maria del Consuelo Gonzalez Moreno</cp:lastModifiedBy>
  <cp:revision>7</cp:revision>
  <dcterms:created xsi:type="dcterms:W3CDTF">2018-09-04T00:26:00Z</dcterms:created>
  <dcterms:modified xsi:type="dcterms:W3CDTF">2018-09-07T14:50:00Z</dcterms:modified>
</cp:coreProperties>
</file>