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2D91" w14:textId="69101BAF" w:rsidR="00CB7F8D" w:rsidRPr="00D71E1E" w:rsidRDefault="00CB7F8D" w:rsidP="00D71E1E">
      <w:pPr>
        <w:pStyle w:val="Ttulo1"/>
        <w:rPr>
          <w:rFonts w:ascii="ITC Avant Garde" w:hAnsi="ITC Avant Garde"/>
          <w:noProof/>
          <w:sz w:val="22"/>
          <w:szCs w:val="22"/>
        </w:rPr>
      </w:pPr>
      <w:r w:rsidRPr="00D71E1E">
        <w:rPr>
          <w:rFonts w:ascii="ITC Avant Garde" w:hAnsi="ITC Avant Garde"/>
          <w:noProof/>
          <w:sz w:val="22"/>
          <w:szCs w:val="22"/>
        </w:rPr>
        <w:t>PORFIRIO TORRES PERALTA</w:t>
      </w:r>
    </w:p>
    <w:p w14:paraId="3D268F78" w14:textId="77777777" w:rsidR="004C41E6" w:rsidRDefault="004C41E6" w:rsidP="00327D0C">
      <w:pPr>
        <w:pStyle w:val="Textoindependiente"/>
        <w:spacing w:after="240" w:line="360" w:lineRule="auto"/>
        <w:jc w:val="both"/>
        <w:rPr>
          <w:rFonts w:ascii="ITC Avant Garde" w:hAnsi="ITC Avant Garde"/>
          <w:b/>
          <w:bCs/>
          <w:color w:val="0000FF"/>
        </w:rPr>
      </w:pPr>
      <w:r>
        <w:rPr>
          <w:rFonts w:ascii="ITC Avant Garde" w:hAnsi="ITC Avant Garde"/>
          <w:b/>
          <w:bCs/>
          <w:color w:val="0000FF"/>
        </w:rPr>
        <w:t>“CONFIDENCIAL POR LEY”</w:t>
      </w:r>
    </w:p>
    <w:p w14:paraId="45ABA33F" w14:textId="29FF2B22"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Ciudad de </w:t>
      </w:r>
      <w:r w:rsidRPr="007607D0">
        <w:rPr>
          <w:rFonts w:ascii="ITC Avant Garde" w:eastAsia="Times New Roman" w:hAnsi="ITC Avant Garde"/>
          <w:b/>
          <w:bCs/>
          <w:color w:val="000000"/>
          <w:lang w:eastAsia="es-MX"/>
        </w:rPr>
        <w:t xml:space="preserve">México, </w:t>
      </w:r>
      <w:r>
        <w:rPr>
          <w:rFonts w:ascii="ITC Avant Garde" w:eastAsia="Times New Roman" w:hAnsi="ITC Avant Garde"/>
          <w:b/>
          <w:bCs/>
          <w:color w:val="000000"/>
          <w:lang w:eastAsia="es-MX"/>
        </w:rPr>
        <w:t xml:space="preserve">a catorce de marzo de </w:t>
      </w:r>
      <w:r w:rsidRPr="007607D0">
        <w:rPr>
          <w:rFonts w:ascii="ITC Avant Garde" w:eastAsia="Times New Roman" w:hAnsi="ITC Avant Garde"/>
          <w:b/>
          <w:bCs/>
          <w:color w:val="000000"/>
          <w:lang w:eastAsia="es-MX"/>
        </w:rPr>
        <w:t xml:space="preserve">dos mil </w:t>
      </w:r>
      <w:r>
        <w:rPr>
          <w:rFonts w:ascii="ITC Avant Garde" w:eastAsia="Times New Roman" w:hAnsi="ITC Avant Garde"/>
          <w:b/>
          <w:bCs/>
          <w:color w:val="000000"/>
          <w:lang w:eastAsia="es-MX"/>
        </w:rPr>
        <w:t>dieciocho</w:t>
      </w:r>
      <w:r w:rsidRPr="007607D0">
        <w:rPr>
          <w:rFonts w:ascii="ITC Avant Garde" w:eastAsia="Times New Roman" w:hAnsi="ITC Avant Garde"/>
          <w:b/>
          <w:bCs/>
          <w:color w:val="000000"/>
          <w:lang w:eastAsia="es-MX"/>
        </w:rPr>
        <w:t>.-</w:t>
      </w:r>
      <w:r w:rsidRPr="007607D0">
        <w:rPr>
          <w:rFonts w:ascii="ITC Avant Garde" w:eastAsia="Times New Roman" w:hAnsi="ITC Avant Garde"/>
          <w:bCs/>
          <w:color w:val="000000"/>
          <w:lang w:eastAsia="es-MX"/>
        </w:rPr>
        <w:t xml:space="preserve"> Visto para resolver el expediente </w:t>
      </w:r>
      <w:r w:rsidRPr="008A2C3C">
        <w:rPr>
          <w:rFonts w:ascii="ITC Avant Garde" w:eastAsia="Times New Roman" w:hAnsi="ITC Avant Garde"/>
          <w:b/>
          <w:bCs/>
          <w:noProof/>
          <w:color w:val="000000"/>
          <w:lang w:eastAsia="es-MX"/>
        </w:rPr>
        <w:t>E-IFT.UC.DG-SAN.II.0349/2016</w:t>
      </w:r>
      <w:r w:rsidRPr="007607D0">
        <w:rPr>
          <w:rFonts w:ascii="ITC Avant Garde" w:eastAsia="Times New Roman" w:hAnsi="ITC Avant Garde"/>
          <w:bCs/>
          <w:color w:val="000000"/>
          <w:lang w:eastAsia="es-MX"/>
        </w:rPr>
        <w:t xml:space="preserve">, formado con motivo del procedimiento administrativo de </w:t>
      </w:r>
      <w:r>
        <w:rPr>
          <w:rFonts w:ascii="ITC Avant Garde" w:eastAsia="Times New Roman" w:hAnsi="ITC Avant Garde"/>
          <w:bCs/>
          <w:color w:val="000000"/>
          <w:lang w:eastAsia="es-MX"/>
        </w:rPr>
        <w:t>revocación</w:t>
      </w:r>
      <w:r w:rsidRPr="007607D0">
        <w:rPr>
          <w:rFonts w:ascii="ITC Avant Garde" w:eastAsia="Times New Roman" w:hAnsi="ITC Avant Garde"/>
          <w:bCs/>
          <w:color w:val="000000"/>
          <w:lang w:eastAsia="es-MX"/>
        </w:rPr>
        <w:t xml:space="preserve">, iniciado </w:t>
      </w:r>
      <w:r>
        <w:rPr>
          <w:rFonts w:ascii="ITC Avant Garde" w:eastAsia="Times New Roman" w:hAnsi="ITC Avant Garde"/>
          <w:bCs/>
          <w:color w:val="000000"/>
          <w:lang w:eastAsia="es-MX"/>
        </w:rPr>
        <w:t>mediante acuerdo de</w:t>
      </w:r>
      <w:r w:rsidRPr="007607D0">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y notificado </w:t>
      </w:r>
      <w:r w:rsidRPr="00243F8B">
        <w:rPr>
          <w:rFonts w:ascii="ITC Avant Garde" w:eastAsia="Times New Roman" w:hAnsi="ITC Avant Garde"/>
          <w:bCs/>
          <w:color w:val="000000"/>
          <w:lang w:eastAsia="es-MX"/>
        </w:rPr>
        <w:t xml:space="preserve">el </w:t>
      </w:r>
      <w:r w:rsidRPr="008A2C3C">
        <w:rPr>
          <w:rFonts w:ascii="ITC Avant Garde" w:eastAsia="Times New Roman" w:hAnsi="ITC Avant Garde"/>
          <w:bCs/>
          <w:noProof/>
          <w:color w:val="000000"/>
          <w:lang w:eastAsia="es-MX"/>
        </w:rPr>
        <w:t>diecinueve de diciembre de dos mil diecisiete</w:t>
      </w:r>
      <w:r>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por este </w:t>
      </w:r>
      <w:r>
        <w:rPr>
          <w:rFonts w:ascii="ITC Avant Garde" w:eastAsia="Times New Roman" w:hAnsi="ITC Avant Garde"/>
          <w:bCs/>
          <w:color w:val="000000"/>
          <w:lang w:eastAsia="es-MX"/>
        </w:rPr>
        <w:t xml:space="preserve">Instituto Federal de Telecomunicaciones (en adelante </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IFT</w:t>
      </w:r>
      <w:r w:rsidRPr="00F54548">
        <w:rPr>
          <w:rFonts w:ascii="ITC Avant Garde" w:eastAsia="Times New Roman" w:hAnsi="ITC Avant Garde"/>
          <w:bCs/>
          <w:color w:val="000000"/>
          <w:lang w:eastAsia="es-MX"/>
        </w:rPr>
        <w:t>” o</w:t>
      </w:r>
      <w:r>
        <w:rPr>
          <w:rFonts w:ascii="ITC Avant Garde" w:eastAsia="Times New Roman" w:hAnsi="ITC Avant Garde"/>
          <w:bCs/>
          <w:color w:val="000000"/>
          <w:lang w:eastAsia="es-MX"/>
        </w:rPr>
        <w:t xml:space="preserve"> </w:t>
      </w:r>
      <w:r w:rsidRPr="00031EDB">
        <w:rPr>
          <w:rFonts w:ascii="ITC Avant Garde" w:eastAsia="Times New Roman" w:hAnsi="ITC Avant Garde"/>
          <w:bCs/>
          <w:color w:val="000000"/>
          <w:lang w:eastAsia="es-MX"/>
        </w:rPr>
        <w:t>“</w:t>
      </w:r>
      <w:r w:rsidRPr="00E934F5">
        <w:rPr>
          <w:rFonts w:ascii="ITC Avant Garde" w:eastAsia="Times New Roman" w:hAnsi="ITC Avant Garde"/>
          <w:b/>
          <w:bCs/>
          <w:color w:val="000000"/>
          <w:lang w:eastAsia="es-MX"/>
        </w:rPr>
        <w:t>Instituto</w:t>
      </w:r>
      <w:r w:rsidRPr="00F54548">
        <w:rPr>
          <w:rFonts w:ascii="ITC Avant Garde" w:eastAsia="Times New Roman" w:hAnsi="ITC Avant Garde"/>
          <w:bCs/>
          <w:color w:val="000000"/>
          <w:lang w:eastAsia="es-MX"/>
        </w:rPr>
        <w:t>”</w:t>
      </w:r>
      <w:r w:rsidRPr="00031EDB">
        <w:rPr>
          <w:rFonts w:ascii="ITC Avant Garde" w:eastAsia="Times New Roman" w:hAnsi="ITC Avant Garde"/>
          <w:bCs/>
          <w:color w:val="000000"/>
          <w:lang w:eastAsia="es-MX"/>
        </w:rPr>
        <w:t>)</w:t>
      </w:r>
      <w:r>
        <w:rPr>
          <w:rFonts w:ascii="ITC Avant Garde" w:eastAsia="Times New Roman" w:hAnsi="ITC Avant Garde"/>
          <w:bCs/>
          <w:color w:val="000000"/>
          <w:lang w:eastAsia="es-MX"/>
        </w:rPr>
        <w:t>,</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conducto de la Unidad de Cumplimiento en contra </w:t>
      </w:r>
      <w:r w:rsidRPr="0004662C">
        <w:rPr>
          <w:rFonts w:ascii="ITC Avant Garde" w:hAnsi="ITC Avant Garde"/>
          <w:noProof/>
        </w:rPr>
        <w:t>de</w:t>
      </w:r>
      <w:r w:rsidRPr="008A2C3C">
        <w:rPr>
          <w:rFonts w:ascii="ITC Avant Garde" w:hAnsi="ITC Avant Garde"/>
          <w:b/>
          <w:noProof/>
        </w:rPr>
        <w:t xml:space="preserve"> PORFIRIO TORRES PERALTA</w:t>
      </w:r>
      <w:r w:rsidR="0004662C" w:rsidRPr="0004662C">
        <w:rPr>
          <w:rFonts w:ascii="ITC Avant Garde" w:hAnsi="ITC Avant Garde"/>
          <w:noProof/>
        </w:rPr>
        <w:t>,</w:t>
      </w:r>
      <w:r>
        <w:rPr>
          <w:rFonts w:ascii="ITC Avant Garde" w:hAnsi="ITC Avant Garde"/>
          <w:b/>
        </w:rPr>
        <w:t xml:space="preserve"> titular de </w:t>
      </w:r>
      <w:r w:rsidRPr="008A2C3C">
        <w:rPr>
          <w:rFonts w:ascii="ITC Avant Garde" w:hAnsi="ITC Avant Garde"/>
          <w:b/>
          <w:noProof/>
        </w:rPr>
        <w:t>un permiso para instalar y operar un sistema de radiocomunicación privada</w:t>
      </w:r>
      <w:r>
        <w:rPr>
          <w:rFonts w:ascii="ITC Avant Garde" w:hAnsi="ITC Avant Garde"/>
          <w:b/>
        </w:rPr>
        <w:t xml:space="preserve"> </w:t>
      </w:r>
      <w:r w:rsidRPr="00B0520D">
        <w:rPr>
          <w:rFonts w:ascii="ITC Avant Garde" w:hAnsi="ITC Avant Garde"/>
        </w:rPr>
        <w:t xml:space="preserve">otorgado por el Gobierno Federal por conducto de la Secretaría de Comunicaciones y Transportes el </w:t>
      </w:r>
      <w:r w:rsidRPr="008A2C3C">
        <w:rPr>
          <w:rFonts w:ascii="ITC Avant Garde" w:hAnsi="ITC Avant Garde"/>
          <w:b/>
          <w:noProof/>
        </w:rPr>
        <w:t>veinte de junio de mil novecientos noventa y uno</w:t>
      </w:r>
      <w:r>
        <w:rPr>
          <w:rFonts w:ascii="ITC Avant Garde" w:hAnsi="ITC Avant Garde"/>
          <w:b/>
        </w:rPr>
        <w:t xml:space="preserve"> </w:t>
      </w:r>
      <w:r w:rsidRPr="00B228FD">
        <w:rPr>
          <w:rFonts w:ascii="ITC Avant Garde" w:hAnsi="ITC Avant Garde"/>
        </w:rPr>
        <w:t>(</w:t>
      </w:r>
      <w:r>
        <w:rPr>
          <w:rFonts w:ascii="ITC Avant Garde" w:hAnsi="ITC Avant Garde"/>
        </w:rPr>
        <w:t xml:space="preserve">en lo sucesivo </w:t>
      </w:r>
      <w:r w:rsidRPr="008A2C3C">
        <w:rPr>
          <w:rFonts w:ascii="ITC Avant Garde" w:hAnsi="ITC Avant Garde"/>
          <w:b/>
          <w:noProof/>
        </w:rPr>
        <w:t>"EL PERMISO"</w:t>
      </w:r>
      <w:r w:rsidRPr="00B228FD">
        <w:rPr>
          <w:rFonts w:ascii="ITC Avant Garde" w:hAnsi="ITC Avant Garde"/>
        </w:rPr>
        <w:t>),</w:t>
      </w:r>
      <w:r>
        <w:rPr>
          <w:rFonts w:ascii="ITC Avant Garde" w:hAnsi="ITC Avant Garde"/>
          <w:b/>
        </w:rPr>
        <w:t xml:space="preserve"> </w:t>
      </w:r>
      <w:r w:rsidRPr="00B0520D">
        <w:rPr>
          <w:rFonts w:ascii="ITC Avant Garde" w:eastAsia="Times New Roman" w:hAnsi="ITC Avant Garde"/>
          <w:bCs/>
          <w:color w:val="000000"/>
          <w:lang w:eastAsia="es-MX"/>
        </w:rPr>
        <w:t xml:space="preserve">por el probable incumplimiento a lo establecido en la condición </w:t>
      </w:r>
      <w:r w:rsidRPr="008A2C3C">
        <w:rPr>
          <w:rFonts w:ascii="ITC Avant Garde" w:eastAsia="Times New Roman" w:hAnsi="ITC Avant Garde"/>
          <w:b/>
          <w:bCs/>
          <w:noProof/>
          <w:color w:val="000000"/>
          <w:lang w:eastAsia="es-MX"/>
        </w:rPr>
        <w:t>DÉCIMA TERCERA</w:t>
      </w:r>
      <w:r w:rsidRPr="008F056F">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relación con la </w:t>
      </w:r>
      <w:r w:rsidRPr="008A2C3C">
        <w:rPr>
          <w:rFonts w:ascii="ITC Avant Garde" w:eastAsia="Times New Roman" w:hAnsi="ITC Avant Garde"/>
          <w:b/>
          <w:bCs/>
          <w:noProof/>
          <w:color w:val="000000"/>
          <w:lang w:eastAsia="es-MX"/>
        </w:rPr>
        <w:t>DÉCIMA QUINTA</w:t>
      </w:r>
      <w:r w:rsidRPr="00B0520D">
        <w:rPr>
          <w:rFonts w:ascii="ITC Avant Garde" w:eastAsia="Times New Roman" w:hAnsi="ITC Avant Garde"/>
          <w:bCs/>
          <w:color w:val="000000"/>
          <w:lang w:eastAsia="es-MX"/>
        </w:rPr>
        <w:t xml:space="preserve"> de dicho documento habilitante</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respecto al pago de derechos a que se refieren</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los artículos 239 y 240 de la Ley Federal de Derechos (en adelante </w:t>
      </w:r>
      <w:r w:rsidRPr="00B0520D">
        <w:rPr>
          <w:rFonts w:ascii="ITC Avant Garde" w:eastAsia="Times New Roman" w:hAnsi="ITC Avant Garde"/>
          <w:b/>
          <w:bCs/>
          <w:color w:val="000000"/>
          <w:lang w:eastAsia="es-MX"/>
        </w:rPr>
        <w:t>“LFD”</w:t>
      </w:r>
      <w:r w:rsidRPr="00FD1C30">
        <w:rPr>
          <w:rFonts w:ascii="ITC Avant Garde" w:eastAsia="Times New Roman" w:hAnsi="ITC Avant Garde"/>
          <w:bCs/>
          <w:color w:val="000000"/>
          <w:lang w:eastAsia="es-MX"/>
        </w:rPr>
        <w:t>)</w:t>
      </w:r>
      <w:r w:rsidRPr="00B0520D">
        <w:rPr>
          <w:rFonts w:ascii="ITC Avant Garde" w:eastAsia="Times New Roman" w:hAnsi="ITC Avant Garde"/>
          <w:bCs/>
          <w:color w:val="000000"/>
          <w:lang w:eastAsia="es-MX"/>
        </w:rPr>
        <w:t xml:space="preserve"> y la consecuente actualización de la hipótesis normativa prevista en el artículo 303, fracción III de la Ley Federal de Telecomunicaciones y Radiodifusión (en adelante “</w:t>
      </w:r>
      <w:proofErr w:type="spellStart"/>
      <w:r w:rsidRPr="00860F5A">
        <w:rPr>
          <w:rFonts w:ascii="ITC Avant Garde" w:eastAsia="Times New Roman" w:hAnsi="ITC Avant Garde"/>
          <w:b/>
          <w:bCs/>
          <w:color w:val="000000"/>
          <w:lang w:eastAsia="es-MX"/>
        </w:rPr>
        <w:t>LFTyR</w:t>
      </w:r>
      <w:proofErr w:type="spellEnd"/>
      <w:r w:rsidRPr="00B0520D">
        <w:rPr>
          <w:rFonts w:ascii="ITC Avant Garde" w:eastAsia="Times New Roman" w:hAnsi="ITC Avant Garde"/>
          <w:bCs/>
          <w:color w:val="000000"/>
          <w:lang w:eastAsia="es-MX"/>
        </w:rPr>
        <w:t xml:space="preserve">”). </w:t>
      </w:r>
      <w:r w:rsidRPr="00B0520D">
        <w:rPr>
          <w:rFonts w:ascii="ITC Avant Garde" w:eastAsia="Times New Roman" w:hAnsi="ITC Avant Garde"/>
          <w:bCs/>
          <w:lang w:eastAsia="es-MX"/>
        </w:rPr>
        <w:t>A</w:t>
      </w:r>
      <w:r w:rsidRPr="00B0520D">
        <w:rPr>
          <w:rFonts w:ascii="ITC Avant Garde" w:hAnsi="ITC Avant Garde"/>
        </w:rPr>
        <w:t xml:space="preserve">l respecto, </w:t>
      </w:r>
      <w:r>
        <w:rPr>
          <w:rFonts w:ascii="ITC Avant Garde" w:hAnsi="ITC Avant Garde"/>
        </w:rPr>
        <w:t>se emite la presente resolución de conformidad con lo siguiente, y</w:t>
      </w:r>
      <w:r w:rsidRPr="00B0520D">
        <w:rPr>
          <w:rFonts w:ascii="ITC Avant Garde" w:eastAsia="Times New Roman" w:hAnsi="ITC Avant Garde"/>
          <w:bCs/>
          <w:lang w:eastAsia="es-MX"/>
        </w:rPr>
        <w:t>:</w:t>
      </w:r>
    </w:p>
    <w:p w14:paraId="4C0F2EF2" w14:textId="2B6974A6" w:rsidR="00327D0C" w:rsidRPr="00D71E1E" w:rsidRDefault="00CB7F8D" w:rsidP="00D71E1E">
      <w:pPr>
        <w:pStyle w:val="Ttulo2"/>
        <w:spacing w:after="240"/>
        <w:jc w:val="center"/>
        <w:rPr>
          <w:rFonts w:ascii="ITC Avant Garde" w:hAnsi="ITC Avant Garde"/>
          <w:b/>
          <w:color w:val="000000" w:themeColor="text1"/>
          <w:sz w:val="24"/>
          <w:szCs w:val="24"/>
        </w:rPr>
      </w:pPr>
      <w:r w:rsidRPr="00D71E1E">
        <w:rPr>
          <w:rFonts w:ascii="ITC Avant Garde" w:hAnsi="ITC Avant Garde"/>
          <w:b/>
          <w:color w:val="000000" w:themeColor="text1"/>
          <w:sz w:val="24"/>
          <w:szCs w:val="24"/>
        </w:rPr>
        <w:t>RESULTANDO</w:t>
      </w:r>
    </w:p>
    <w:p w14:paraId="0524E54E" w14:textId="77777777" w:rsidR="00327D0C" w:rsidRDefault="00CB7F8D" w:rsidP="00327D0C">
      <w:pPr>
        <w:spacing w:after="240" w:line="360" w:lineRule="auto"/>
        <w:jc w:val="both"/>
        <w:rPr>
          <w:rFonts w:ascii="ITC Avant Garde" w:hAnsi="ITC Avant Garde" w:cs="Arial"/>
        </w:rPr>
      </w:pPr>
      <w:r w:rsidRPr="00031EDB">
        <w:rPr>
          <w:rFonts w:ascii="ITC Avant Garde" w:eastAsia="Times New Roman" w:hAnsi="ITC Avant Garde"/>
          <w:b/>
          <w:bCs/>
          <w:color w:val="000000" w:themeColor="text1"/>
          <w:lang w:eastAsia="es-MX"/>
        </w:rPr>
        <w:t>PRIMERO.</w:t>
      </w:r>
      <w:r w:rsidRPr="00031EDB">
        <w:rPr>
          <w:rFonts w:ascii="ITC Avant Garde" w:eastAsia="Times New Roman" w:hAnsi="ITC Avant Garde"/>
          <w:bCs/>
          <w:color w:val="000000" w:themeColor="text1"/>
          <w:lang w:eastAsia="es-MX"/>
        </w:rPr>
        <w:t xml:space="preserve"> </w:t>
      </w:r>
      <w:r w:rsidRPr="00031EDB">
        <w:rPr>
          <w:rFonts w:ascii="ITC Avant Garde" w:eastAsia="Times New Roman" w:hAnsi="ITC Avant Garde"/>
          <w:bCs/>
          <w:color w:val="000000"/>
          <w:lang w:eastAsia="es-MX"/>
        </w:rPr>
        <w:t xml:space="preserve">El </w:t>
      </w:r>
      <w:r w:rsidRPr="008A2C3C">
        <w:rPr>
          <w:rFonts w:ascii="ITC Avant Garde" w:hAnsi="ITC Avant Garde"/>
          <w:noProof/>
        </w:rPr>
        <w:t>veinte de junio de mil novecientos noventa y uno</w:t>
      </w:r>
      <w:r w:rsidRPr="00031EDB">
        <w:rPr>
          <w:rFonts w:ascii="ITC Avant Garde" w:eastAsia="Times New Roman" w:hAnsi="ITC Avant Garde"/>
          <w:bCs/>
          <w:color w:val="000000"/>
          <w:lang w:eastAsia="es-MX"/>
        </w:rPr>
        <w:t xml:space="preserve">, el Gobierno Federal por conducto de la Secretaría de Comunicaciones y Transportes, otorgó </w:t>
      </w:r>
      <w:r w:rsidRPr="008A2C3C">
        <w:rPr>
          <w:rFonts w:ascii="ITC Avant Garde" w:eastAsia="Times New Roman" w:hAnsi="ITC Avant Garde"/>
          <w:bCs/>
          <w:noProof/>
          <w:color w:val="000000"/>
          <w:lang w:eastAsia="es-MX"/>
        </w:rPr>
        <w:t>a</w:t>
      </w:r>
      <w:r w:rsidRPr="00031EDB">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sidRPr="00031EDB">
        <w:rPr>
          <w:rFonts w:ascii="ITC Avant Garde" w:eastAsia="Times New Roman" w:hAnsi="ITC Avant Garde"/>
          <w:b/>
          <w:bCs/>
          <w:noProof/>
          <w:color w:val="000000"/>
          <w:lang w:eastAsia="es-MX"/>
        </w:rPr>
        <w:t xml:space="preserve"> </w:t>
      </w:r>
      <w:r w:rsidRPr="00031EDB">
        <w:rPr>
          <w:rFonts w:ascii="ITC Avant Garde" w:eastAsia="Times New Roman" w:hAnsi="ITC Avant Garde"/>
          <w:b/>
          <w:bCs/>
          <w:color w:val="000000"/>
          <w:lang w:eastAsia="es-MX"/>
        </w:rPr>
        <w:t>“EL PERMISO”</w:t>
      </w:r>
      <w:r w:rsidRPr="00031EDB">
        <w:rPr>
          <w:rFonts w:ascii="ITC Avant Garde" w:eastAsia="Times New Roman" w:hAnsi="ITC Avant Garde"/>
          <w:bCs/>
          <w:color w:val="000000"/>
          <w:lang w:eastAsia="es-MX"/>
        </w:rPr>
        <w:t>.</w:t>
      </w:r>
    </w:p>
    <w:p w14:paraId="483BF19F" w14:textId="77777777" w:rsidR="00955335" w:rsidRDefault="00CB7F8D" w:rsidP="00327D0C">
      <w:pPr>
        <w:spacing w:after="240" w:line="360" w:lineRule="auto"/>
        <w:jc w:val="both"/>
        <w:rPr>
          <w:rFonts w:ascii="ITC Avant Garde" w:eastAsia="Times New Roman" w:hAnsi="ITC Avant Garde"/>
          <w:bCs/>
          <w:color w:val="000000"/>
          <w:lang w:eastAsia="es-MX"/>
        </w:rPr>
        <w:sectPr w:rsidR="00955335" w:rsidSect="00D00469">
          <w:headerReference w:type="even" r:id="rId11"/>
          <w:headerReference w:type="default" r:id="rId12"/>
          <w:footerReference w:type="default" r:id="rId13"/>
          <w:headerReference w:type="first" r:id="rId14"/>
          <w:type w:val="continuous"/>
          <w:pgSz w:w="12240" w:h="15840"/>
          <w:pgMar w:top="1985" w:right="1418" w:bottom="1418" w:left="1418" w:header="709" w:footer="420" w:gutter="0"/>
          <w:cols w:space="708"/>
          <w:docGrid w:linePitch="360"/>
        </w:sectPr>
      </w:pPr>
      <w:r w:rsidRPr="00883B6E">
        <w:rPr>
          <w:rFonts w:ascii="ITC Avant Garde" w:hAnsi="ITC Avant Garde"/>
          <w:b/>
          <w:color w:val="000000" w:themeColor="text1"/>
        </w:rPr>
        <w:t xml:space="preserve">SEGUNDO. </w:t>
      </w:r>
      <w:r w:rsidRPr="00883B6E">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IFT/225/UC/DG-SUV/3254/2016</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veintisiete de mayo de dos mil dieciséis</w:t>
      </w:r>
      <w:r w:rsidRPr="00883B6E">
        <w:rPr>
          <w:rFonts w:ascii="ITC Avant Garde" w:eastAsia="Times New Roman" w:hAnsi="ITC Avant Garde"/>
          <w:bCs/>
          <w:color w:val="000000"/>
          <w:lang w:eastAsia="es-MX"/>
        </w:rPr>
        <w:t xml:space="preserve">, la </w:t>
      </w:r>
      <w:r>
        <w:rPr>
          <w:rFonts w:ascii="ITC Avant Garde" w:eastAsia="Times New Roman" w:hAnsi="ITC Avant Garde"/>
          <w:bCs/>
          <w:color w:val="000000"/>
          <w:lang w:eastAsia="es-MX"/>
        </w:rPr>
        <w:t xml:space="preserve">Dirección General de Supervisión (en adelante </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DG-SUV</w:t>
      </w:r>
      <w:r w:rsidRPr="00F54548">
        <w:rPr>
          <w:rFonts w:ascii="ITC Avant Garde" w:eastAsia="Times New Roman" w:hAnsi="ITC Avant Garde"/>
          <w:bCs/>
          <w:color w:val="000000"/>
          <w:lang w:eastAsia="es-MX"/>
        </w:rPr>
        <w:t>”)</w:t>
      </w:r>
      <w:r>
        <w:rPr>
          <w:rFonts w:ascii="ITC Avant Garde" w:eastAsia="Times New Roman" w:hAnsi="ITC Avant Garde"/>
          <w:bCs/>
          <w:color w:val="000000"/>
          <w:lang w:eastAsia="es-MX"/>
        </w:rPr>
        <w:t>,</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en ejercicio de las atribuciones previstas en el artículo 42, fracciones VII y VIII del Estatuto Orgánico del Instituto Federal de Telecomunicaciones solicitó </w:t>
      </w:r>
      <w:r w:rsidRPr="008A2C3C">
        <w:rPr>
          <w:rFonts w:ascii="ITC Avant Garde" w:eastAsia="Times New Roman" w:hAnsi="ITC Avant Garde"/>
          <w:bCs/>
          <w:noProof/>
          <w:color w:val="000000"/>
          <w:lang w:eastAsia="es-MX"/>
        </w:rPr>
        <w:t>a</w:t>
      </w:r>
      <w:r w:rsidRPr="00883B6E">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presentará la información y documentación que</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acreditara el cumplimiento de la obligación de pago de derechos por el uso de frecuencias del espectro radioeléctrico</w:t>
      </w:r>
    </w:p>
    <w:p w14:paraId="362FA54D" w14:textId="5F688826" w:rsidR="00327D0C" w:rsidRDefault="00CB7F8D" w:rsidP="00327D0C">
      <w:pPr>
        <w:spacing w:after="240" w:line="360" w:lineRule="auto"/>
        <w:jc w:val="both"/>
        <w:rPr>
          <w:rFonts w:ascii="ITC Avant Garde" w:hAnsi="ITC Avant Garde" w:cs="Arial"/>
        </w:rPr>
      </w:pPr>
      <w:r w:rsidRPr="00883B6E">
        <w:rPr>
          <w:rFonts w:ascii="ITC Avant Garde" w:eastAsia="Times New Roman" w:hAnsi="ITC Avant Garde"/>
          <w:bCs/>
          <w:color w:val="000000"/>
          <w:lang w:eastAsia="es-MX"/>
        </w:rPr>
        <w:lastRenderedPageBreak/>
        <w:t xml:space="preserve"> previsto en la condición </w:t>
      </w:r>
      <w:r w:rsidRPr="008A2C3C">
        <w:rPr>
          <w:rFonts w:ascii="ITC Avant Garde" w:eastAsia="Times New Roman" w:hAnsi="ITC Avant Garde"/>
          <w:b/>
          <w:bCs/>
          <w:noProof/>
          <w:color w:val="000000"/>
          <w:lang w:eastAsia="es-MX"/>
        </w:rPr>
        <w:t>DÉCIMA TERCERA</w:t>
      </w:r>
      <w:r w:rsidRPr="00883B6E">
        <w:rPr>
          <w:rFonts w:ascii="ITC Avant Garde" w:eastAsia="Times New Roman" w:hAnsi="ITC Avant Garde"/>
          <w:bCs/>
          <w:color w:val="000000"/>
          <w:lang w:eastAsia="es-MX"/>
        </w:rPr>
        <w:t xml:space="preserve"> de </w:t>
      </w:r>
      <w:r w:rsidRPr="00883B6E">
        <w:rPr>
          <w:rFonts w:ascii="ITC Avant Garde" w:eastAsia="Times New Roman" w:hAnsi="ITC Avant Garde"/>
          <w:b/>
          <w:bCs/>
          <w:color w:val="000000"/>
          <w:lang w:eastAsia="es-MX"/>
        </w:rPr>
        <w:t xml:space="preserve">“EL PERMISO” </w:t>
      </w:r>
      <w:r w:rsidRPr="00883B6E">
        <w:rPr>
          <w:rFonts w:ascii="ITC Avant Garde" w:eastAsia="Times New Roman" w:hAnsi="ITC Avant Garde"/>
          <w:bCs/>
          <w:noProof/>
          <w:color w:val="000000"/>
          <w:lang w:eastAsia="es-MX"/>
        </w:rPr>
        <w:t xml:space="preserve">correspondiente </w:t>
      </w:r>
      <w:r w:rsidRPr="008A2C3C">
        <w:rPr>
          <w:rFonts w:ascii="ITC Avant Garde" w:eastAsia="Times New Roman" w:hAnsi="ITC Avant Garde"/>
          <w:bCs/>
          <w:noProof/>
          <w:color w:val="000000"/>
          <w:lang w:eastAsia="es-MX"/>
        </w:rPr>
        <w:t>a los años dos mil catorce y dos mil quince</w:t>
      </w:r>
      <w:r>
        <w:rPr>
          <w:rFonts w:ascii="ITC Avant Garde" w:eastAsia="Times New Roman" w:hAnsi="ITC Avant Garde"/>
          <w:bCs/>
          <w:noProof/>
          <w:color w:val="000000"/>
          <w:lang w:eastAsia="es-MX"/>
        </w:rPr>
        <w:t>, siendo omisa dicha persona en atender la solicitud antes referida</w:t>
      </w:r>
      <w:r w:rsidRPr="00883B6E">
        <w:rPr>
          <w:rFonts w:ascii="ITC Avant Garde" w:eastAsia="Times New Roman" w:hAnsi="ITC Avant Garde"/>
          <w:bCs/>
          <w:color w:val="000000"/>
          <w:lang w:eastAsia="es-MX"/>
        </w:rPr>
        <w:t>.</w:t>
      </w:r>
    </w:p>
    <w:p w14:paraId="63BD0F33"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themeColor="text1"/>
          <w:lang w:eastAsia="es-MX"/>
        </w:rPr>
        <w:t xml:space="preserve">TERCERO. </w:t>
      </w:r>
      <w:r w:rsidRPr="00B0520D">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IFT/225/UC/DG-SUV/4794/2016</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doce de septiembre de dos mil dieciséis</w:t>
      </w:r>
      <w:r w:rsidRPr="00B0520D">
        <w:rPr>
          <w:rFonts w:ascii="ITC Avant Garde" w:eastAsia="Times New Roman" w:hAnsi="ITC Avant Garde"/>
          <w:bCs/>
          <w:color w:val="000000"/>
          <w:lang w:eastAsia="es-MX"/>
        </w:rPr>
        <w:t xml:space="preserve">, la </w:t>
      </w:r>
      <w:r w:rsidRPr="00B0520D">
        <w:rPr>
          <w:rFonts w:ascii="ITC Avant Garde" w:eastAsia="Times New Roman" w:hAnsi="ITC Avant Garde"/>
          <w:b/>
          <w:bCs/>
          <w:color w:val="000000"/>
          <w:lang w:eastAsia="es-MX"/>
        </w:rPr>
        <w:t>“DG</w:t>
      </w:r>
      <w:r>
        <w:rPr>
          <w:rFonts w:ascii="ITC Avant Garde" w:eastAsia="Times New Roman" w:hAnsi="ITC Avant Garde"/>
          <w:b/>
          <w:bCs/>
          <w:color w:val="000000"/>
          <w:lang w:eastAsia="es-MX"/>
        </w:rPr>
        <w:t>-</w:t>
      </w:r>
      <w:r w:rsidRPr="00B0520D">
        <w:rPr>
          <w:rFonts w:ascii="ITC Avant Garde" w:eastAsia="Times New Roman" w:hAnsi="ITC Avant Garde"/>
          <w:b/>
          <w:bCs/>
          <w:color w:val="000000"/>
          <w:lang w:eastAsia="es-MX"/>
        </w:rPr>
        <w:t>S</w:t>
      </w:r>
      <w:r>
        <w:rPr>
          <w:rFonts w:ascii="ITC Avant Garde" w:eastAsia="Times New Roman" w:hAnsi="ITC Avant Garde"/>
          <w:b/>
          <w:bCs/>
          <w:color w:val="000000"/>
          <w:lang w:eastAsia="es-MX"/>
        </w:rPr>
        <w:t>UV</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ejercicio de las atribuciones previstas en el artículo 42, fracciones VII y VIII del Estatuto Orgánico del </w:t>
      </w:r>
      <w:r w:rsidRPr="00393609">
        <w:rPr>
          <w:rFonts w:ascii="ITC Avant Garde" w:eastAsia="Times New Roman" w:hAnsi="ITC Avant Garde"/>
          <w:b/>
          <w:bCs/>
          <w:color w:val="000000"/>
          <w:lang w:eastAsia="es-MX"/>
        </w:rPr>
        <w:t>“IFT”</w:t>
      </w:r>
      <w:r w:rsidRPr="00B0520D">
        <w:rPr>
          <w:rFonts w:ascii="ITC Avant Garde" w:eastAsia="Times New Roman" w:hAnsi="ITC Avant Garde"/>
          <w:bCs/>
          <w:color w:val="000000"/>
          <w:lang w:eastAsia="es-MX"/>
        </w:rPr>
        <w:t xml:space="preserve">, emitió la determinación de adeudos por omisión en el pago de derechos correspondiente </w:t>
      </w:r>
      <w:r w:rsidRPr="008A2C3C">
        <w:rPr>
          <w:rFonts w:ascii="ITC Avant Garde" w:eastAsia="Times New Roman" w:hAnsi="ITC Avant Garde"/>
          <w:bCs/>
          <w:noProof/>
          <w:color w:val="000000"/>
          <w:lang w:eastAsia="es-MX"/>
        </w:rPr>
        <w:t>a los años dos mil catorce y dos mil quince</w:t>
      </w:r>
      <w:r w:rsidRPr="00B0520D">
        <w:rPr>
          <w:rFonts w:ascii="ITC Avant Garde" w:eastAsia="Times New Roman" w:hAnsi="ITC Avant Garde"/>
          <w:bCs/>
          <w:color w:val="000000"/>
          <w:lang w:eastAsia="es-MX"/>
        </w:rPr>
        <w:t xml:space="preserve">, toda vez que a esa fecha </w:t>
      </w:r>
      <w:r w:rsidRPr="008A2C3C">
        <w:rPr>
          <w:rFonts w:ascii="ITC Avant Garde" w:eastAsia="Times New Roman" w:hAnsi="ITC Avant Garde"/>
          <w:b/>
          <w:bCs/>
          <w:noProof/>
          <w:color w:val="000000"/>
          <w:lang w:eastAsia="es-MX"/>
        </w:rPr>
        <w:t>PORFIRIO TORRES PERALTA</w:t>
      </w:r>
      <w:r w:rsidRPr="00B0520D">
        <w:rPr>
          <w:rFonts w:ascii="ITC Avant Garde" w:hAnsi="ITC Avant Garde"/>
          <w:b/>
        </w:rPr>
        <w:t xml:space="preserve"> </w:t>
      </w:r>
      <w:r w:rsidRPr="00B0520D">
        <w:rPr>
          <w:rFonts w:ascii="ITC Avant Garde" w:eastAsia="Times New Roman" w:hAnsi="ITC Avant Garde"/>
          <w:bCs/>
          <w:color w:val="000000"/>
          <w:lang w:eastAsia="es-MX"/>
        </w:rPr>
        <w:t>no acreditó el pago de derechos por el uso de frecuencias del espectro radioeléctrico</w:t>
      </w:r>
      <w:r>
        <w:rPr>
          <w:rFonts w:ascii="ITC Avant Garde" w:eastAsia="Times New Roman" w:hAnsi="ITC Avant Garde"/>
          <w:bCs/>
          <w:color w:val="000000"/>
          <w:lang w:eastAsia="es-MX"/>
        </w:rPr>
        <w:t xml:space="preserve"> </w:t>
      </w:r>
      <w:r w:rsidRPr="00E301FB">
        <w:rPr>
          <w:rFonts w:ascii="ITC Avant Garde" w:eastAsia="Times New Roman" w:hAnsi="ITC Avant Garde"/>
          <w:bCs/>
          <w:color w:val="000000"/>
          <w:lang w:eastAsia="es-MX"/>
        </w:rPr>
        <w:t xml:space="preserve">respecto </w:t>
      </w:r>
      <w:r w:rsidRPr="008A2C3C">
        <w:rPr>
          <w:rFonts w:ascii="ITC Avant Garde" w:eastAsia="Times New Roman" w:hAnsi="ITC Avant Garde"/>
          <w:bCs/>
          <w:noProof/>
          <w:color w:val="000000"/>
          <w:lang w:eastAsia="es-MX"/>
        </w:rPr>
        <w:t>de los años</w:t>
      </w:r>
      <w:r>
        <w:rPr>
          <w:rFonts w:ascii="ITC Avant Garde" w:eastAsia="Times New Roman" w:hAnsi="ITC Avant Garde"/>
          <w:bCs/>
          <w:color w:val="000000"/>
          <w:lang w:eastAsia="es-MX"/>
        </w:rPr>
        <w:t xml:space="preserve"> </w:t>
      </w:r>
      <w:r w:rsidRPr="004F2D0A">
        <w:rPr>
          <w:rFonts w:ascii="ITC Avant Garde" w:eastAsia="Times New Roman" w:hAnsi="ITC Avant Garde"/>
          <w:bCs/>
          <w:color w:val="000000"/>
          <w:lang w:eastAsia="es-MX"/>
        </w:rPr>
        <w:t>antes mencionado</w:t>
      </w:r>
      <w:r>
        <w:rPr>
          <w:rFonts w:ascii="ITC Avant Garde" w:eastAsia="Times New Roman" w:hAnsi="ITC Avant Garde"/>
          <w:bCs/>
          <w:color w:val="000000"/>
          <w:lang w:eastAsia="es-MX"/>
        </w:rPr>
        <w:t>s</w:t>
      </w:r>
      <w:r w:rsidRPr="00B0520D">
        <w:rPr>
          <w:rFonts w:ascii="ITC Avant Garde" w:eastAsia="Times New Roman" w:hAnsi="ITC Avant Garde"/>
          <w:bCs/>
          <w:color w:val="000000"/>
          <w:lang w:eastAsia="es-MX"/>
        </w:rPr>
        <w:t>.</w:t>
      </w:r>
    </w:p>
    <w:p w14:paraId="14288DC4" w14:textId="77777777" w:rsidR="00327D0C" w:rsidRDefault="00CB7F8D" w:rsidP="00327D0C">
      <w:pPr>
        <w:spacing w:after="240" w:line="360" w:lineRule="auto"/>
        <w:jc w:val="both"/>
        <w:rPr>
          <w:rFonts w:ascii="ITC Avant Garde" w:hAnsi="ITC Avant Garde"/>
        </w:rPr>
      </w:pPr>
      <w:r>
        <w:rPr>
          <w:rFonts w:ascii="ITC Avant Garde" w:eastAsia="Times New Roman" w:hAnsi="ITC Avant Garde"/>
          <w:b/>
          <w:bCs/>
          <w:color w:val="000000" w:themeColor="text1"/>
          <w:lang w:eastAsia="es-MX"/>
        </w:rPr>
        <w:t>CUARTO</w:t>
      </w:r>
      <w:r w:rsidRPr="00077A85">
        <w:rPr>
          <w:rFonts w:ascii="ITC Avant Garde" w:eastAsia="Times New Roman" w:hAnsi="ITC Avant Garde"/>
          <w:b/>
          <w:bCs/>
          <w:color w:val="000000" w:themeColor="text1"/>
          <w:lang w:eastAsia="es-MX"/>
        </w:rPr>
        <w:t xml:space="preserve">. </w:t>
      </w:r>
      <w:r w:rsidRPr="00077A85">
        <w:rPr>
          <w:rFonts w:ascii="ITC Avant Garde" w:hAnsi="ITC Avant Garde"/>
        </w:rPr>
        <w:t xml:space="preserve">Por lo anterior, derivado del ejercicio de las facultades atribuidas a la </w:t>
      </w:r>
      <w:r>
        <w:rPr>
          <w:rFonts w:ascii="ITC Avant Garde" w:hAnsi="ITC Avant Garde"/>
          <w:b/>
        </w:rPr>
        <w:t>“DG-SUV”</w:t>
      </w:r>
      <w:r w:rsidRPr="00077A85">
        <w:rPr>
          <w:rFonts w:ascii="ITC Avant Garde" w:hAnsi="ITC Avant Garde"/>
          <w:b/>
        </w:rPr>
        <w:t xml:space="preserve"> </w:t>
      </w:r>
      <w:r w:rsidRPr="00077A85">
        <w:rPr>
          <w:rFonts w:ascii="ITC Avant Garde" w:hAnsi="ITC Avant Garde"/>
        </w:rPr>
        <w:t xml:space="preserve">y de la revisión al cumplimiento de las condiciones establecidas en </w:t>
      </w:r>
      <w:r>
        <w:rPr>
          <w:rFonts w:ascii="ITC Avant Garde" w:eastAsia="Times New Roman" w:hAnsi="ITC Avant Garde"/>
          <w:b/>
          <w:bCs/>
          <w:color w:val="000000"/>
          <w:lang w:eastAsia="es-MX"/>
        </w:rPr>
        <w:t>“EL PERMISO”</w:t>
      </w:r>
      <w:r w:rsidRPr="00077A85">
        <w:rPr>
          <w:rFonts w:ascii="ITC Avant Garde" w:hAnsi="ITC Avant Garde"/>
        </w:rPr>
        <w:t xml:space="preserve"> </w:t>
      </w:r>
      <w:r w:rsidRPr="0004662C">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PORFIRIO TORRES PERALTA</w:t>
      </w:r>
      <w:r w:rsidRPr="00077A85">
        <w:rPr>
          <w:rFonts w:ascii="ITC Avant Garde" w:hAnsi="ITC Avant Garde"/>
        </w:rPr>
        <w:t xml:space="preserve"> y del análisis de las constancias que </w:t>
      </w:r>
      <w:r>
        <w:rPr>
          <w:rFonts w:ascii="ITC Avant Garde" w:hAnsi="ITC Avant Garde"/>
        </w:rPr>
        <w:t>integraban el expediente respectivo</w:t>
      </w:r>
      <w:r w:rsidRPr="00077A85">
        <w:rPr>
          <w:rFonts w:ascii="ITC Avant Garde" w:hAnsi="ITC Avant Garde" w:cs="Arial"/>
        </w:rPr>
        <w:t>, se desprend</w:t>
      </w:r>
      <w:r>
        <w:rPr>
          <w:rFonts w:ascii="ITC Avant Garde" w:hAnsi="ITC Avant Garde" w:cs="Arial"/>
        </w:rPr>
        <w:t xml:space="preserve">ió que el citado </w:t>
      </w:r>
      <w:r w:rsidRPr="008A2C3C">
        <w:rPr>
          <w:rFonts w:ascii="ITC Avant Garde" w:hAnsi="ITC Avant Garde" w:cs="Arial"/>
          <w:noProof/>
        </w:rPr>
        <w:t>permisionario</w:t>
      </w:r>
      <w:r w:rsidRPr="00077A85">
        <w:rPr>
          <w:rFonts w:ascii="ITC Avant Garde" w:hAnsi="ITC Avant Garde" w:cs="Arial"/>
        </w:rPr>
        <w:t xml:space="preserve"> </w:t>
      </w:r>
      <w:r w:rsidRPr="00077A85">
        <w:rPr>
          <w:rFonts w:ascii="ITC Avant Garde" w:hAnsi="ITC Avant Garde"/>
        </w:rPr>
        <w:t xml:space="preserve">presuntamente </w:t>
      </w:r>
      <w:r>
        <w:rPr>
          <w:rFonts w:ascii="ITC Avant Garde" w:hAnsi="ITC Avant Garde"/>
        </w:rPr>
        <w:t>incumplió</w:t>
      </w:r>
      <w:r w:rsidRPr="00077A85">
        <w:rPr>
          <w:rFonts w:ascii="ITC Avant Garde" w:hAnsi="ITC Avant Garde"/>
        </w:rPr>
        <w:t xml:space="preserve"> la condición </w:t>
      </w:r>
      <w:r w:rsidRPr="008A2C3C">
        <w:rPr>
          <w:rFonts w:ascii="ITC Avant Garde" w:hAnsi="ITC Avant Garde"/>
          <w:b/>
          <w:noProof/>
        </w:rPr>
        <w:t>DÉCIMA TERCERA</w:t>
      </w:r>
      <w:r w:rsidRPr="00077A85">
        <w:rPr>
          <w:rFonts w:ascii="ITC Avant Garde" w:hAnsi="ITC Avant Garde"/>
        </w:rPr>
        <w:t xml:space="preserve"> </w:t>
      </w:r>
      <w:r>
        <w:rPr>
          <w:rFonts w:ascii="ITC Avant Garde" w:hAnsi="ITC Avant Garde"/>
        </w:rPr>
        <w:t>en relación con</w:t>
      </w:r>
      <w:r w:rsidRPr="00077A85">
        <w:rPr>
          <w:rFonts w:ascii="ITC Avant Garde" w:hAnsi="ITC Avant Garde"/>
        </w:rPr>
        <w:t xml:space="preserve"> la condición </w:t>
      </w:r>
      <w:r w:rsidRPr="008A2C3C">
        <w:rPr>
          <w:rFonts w:ascii="ITC Avant Garde" w:hAnsi="ITC Avant Garde"/>
          <w:b/>
          <w:noProof/>
        </w:rPr>
        <w:t>DÉCIMA QUINTA</w:t>
      </w:r>
      <w:r w:rsidRPr="00077A85">
        <w:rPr>
          <w:rFonts w:ascii="ITC Avant Garde" w:hAnsi="ITC Avant Garde"/>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rPr>
        <w:t xml:space="preserve"> al no haber acreditado el pago de derechos respecto </w:t>
      </w:r>
      <w:r w:rsidRPr="008A2C3C">
        <w:rPr>
          <w:rFonts w:ascii="ITC Avant Garde" w:hAnsi="ITC Avant Garde"/>
          <w:noProof/>
        </w:rPr>
        <w:t>a los años dos mil catorce y dos mil quince</w:t>
      </w:r>
      <w:r>
        <w:rPr>
          <w:rFonts w:ascii="ITC Avant Garde" w:hAnsi="ITC Avant Garde"/>
        </w:rPr>
        <w:t>, y hasta la fecha de su supervisión, esto es, hasta el año dos mil dieciséis.</w:t>
      </w:r>
    </w:p>
    <w:p w14:paraId="322FFFAC"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themeColor="text1"/>
          <w:lang w:eastAsia="es-MX"/>
        </w:rPr>
        <w:t>QUINTO.</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En consecuencia, m</w:t>
      </w:r>
      <w:r w:rsidRPr="0094682B">
        <w:rPr>
          <w:rFonts w:ascii="ITC Avant Garde" w:hAnsi="ITC Avant Garde"/>
        </w:rPr>
        <w:t xml:space="preserve">ediante oficio </w:t>
      </w:r>
      <w:r w:rsidRPr="008A2C3C">
        <w:rPr>
          <w:rFonts w:ascii="ITC Avant Garde" w:hAnsi="ITC Avant Garde"/>
          <w:b/>
          <w:noProof/>
        </w:rPr>
        <w:t>IFT/225/UC/DG-SUV/5535/2016</w:t>
      </w:r>
      <w:r>
        <w:rPr>
          <w:rFonts w:ascii="ITC Avant Garde" w:hAnsi="ITC Avant Garde"/>
          <w:b/>
        </w:rPr>
        <w:t xml:space="preserve"> </w:t>
      </w:r>
      <w:r w:rsidRPr="0094682B">
        <w:rPr>
          <w:rFonts w:ascii="ITC Avant Garde" w:hAnsi="ITC Avant Garde"/>
        </w:rPr>
        <w:t xml:space="preserve">de </w:t>
      </w:r>
      <w:r w:rsidRPr="008A2C3C">
        <w:rPr>
          <w:rFonts w:ascii="ITC Avant Garde" w:hAnsi="ITC Avant Garde"/>
          <w:noProof/>
        </w:rPr>
        <w:t>veintisiete de octubre de dos mil dieciséis</w:t>
      </w:r>
      <w:r w:rsidRPr="0094682B">
        <w:rPr>
          <w:rFonts w:ascii="ITC Avant Garde" w:hAnsi="ITC Avant Garde"/>
        </w:rPr>
        <w:t>, la</w:t>
      </w:r>
      <w:r w:rsidRPr="00154E07">
        <w:rPr>
          <w:rFonts w:ascii="ITC Avant Garde" w:hAnsi="ITC Avant Garde"/>
          <w:b/>
        </w:rPr>
        <w:t xml:space="preserve"> </w:t>
      </w:r>
      <w:r w:rsidRPr="00B810A8">
        <w:rPr>
          <w:rFonts w:ascii="ITC Avant Garde" w:hAnsi="ITC Avant Garde"/>
          <w:b/>
        </w:rPr>
        <w:t>“DG-SUV”</w:t>
      </w:r>
      <w:r>
        <w:rPr>
          <w:rFonts w:ascii="ITC Avant Garde" w:hAnsi="ITC Avant Garde"/>
        </w:rPr>
        <w:t xml:space="preserve"> </w:t>
      </w:r>
      <w:r w:rsidRPr="0094682B">
        <w:rPr>
          <w:rFonts w:ascii="ITC Avant Garde" w:hAnsi="ITC Avant Garde"/>
        </w:rPr>
        <w:t xml:space="preserve">dependiente de la Unidad de Cumplimiento </w:t>
      </w:r>
      <w:r w:rsidRPr="00D851B0">
        <w:rPr>
          <w:rFonts w:ascii="ITC Avant Garde" w:eastAsia="Times New Roman" w:hAnsi="ITC Avant Garde"/>
          <w:bCs/>
          <w:color w:val="000000"/>
          <w:lang w:eastAsia="es-MX"/>
        </w:rPr>
        <w:t xml:space="preserve">del </w:t>
      </w:r>
      <w:r>
        <w:rPr>
          <w:rFonts w:ascii="ITC Avant Garde" w:eastAsia="Times New Roman" w:hAnsi="ITC Avant Garde"/>
          <w:b/>
          <w:bCs/>
          <w:color w:val="000000"/>
          <w:lang w:eastAsia="es-MX"/>
        </w:rPr>
        <w:t xml:space="preserve">“IFT” </w:t>
      </w:r>
      <w:r w:rsidRPr="0094682B">
        <w:rPr>
          <w:rFonts w:ascii="ITC Avant Garde" w:hAnsi="ITC Avant Garde"/>
        </w:rPr>
        <w:t xml:space="preserve">remitió </w:t>
      </w:r>
      <w:r>
        <w:rPr>
          <w:rFonts w:ascii="ITC Avant Garde" w:hAnsi="ITC Avant Garde"/>
        </w:rPr>
        <w:t>un “</w:t>
      </w:r>
      <w:r w:rsidRPr="008A2C3C">
        <w:rPr>
          <w:rFonts w:ascii="ITC Avant Garde" w:eastAsia="Times New Roman" w:hAnsi="ITC Avant Garde"/>
          <w:b/>
          <w:bCs/>
          <w:i/>
          <w:noProof/>
          <w:color w:val="000000"/>
          <w:lang w:eastAsia="es-MX"/>
        </w:rPr>
        <w:t>DICTAMEN QUE FORMULA LA DIRECCIÓN GENERAL DE SUPERVISIÓN A LA DIRECCIÓN GENERAL DE SANCIONES, A EFECTO DE QUE SE INICIE EL PROCEDIMIENTO ADMINISTRATIVO SANCIONATORIO CORRESPONDIENTE EN CONTRA DE PORFIRIO TORRES PERALTA, POR EL PRESUNTO INCUMPLIMIENTO DE LA CONDICIÓN DÉCIMA TERCERA DE SU PERMISO PARA INSTALAR UN SISTEMA DE RADIOCOMUNICACIÓN PRIVADA</w:t>
      </w:r>
      <w:r>
        <w:rPr>
          <w:rFonts w:ascii="ITC Avant Garde" w:eastAsia="Times New Roman" w:hAnsi="ITC Avant Garde"/>
          <w:bCs/>
          <w:i/>
          <w:color w:val="000000"/>
          <w:lang w:eastAsia="es-MX"/>
        </w:rPr>
        <w:t>”</w:t>
      </w:r>
      <w:r>
        <w:rPr>
          <w:rFonts w:ascii="ITC Avant Garde" w:eastAsia="Times New Roman" w:hAnsi="ITC Avant Garde"/>
          <w:bCs/>
          <w:color w:val="000000"/>
          <w:lang w:eastAsia="es-MX"/>
        </w:rPr>
        <w:t xml:space="preserve">. </w:t>
      </w:r>
    </w:p>
    <w:p w14:paraId="4B551E84" w14:textId="77777777" w:rsidR="00327D0C" w:rsidRDefault="00CB7F8D" w:rsidP="00327D0C">
      <w:pPr>
        <w:pStyle w:val="Textoindependiente"/>
        <w:spacing w:after="24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SEXTO</w:t>
      </w:r>
      <w:r w:rsidRPr="007607D0">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En virtud de lo anterior, p</w:t>
      </w:r>
      <w:r w:rsidRPr="007607D0">
        <w:rPr>
          <w:rFonts w:ascii="ITC Avant Garde" w:eastAsia="Times New Roman" w:hAnsi="ITC Avant Garde"/>
          <w:bCs/>
          <w:color w:val="000000"/>
          <w:lang w:eastAsia="es-MX"/>
        </w:rPr>
        <w:t>or acuerdo</w:t>
      </w:r>
      <w:r w:rsidRPr="007607D0">
        <w:rPr>
          <w:rFonts w:ascii="ITC Avant Garde" w:eastAsia="Times New Roman" w:hAnsi="ITC Avant Garde"/>
          <w:b/>
          <w:bCs/>
          <w:color w:val="000000"/>
          <w:lang w:eastAsia="es-MX"/>
        </w:rPr>
        <w:t xml:space="preserve"> </w:t>
      </w:r>
      <w:r w:rsidRPr="007607D0">
        <w:rPr>
          <w:rFonts w:ascii="ITC Avant Garde" w:eastAsia="Times New Roman" w:hAnsi="ITC Avant Garde"/>
          <w:bCs/>
          <w:color w:val="000000"/>
          <w:lang w:eastAsia="es-MX"/>
        </w:rPr>
        <w:t>de</w:t>
      </w:r>
      <w:r>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por conducto del Titular </w:t>
      </w:r>
      <w:r w:rsidRPr="007607D0">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 xml:space="preserve">la </w:t>
      </w:r>
      <w:r w:rsidRPr="007607D0">
        <w:rPr>
          <w:rFonts w:ascii="ITC Avant Garde" w:eastAsia="Times New Roman" w:hAnsi="ITC Avant Garde"/>
          <w:bCs/>
          <w:color w:val="000000"/>
          <w:lang w:eastAsia="es-MX"/>
        </w:rPr>
        <w:t xml:space="preserve">Unidad de </w:t>
      </w:r>
      <w:r>
        <w:rPr>
          <w:rFonts w:ascii="ITC Avant Garde" w:eastAsia="Times New Roman" w:hAnsi="ITC Avant Garde"/>
          <w:bCs/>
          <w:color w:val="000000"/>
          <w:lang w:eastAsia="es-MX"/>
        </w:rPr>
        <w:t>Cumplimiento</w:t>
      </w:r>
      <w:r w:rsidRPr="007607D0">
        <w:rPr>
          <w:rFonts w:ascii="ITC Avant Garde" w:eastAsia="Times New Roman" w:hAnsi="ITC Avant Garde"/>
          <w:bCs/>
          <w:color w:val="000000"/>
          <w:lang w:eastAsia="es-MX"/>
        </w:rPr>
        <w:t xml:space="preserve"> inici</w:t>
      </w:r>
      <w:r>
        <w:rPr>
          <w:rFonts w:ascii="ITC Avant Garde" w:eastAsia="Times New Roman" w:hAnsi="ITC Avant Garde"/>
          <w:bCs/>
          <w:color w:val="000000"/>
          <w:lang w:eastAsia="es-MX"/>
        </w:rPr>
        <w:t>ó</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el</w:t>
      </w:r>
      <w:r w:rsidRPr="007607D0">
        <w:rPr>
          <w:rFonts w:ascii="ITC Avant Garde" w:eastAsia="Times New Roman" w:hAnsi="ITC Avant Garde"/>
          <w:bCs/>
          <w:color w:val="000000"/>
          <w:lang w:eastAsia="es-MX"/>
        </w:rPr>
        <w:t xml:space="preserve"> procedimiento administrativo de </w:t>
      </w:r>
      <w:r>
        <w:rPr>
          <w:rFonts w:ascii="ITC Avant Garde" w:eastAsia="Times New Roman" w:hAnsi="ITC Avant Garde"/>
          <w:bCs/>
          <w:color w:val="000000"/>
          <w:lang w:eastAsia="es-MX"/>
        </w:rPr>
        <w:t>revocación</w:t>
      </w:r>
      <w:r w:rsidRPr="007607D0">
        <w:rPr>
          <w:rFonts w:ascii="ITC Avant Garde" w:eastAsia="Times New Roman" w:hAnsi="ITC Avant Garde"/>
          <w:bCs/>
          <w:color w:val="000000"/>
          <w:lang w:eastAsia="es-MX"/>
        </w:rPr>
        <w:t xml:space="preserve">, en contra </w:t>
      </w:r>
      <w:r w:rsidRPr="0004662C">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PORFIRIO TORRES PERALTA</w:t>
      </w:r>
      <w:r w:rsidRPr="00D851B0">
        <w:rPr>
          <w:rFonts w:ascii="ITC Avant Garde" w:eastAsia="Times New Roman" w:hAnsi="ITC Avant Garde"/>
          <w:bCs/>
          <w:color w:val="000000"/>
          <w:lang w:eastAsia="es-MX"/>
        </w:rPr>
        <w:t xml:space="preserve"> </w:t>
      </w:r>
      <w:r w:rsidRPr="00CF247A">
        <w:rPr>
          <w:rFonts w:ascii="ITC Avant Garde" w:eastAsia="Times New Roman" w:hAnsi="ITC Avant Garde"/>
          <w:bCs/>
          <w:color w:val="000000"/>
          <w:lang w:eastAsia="es-MX"/>
        </w:rPr>
        <w:t xml:space="preserve">por el probable </w:t>
      </w:r>
      <w:r w:rsidRPr="00CF247A">
        <w:rPr>
          <w:rFonts w:ascii="ITC Avant Garde" w:eastAsia="Times New Roman" w:hAnsi="ITC Avant Garde"/>
          <w:bCs/>
          <w:color w:val="000000"/>
          <w:lang w:eastAsia="es-MX"/>
        </w:rPr>
        <w:lastRenderedPageBreak/>
        <w:t xml:space="preserve">incumplimiento a lo establecido </w:t>
      </w:r>
      <w:r w:rsidRPr="00B0520D">
        <w:rPr>
          <w:rFonts w:ascii="ITC Avant Garde" w:eastAsia="Times New Roman" w:hAnsi="ITC Avant Garde"/>
          <w:bCs/>
          <w:color w:val="000000"/>
          <w:lang w:eastAsia="es-MX"/>
        </w:rPr>
        <w:t xml:space="preserve">en la condición </w:t>
      </w:r>
      <w:r w:rsidRPr="008A2C3C">
        <w:rPr>
          <w:rFonts w:ascii="ITC Avant Garde" w:eastAsia="Times New Roman" w:hAnsi="ITC Avant Garde"/>
          <w:b/>
          <w:bCs/>
          <w:noProof/>
          <w:color w:val="000000"/>
          <w:lang w:eastAsia="es-MX"/>
        </w:rPr>
        <w:t>DÉCIMA TERCERA</w:t>
      </w:r>
      <w:r w:rsidRPr="00B0520D">
        <w:rPr>
          <w:rFonts w:ascii="ITC Avant Garde" w:eastAsia="Times New Roman" w:hAnsi="ITC Avant Garde"/>
          <w:bCs/>
          <w:color w:val="000000"/>
          <w:lang w:eastAsia="es-MX"/>
        </w:rPr>
        <w:t xml:space="preserve"> en relación con la </w:t>
      </w:r>
      <w:r w:rsidRPr="008A2C3C">
        <w:rPr>
          <w:rFonts w:ascii="ITC Avant Garde" w:eastAsia="Times New Roman" w:hAnsi="ITC Avant Garde"/>
          <w:b/>
          <w:bCs/>
          <w:noProof/>
          <w:color w:val="000000"/>
          <w:lang w:eastAsia="es-MX"/>
        </w:rPr>
        <w:t>DÉCIMA QUINTA</w:t>
      </w:r>
      <w:r w:rsidRPr="00B810A8">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de dicho documento habilitante</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respecto al pago de derechos a que se refieren</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los artículos 239 y 240 de </w:t>
      </w:r>
      <w:r>
        <w:rPr>
          <w:rFonts w:ascii="ITC Avant Garde" w:eastAsia="Times New Roman" w:hAnsi="ITC Avant Garde"/>
          <w:bCs/>
          <w:color w:val="000000"/>
          <w:lang w:eastAsia="es-MX"/>
        </w:rPr>
        <w:t xml:space="preserve">la </w:t>
      </w:r>
      <w:r w:rsidRPr="00B0520D">
        <w:rPr>
          <w:rFonts w:ascii="ITC Avant Garde" w:eastAsia="Times New Roman" w:hAnsi="ITC Avant Garde"/>
          <w:b/>
          <w:bCs/>
          <w:color w:val="000000"/>
          <w:lang w:eastAsia="es-MX"/>
        </w:rPr>
        <w:t>“LFD”</w:t>
      </w:r>
      <w:r w:rsidRPr="00B0520D">
        <w:rPr>
          <w:rFonts w:ascii="ITC Avant Garde" w:eastAsia="Times New Roman" w:hAnsi="ITC Avant Garde"/>
          <w:bCs/>
          <w:color w:val="000000"/>
          <w:lang w:eastAsia="es-MX"/>
        </w:rPr>
        <w:t xml:space="preserve"> y la consecuente actualización de la hipótesis normativa prevista en el artículo 303, fracción III de la “</w:t>
      </w:r>
      <w:proofErr w:type="spellStart"/>
      <w:r w:rsidRPr="00860F5A">
        <w:rPr>
          <w:rFonts w:ascii="ITC Avant Garde" w:eastAsia="Times New Roman" w:hAnsi="ITC Avant Garde"/>
          <w:b/>
          <w:bCs/>
          <w:color w:val="000000"/>
          <w:lang w:eastAsia="es-MX"/>
        </w:rPr>
        <w:t>LFTyR</w:t>
      </w:r>
      <w:proofErr w:type="spellEnd"/>
      <w:r w:rsidRPr="00B0520D">
        <w:rPr>
          <w:rFonts w:ascii="ITC Avant Garde" w:eastAsia="Times New Roman" w:hAnsi="ITC Avant Garde"/>
          <w:bCs/>
          <w:color w:val="000000"/>
          <w:lang w:eastAsia="es-MX"/>
        </w:rPr>
        <w:t>”</w:t>
      </w:r>
      <w:r w:rsidRPr="00CF247A">
        <w:rPr>
          <w:rFonts w:ascii="ITC Avant Garde" w:eastAsia="Times New Roman" w:hAnsi="ITC Avant Garde"/>
          <w:b/>
          <w:bCs/>
          <w:color w:val="000000"/>
          <w:lang w:eastAsia="es-MX"/>
        </w:rPr>
        <w:t>.</w:t>
      </w:r>
    </w:p>
    <w:p w14:paraId="2B485B0B" w14:textId="77777777" w:rsidR="00327D0C" w:rsidRDefault="00CB7F8D" w:rsidP="00327D0C">
      <w:pPr>
        <w:pStyle w:val="Textoindependiente"/>
        <w:spacing w:after="240" w:line="360" w:lineRule="auto"/>
        <w:ind w:right="-1"/>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SÉPTIMO</w:t>
      </w:r>
      <w:r w:rsidRPr="007607D0">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r>
        <w:rPr>
          <w:rFonts w:ascii="ITC Avant Garde" w:hAnsi="ITC Avant Garde"/>
        </w:rPr>
        <w:t xml:space="preserve">El </w:t>
      </w:r>
      <w:r w:rsidRPr="008A2C3C">
        <w:rPr>
          <w:rFonts w:ascii="ITC Avant Garde" w:hAnsi="ITC Avant Garde"/>
          <w:noProof/>
        </w:rPr>
        <w:t>diecinueve de diciembre de dos mil diecisiete</w:t>
      </w:r>
      <w:r>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se notificó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Pr>
          <w:rFonts w:ascii="ITC Avant Garde" w:hAnsi="ITC Avant Garde"/>
          <w:b/>
        </w:rPr>
        <w:t xml:space="preserve"> </w:t>
      </w:r>
      <w:r w:rsidRPr="007607D0">
        <w:rPr>
          <w:rFonts w:ascii="ITC Avant Garde" w:eastAsia="Times New Roman" w:hAnsi="ITC Avant Garde"/>
          <w:bCs/>
          <w:color w:val="000000"/>
          <w:lang w:eastAsia="es-MX"/>
        </w:rPr>
        <w:t>el acuerdo de inicio de</w:t>
      </w:r>
      <w:r>
        <w:rPr>
          <w:rFonts w:ascii="ITC Avant Garde" w:eastAsia="Times New Roman" w:hAnsi="ITC Avant Garde"/>
          <w:bCs/>
          <w:color w:val="000000"/>
          <w:lang w:eastAsia="es-MX"/>
        </w:rPr>
        <w:t>l procedimiento</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concediéndole</w:t>
      </w:r>
      <w:r w:rsidRPr="007607D0">
        <w:rPr>
          <w:rFonts w:ascii="ITC Avant Garde" w:eastAsia="Times New Roman" w:hAnsi="ITC Avant Garde"/>
          <w:bCs/>
          <w:color w:val="000000"/>
          <w:lang w:eastAsia="es-MX"/>
        </w:rPr>
        <w:t xml:space="preserve"> un plazo de quince días</w:t>
      </w:r>
      <w:r>
        <w:rPr>
          <w:rFonts w:ascii="ITC Avant Garde" w:eastAsia="Times New Roman" w:hAnsi="ITC Avant Garde"/>
          <w:bCs/>
          <w:color w:val="000000"/>
          <w:lang w:eastAsia="es-MX"/>
        </w:rPr>
        <w:t xml:space="preserve"> hábiles</w:t>
      </w:r>
      <w:r w:rsidRPr="007607D0">
        <w:rPr>
          <w:rFonts w:ascii="ITC Avant Garde" w:eastAsia="Times New Roman" w:hAnsi="ITC Avant Garde"/>
          <w:bCs/>
          <w:color w:val="000000"/>
          <w:lang w:eastAsia="es-MX"/>
        </w:rPr>
        <w:t xml:space="preserve">, para que en uso del beneficio de la garantía de audiencia consagrada en </w:t>
      </w:r>
      <w:r>
        <w:rPr>
          <w:rFonts w:ascii="ITC Avant Garde" w:eastAsia="Times New Roman" w:hAnsi="ITC Avant Garde"/>
          <w:bCs/>
          <w:color w:val="000000"/>
          <w:lang w:eastAsia="es-MX"/>
        </w:rPr>
        <w:t>los</w:t>
      </w:r>
      <w:r w:rsidRPr="007607D0">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s</w:t>
      </w:r>
      <w:r w:rsidRPr="007607D0">
        <w:rPr>
          <w:rFonts w:ascii="ITC Avant Garde" w:eastAsia="Times New Roman" w:hAnsi="ITC Avant Garde"/>
          <w:bCs/>
          <w:color w:val="000000"/>
          <w:lang w:eastAsia="es-MX"/>
        </w:rPr>
        <w:t xml:space="preserve"> 14 </w:t>
      </w:r>
      <w:r>
        <w:rPr>
          <w:rFonts w:ascii="ITC Avant Garde" w:eastAsia="Times New Roman" w:hAnsi="ITC Avant Garde"/>
          <w:bCs/>
          <w:color w:val="000000"/>
          <w:lang w:eastAsia="es-MX"/>
        </w:rPr>
        <w:t xml:space="preserve">y 16 </w:t>
      </w:r>
      <w:r w:rsidRPr="007607D0">
        <w:rPr>
          <w:rFonts w:ascii="ITC Avant Garde" w:eastAsia="Times New Roman" w:hAnsi="ITC Avant Garde"/>
          <w:bCs/>
          <w:color w:val="000000"/>
          <w:lang w:eastAsia="es-MX"/>
        </w:rPr>
        <w:t xml:space="preserve">de la Constitución Política de los Estados Unidos Mexicanos </w:t>
      </w:r>
      <w:r w:rsidRPr="00F54548">
        <w:rPr>
          <w:rFonts w:ascii="ITC Avant Garde" w:eastAsia="Times New Roman" w:hAnsi="ITC Avant Garde"/>
          <w:bCs/>
          <w:color w:val="000000"/>
          <w:lang w:eastAsia="es-MX"/>
        </w:rPr>
        <w:t>(</w:t>
      </w:r>
      <w:r w:rsidRPr="00E5520E">
        <w:rPr>
          <w:rFonts w:ascii="ITC Avant Garde" w:hAnsi="ITC Avant Garde"/>
        </w:rPr>
        <w:t>en adelante</w:t>
      </w:r>
      <w:r>
        <w:rPr>
          <w:rFonts w:ascii="ITC Avant Garde" w:hAnsi="ITC Avant Garde"/>
          <w:b/>
        </w:rPr>
        <w:t xml:space="preserve"> </w:t>
      </w:r>
      <w:r w:rsidRPr="00463569">
        <w:rPr>
          <w:rFonts w:ascii="ITC Avant Garde" w:eastAsia="Times New Roman" w:hAnsi="ITC Avant Garde"/>
          <w:b/>
          <w:bCs/>
          <w:color w:val="000000"/>
          <w:lang w:eastAsia="es-MX"/>
        </w:rPr>
        <w:t>“CPEUM”</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en relación con el 7</w:t>
      </w:r>
      <w:r w:rsidRPr="007607D0">
        <w:rPr>
          <w:rFonts w:ascii="ITC Avant Garde" w:eastAsia="Times New Roman" w:hAnsi="ITC Avant Garde"/>
          <w:bCs/>
          <w:color w:val="000000"/>
          <w:lang w:eastAsia="es-MX"/>
        </w:rPr>
        <w:t xml:space="preserve">2 de la </w:t>
      </w:r>
      <w:r>
        <w:rPr>
          <w:rFonts w:ascii="ITC Avant Garde" w:eastAsia="Times New Roman" w:hAnsi="ITC Avant Garde"/>
          <w:bCs/>
          <w:color w:val="000000"/>
          <w:lang w:eastAsia="es-MX"/>
        </w:rPr>
        <w:t xml:space="preserve">Ley Federal de Procedimiento Administrativo (en lo sucesivo </w:t>
      </w:r>
      <w:r>
        <w:rPr>
          <w:rFonts w:ascii="ITC Avant Garde" w:eastAsia="Times New Roman" w:hAnsi="ITC Avant Garde"/>
          <w:b/>
          <w:bCs/>
          <w:color w:val="000000"/>
          <w:lang w:eastAsia="es-MX"/>
        </w:rPr>
        <w:t>“</w:t>
      </w:r>
      <w:r w:rsidRPr="007607D0">
        <w:rPr>
          <w:rFonts w:ascii="ITC Avant Garde" w:eastAsia="Times New Roman" w:hAnsi="ITC Avant Garde"/>
          <w:b/>
          <w:bCs/>
          <w:color w:val="000000"/>
          <w:lang w:eastAsia="es-MX"/>
        </w:rPr>
        <w:t>LFPA</w:t>
      </w:r>
      <w:r>
        <w:rPr>
          <w:rFonts w:ascii="ITC Avant Garde" w:eastAsia="Times New Roman" w:hAnsi="ITC Avant Garde"/>
          <w:b/>
          <w:bCs/>
          <w:color w:val="000000"/>
          <w:lang w:eastAsia="es-MX"/>
        </w:rPr>
        <w:t>”</w:t>
      </w:r>
      <w:r w:rsidRPr="00F5454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 aplicación supletoria en términos del artículo 6, fracción IV, de la </w:t>
      </w:r>
      <w:r>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LFTyR</w:t>
      </w:r>
      <w:proofErr w:type="spellEnd"/>
      <w:r>
        <w:rPr>
          <w:rFonts w:ascii="ITC Avant Garde" w:eastAsia="Times New Roman" w:hAnsi="ITC Avant Garde"/>
          <w:b/>
          <w:bCs/>
          <w:color w:val="000000"/>
          <w:lang w:eastAsia="es-MX"/>
        </w:rPr>
        <w:t>”</w:t>
      </w:r>
      <w:r w:rsidRPr="007607D0">
        <w:rPr>
          <w:rFonts w:ascii="ITC Avant Garde" w:eastAsia="Times New Roman" w:hAnsi="ITC Avant Garde"/>
          <w:bCs/>
          <w:color w:val="000000"/>
          <w:lang w:eastAsia="es-MX"/>
        </w:rPr>
        <w:t>, expusiera lo que a su derecho conviniera y, en su caso</w:t>
      </w:r>
      <w:r>
        <w:rPr>
          <w:rFonts w:ascii="ITC Avant Garde" w:eastAsia="Times New Roman" w:hAnsi="ITC Avant Garde"/>
          <w:bCs/>
          <w:color w:val="000000"/>
          <w:lang w:eastAsia="es-MX"/>
        </w:rPr>
        <w:t>,</w:t>
      </w:r>
      <w:r w:rsidRPr="007607D0">
        <w:rPr>
          <w:rFonts w:ascii="ITC Avant Garde" w:eastAsia="Times New Roman" w:hAnsi="ITC Avant Garde"/>
          <w:bCs/>
          <w:color w:val="000000"/>
          <w:lang w:eastAsia="es-MX"/>
        </w:rPr>
        <w:t xml:space="preserve"> aportara las pruebas con </w:t>
      </w:r>
      <w:r>
        <w:rPr>
          <w:rFonts w:ascii="ITC Avant Garde" w:eastAsia="Times New Roman" w:hAnsi="ITC Avant Garde"/>
          <w:bCs/>
          <w:color w:val="000000"/>
          <w:lang w:eastAsia="es-MX"/>
        </w:rPr>
        <w:t>que contara.</w:t>
      </w:r>
    </w:p>
    <w:p w14:paraId="5F2A5D5D"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sidRPr="007607D0">
        <w:rPr>
          <w:rFonts w:ascii="ITC Avant Garde" w:eastAsia="Times New Roman" w:hAnsi="ITC Avant Garde"/>
          <w:bCs/>
          <w:color w:val="000000"/>
          <w:lang w:eastAsia="es-MX"/>
        </w:rPr>
        <w:t xml:space="preserve">El término concedido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sidRPr="00D851B0">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para presentar sus manifestaciones y pruebas </w:t>
      </w:r>
      <w:r>
        <w:rPr>
          <w:rFonts w:ascii="ITC Avant Garde" w:eastAsia="Times New Roman" w:hAnsi="ITC Avant Garde"/>
          <w:bCs/>
          <w:color w:val="000000"/>
          <w:lang w:eastAsia="es-MX"/>
        </w:rPr>
        <w:t xml:space="preserve">transcurrió </w:t>
      </w:r>
      <w:r w:rsidR="00C36242">
        <w:rPr>
          <w:rFonts w:ascii="ITC Avant Garde" w:eastAsia="Times New Roman" w:hAnsi="ITC Avant Garde"/>
          <w:bCs/>
          <w:color w:val="000000"/>
          <w:lang w:eastAsia="es-MX"/>
        </w:rPr>
        <w:t>d</w:t>
      </w:r>
      <w:r w:rsidRPr="008A2C3C">
        <w:rPr>
          <w:rFonts w:ascii="ITC Avant Garde" w:eastAsia="Times New Roman" w:hAnsi="ITC Avant Garde"/>
          <w:bCs/>
          <w:noProof/>
          <w:color w:val="000000"/>
          <w:lang w:eastAsia="es-MX"/>
        </w:rPr>
        <w:t>el veinte de diciembre de dos mil diecisiete al veinticinco de enero del dos mil dieciocho, sin considerar los días veintiuno, veintidós, veintitrés, veinticuatro, veinticinco, veintiséis, veintisiete, veintiocho, veintinueve, treinta y treinta y uno de diciembre de dos mil diecisiete, así como el primero, dos, tres, cuatro, cinco, seis, siete, trece, catorce, veinte y veintiuno de enero de dos mil dieciocho por haber sido sábados, domingos y días inhábiles de conformidad con lo dispuesto por el artículo 28 de la "</w:t>
      </w:r>
      <w:r w:rsidRPr="00C36242">
        <w:rPr>
          <w:rFonts w:ascii="ITC Avant Garde" w:eastAsia="Times New Roman" w:hAnsi="ITC Avant Garde"/>
          <w:b/>
          <w:bCs/>
          <w:noProof/>
          <w:color w:val="000000"/>
          <w:lang w:eastAsia="es-MX"/>
        </w:rPr>
        <w:t>LFPA</w:t>
      </w:r>
      <w:r w:rsidRPr="008A2C3C">
        <w:rPr>
          <w:rFonts w:ascii="ITC Avant Garde" w:eastAsia="Times New Roman" w:hAnsi="ITC Avant Garde"/>
          <w:bCs/>
          <w:noProof/>
          <w:color w:val="000000"/>
          <w:lang w:eastAsia="es-MX"/>
        </w:rPr>
        <w:t>" y del “ACUERDO mediante el cual el Pleno del Instituto Federal de Telecomunicaciones aprueba su calendario anual de sesiones ordinarias y el calendario anual de labores para el año 2017 y principios de 2018” publicado en el Diario Oficial de la Federación el veintiuno de diciembre de dos mil dieciséis</w:t>
      </w:r>
      <w:r w:rsidRPr="00537653">
        <w:rPr>
          <w:rFonts w:ascii="ITC Avant Garde" w:eastAsia="Times New Roman" w:hAnsi="ITC Avant Garde"/>
          <w:bCs/>
          <w:color w:val="000000"/>
          <w:lang w:eastAsia="es-MX"/>
        </w:rPr>
        <w:t>.</w:t>
      </w:r>
    </w:p>
    <w:p w14:paraId="54871D69"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hAnsi="ITC Avant Garde" w:cs="Arial"/>
          <w:b/>
        </w:rPr>
        <w:t>OCTAVO</w:t>
      </w:r>
      <w:r>
        <w:rPr>
          <w:rFonts w:ascii="ITC Avant Garde" w:eastAsia="Times New Roman" w:hAnsi="ITC Avant Garde"/>
          <w:bCs/>
          <w:color w:val="000000"/>
          <w:lang w:eastAsia="es-MX"/>
        </w:rPr>
        <w:t xml:space="preserve">. De las constancias que forman el expediente abierto con motivo de la sustanciación del procedimiento administrativo de revocación, se observó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color w:val="000000" w:themeColor="text1"/>
          <w:lang w:eastAsia="es-MX"/>
        </w:rPr>
        <w:t xml:space="preserve"> no compareció ante este </w:t>
      </w:r>
      <w:r w:rsidRPr="00393609">
        <w:rPr>
          <w:rFonts w:ascii="ITC Avant Garde" w:eastAsia="Times New Roman" w:hAnsi="ITC Avant Garde"/>
          <w:b/>
          <w:bCs/>
          <w:color w:val="000000" w:themeColor="text1"/>
          <w:lang w:eastAsia="es-MX"/>
        </w:rPr>
        <w:t>“IFT”</w:t>
      </w:r>
      <w:r>
        <w:rPr>
          <w:rFonts w:ascii="ITC Avant Garde" w:eastAsia="Times New Roman" w:hAnsi="ITC Avant Garde"/>
          <w:bCs/>
          <w:color w:val="000000" w:themeColor="text1"/>
          <w:lang w:eastAsia="es-MX"/>
        </w:rPr>
        <w:t xml:space="preserve"> a formular </w:t>
      </w:r>
      <w:r>
        <w:rPr>
          <w:rFonts w:ascii="ITC Avant Garde" w:eastAsia="Times New Roman" w:hAnsi="ITC Avant Garde"/>
          <w:bCs/>
          <w:color w:val="000000"/>
          <w:lang w:eastAsia="es-MX"/>
        </w:rPr>
        <w:t>manifestaciones ni ofreció pruebas, por lo que en términos de</w:t>
      </w:r>
      <w:r w:rsidRPr="00D851B0">
        <w:rPr>
          <w:rFonts w:ascii="ITC Avant Garde" w:eastAsia="Times New Roman" w:hAnsi="ITC Avant Garde"/>
          <w:bCs/>
          <w:color w:val="000000"/>
          <w:lang w:eastAsia="es-MX"/>
        </w:rPr>
        <w:t>l artículo 288 del Código Federal de Procedimientos Civiles (</w:t>
      </w:r>
      <w:r>
        <w:rPr>
          <w:rFonts w:ascii="ITC Avant Garde" w:eastAsia="Times New Roman" w:hAnsi="ITC Avant Garde"/>
          <w:bCs/>
          <w:color w:val="000000"/>
          <w:lang w:eastAsia="es-MX"/>
        </w:rPr>
        <w:t xml:space="preserve">en adelante </w:t>
      </w:r>
      <w:r w:rsidRPr="00D851B0">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CFPC”</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el </w:t>
      </w:r>
      <w:r w:rsidRPr="008A2C3C">
        <w:rPr>
          <w:rFonts w:ascii="ITC Avant Garde" w:eastAsia="Times New Roman" w:hAnsi="ITC Avant Garde"/>
          <w:bCs/>
          <w:noProof/>
          <w:color w:val="000000"/>
          <w:lang w:eastAsia="es-MX"/>
        </w:rPr>
        <w:t>seis de febrero de dos mil dieciocho</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se tuvo por </w:t>
      </w:r>
      <w:proofErr w:type="spellStart"/>
      <w:r w:rsidRPr="00D851B0">
        <w:rPr>
          <w:rFonts w:ascii="ITC Avant Garde" w:eastAsia="Times New Roman" w:hAnsi="ITC Avant Garde"/>
          <w:bCs/>
          <w:color w:val="000000"/>
          <w:lang w:eastAsia="es-MX"/>
        </w:rPr>
        <w:t>precluído</w:t>
      </w:r>
      <w:proofErr w:type="spellEnd"/>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su </w:t>
      </w:r>
      <w:r w:rsidRPr="00D851B0">
        <w:rPr>
          <w:rFonts w:ascii="ITC Avant Garde" w:eastAsia="Times New Roman" w:hAnsi="ITC Avant Garde"/>
          <w:bCs/>
          <w:color w:val="000000"/>
          <w:lang w:eastAsia="es-MX"/>
        </w:rPr>
        <w:t xml:space="preserve">derecho para </w:t>
      </w:r>
      <w:r>
        <w:rPr>
          <w:rFonts w:ascii="ITC Avant Garde" w:eastAsia="Times New Roman" w:hAnsi="ITC Avant Garde"/>
          <w:bCs/>
          <w:color w:val="000000"/>
          <w:lang w:eastAsia="es-MX"/>
        </w:rPr>
        <w:t xml:space="preserve">realizar manifestaciones </w:t>
      </w:r>
      <w:r w:rsidRPr="00D851B0">
        <w:rPr>
          <w:rFonts w:ascii="ITC Avant Garde" w:eastAsia="Times New Roman" w:hAnsi="ITC Avant Garde"/>
          <w:bCs/>
          <w:color w:val="000000"/>
          <w:lang w:eastAsia="es-MX"/>
        </w:rPr>
        <w:t>y ofrecer pruebas</w:t>
      </w:r>
      <w:r>
        <w:rPr>
          <w:rFonts w:ascii="ITC Avant Garde" w:eastAsia="Times New Roman" w:hAnsi="ITC Avant Garde"/>
          <w:bCs/>
          <w:color w:val="000000"/>
          <w:lang w:eastAsia="es-MX"/>
        </w:rPr>
        <w:t>.</w:t>
      </w:r>
    </w:p>
    <w:p w14:paraId="751770DF"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Asimismo, se hizo efectivo el apercibimiento ordenado en el numeral </w:t>
      </w:r>
      <w:r>
        <w:rPr>
          <w:rFonts w:ascii="ITC Avant Garde" w:eastAsia="Times New Roman" w:hAnsi="ITC Avant Garde"/>
          <w:b/>
          <w:bCs/>
          <w:color w:val="000000"/>
          <w:lang w:eastAsia="es-MX"/>
        </w:rPr>
        <w:t>CUARTO</w:t>
      </w:r>
      <w:r>
        <w:rPr>
          <w:rFonts w:ascii="ITC Avant Garde" w:eastAsia="Times New Roman" w:hAnsi="ITC Avant Garde"/>
          <w:bCs/>
          <w:color w:val="000000"/>
          <w:lang w:eastAsia="es-MX"/>
        </w:rPr>
        <w:t xml:space="preserve"> del acuerdo de inicio de procedimiento 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toda vez que al no haber señalado domicilio para oír y recibir notificaciones dentro de la sede del </w:t>
      </w:r>
      <w:r>
        <w:rPr>
          <w:rFonts w:ascii="ITC Avant Garde" w:eastAsia="Times New Roman" w:hAnsi="ITC Avant Garde"/>
          <w:b/>
          <w:bCs/>
          <w:color w:val="000000"/>
          <w:lang w:eastAsia="es-MX"/>
        </w:rPr>
        <w:t>“IFT”</w:t>
      </w:r>
      <w:r w:rsidRPr="00CD709E">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Pr="007355ED">
        <w:rPr>
          <w:rFonts w:ascii="ITC Avant Garde" w:eastAsia="Times New Roman" w:hAnsi="ITC Avant Garde"/>
          <w:bCs/>
          <w:color w:val="000000"/>
          <w:lang w:eastAsia="es-MX"/>
        </w:rPr>
        <w:t xml:space="preserve">todas </w:t>
      </w:r>
      <w:r>
        <w:rPr>
          <w:rFonts w:ascii="ITC Avant Garde" w:eastAsia="Times New Roman" w:hAnsi="ITC Avant Garde"/>
          <w:bCs/>
          <w:color w:val="000000"/>
          <w:lang w:eastAsia="es-MX"/>
        </w:rPr>
        <w:t>las notificaciones, incluso las de carácter personal, se realizarían por publicación en lista diaria</w:t>
      </w:r>
      <w:r w:rsidRPr="00D851B0">
        <w:rPr>
          <w:rFonts w:ascii="ITC Avant Garde" w:eastAsia="Times New Roman" w:hAnsi="ITC Avant Garde"/>
          <w:bCs/>
          <w:color w:val="000000"/>
          <w:lang w:eastAsia="es-MX"/>
        </w:rPr>
        <w:t>.</w:t>
      </w:r>
    </w:p>
    <w:p w14:paraId="286FC6D2"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adición a lo anterior y p</w:t>
      </w:r>
      <w:r w:rsidRPr="00DA2EB5">
        <w:rPr>
          <w:rFonts w:ascii="ITC Avant Garde" w:eastAsia="Times New Roman" w:hAnsi="ITC Avant Garde"/>
          <w:bCs/>
          <w:color w:val="000000"/>
          <w:lang w:eastAsia="es-MX"/>
        </w:rPr>
        <w:t xml:space="preserve">or corresponder al estado procesal que guardaba el presente asunto, con fundamento en el artículo 56 de la </w:t>
      </w:r>
      <w:r w:rsidRPr="00DA2EB5">
        <w:rPr>
          <w:rFonts w:ascii="ITC Avant Garde" w:eastAsia="Times New Roman" w:hAnsi="ITC Avant Garde"/>
          <w:b/>
          <w:bCs/>
          <w:color w:val="000000"/>
          <w:lang w:eastAsia="es-MX"/>
        </w:rPr>
        <w:t>“LFPA”</w:t>
      </w:r>
      <w:r w:rsidRPr="00DA2EB5">
        <w:rPr>
          <w:rFonts w:ascii="ITC Avant Garde" w:eastAsia="Times New Roman" w:hAnsi="ITC Avant Garde"/>
          <w:bCs/>
          <w:color w:val="000000"/>
          <w:lang w:eastAsia="es-MX"/>
        </w:rPr>
        <w:t xml:space="preserve">, se pusieron a disposición </w:t>
      </w:r>
      <w:r w:rsidRPr="0004662C">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PORFIRIO TORRES PERALTA</w:t>
      </w:r>
      <w:r w:rsidRPr="00DA2EB5">
        <w:rPr>
          <w:rFonts w:ascii="ITC Avant Garde" w:eastAsia="Times New Roman" w:hAnsi="ITC Avant Garde"/>
          <w:bCs/>
          <w:color w:val="000000"/>
          <w:lang w:eastAsia="es-MX"/>
        </w:rPr>
        <w:t xml:space="preserve"> los autos del expediente en que se actúa para que dentro de un término de diez días hábiles contados a partir del día siguiente a aquel en que surtiera efectos la notificación del acuerdo señalado, formulara los alegatos que a su derecho conviniera, en el entendido que transcurrido dicho plazo, con alegatos o sin ellos se emitiría la resolución que conforme a derecho correspondiera. </w:t>
      </w:r>
    </w:p>
    <w:p w14:paraId="0A3D06B6"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Toda vez que el citado acuerdo se notificó por lista diaria de notificaciones en la página electrónica de </w:t>
      </w:r>
      <w:r w:rsidRPr="00393609">
        <w:rPr>
          <w:rFonts w:ascii="ITC Avant Garde" w:eastAsia="Times New Roman" w:hAnsi="ITC Avant Garde"/>
          <w:bCs/>
          <w:color w:val="000000"/>
          <w:lang w:eastAsia="es-MX"/>
        </w:rPr>
        <w:t xml:space="preserve">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el </w:t>
      </w:r>
      <w:r w:rsidRPr="008A2C3C">
        <w:rPr>
          <w:rFonts w:ascii="ITC Avant Garde" w:eastAsia="Times New Roman" w:hAnsi="ITC Avant Garde"/>
          <w:bCs/>
          <w:noProof/>
          <w:color w:val="000000"/>
          <w:lang w:eastAsia="es-MX"/>
        </w:rPr>
        <w:t>seis de febrero de dos mil dieciocho</w:t>
      </w:r>
      <w:r>
        <w:rPr>
          <w:rFonts w:ascii="ITC Avant Garde" w:eastAsia="Times New Roman" w:hAnsi="ITC Avant Garde"/>
          <w:bCs/>
          <w:color w:val="000000"/>
          <w:lang w:eastAsia="es-MX"/>
        </w:rPr>
        <w:t xml:space="preserve">, dicho plazo corrió </w:t>
      </w:r>
      <w:r w:rsidRPr="008A2C3C">
        <w:rPr>
          <w:rFonts w:ascii="ITC Avant Garde" w:eastAsia="Times New Roman" w:hAnsi="ITC Avant Garde"/>
          <w:bCs/>
          <w:noProof/>
          <w:color w:val="000000"/>
          <w:lang w:eastAsia="es-MX"/>
        </w:rPr>
        <w:t>del ocho al veintiuno de febrero de dos mil dieciocho, sin considerar los días diez, once, diecisiete y dieciocho de febrero de dos mil dieciocho, por haber sido sábados y domingos, en términos del artículo 28 de la "</w:t>
      </w:r>
      <w:r w:rsidRPr="00C36242">
        <w:rPr>
          <w:rFonts w:ascii="ITC Avant Garde" w:eastAsia="Times New Roman" w:hAnsi="ITC Avant Garde"/>
          <w:b/>
          <w:bCs/>
          <w:noProof/>
          <w:color w:val="000000"/>
          <w:lang w:eastAsia="es-MX"/>
        </w:rPr>
        <w:t>LFPA</w:t>
      </w:r>
      <w:r w:rsidRPr="008A2C3C">
        <w:rPr>
          <w:rFonts w:ascii="ITC Avant Garde" w:eastAsia="Times New Roman" w:hAnsi="ITC Avant Garde"/>
          <w:bCs/>
          <w:noProof/>
          <w:color w:val="000000"/>
          <w:lang w:eastAsia="es-MX"/>
        </w:rPr>
        <w:t>"</w:t>
      </w:r>
      <w:r>
        <w:rPr>
          <w:rFonts w:ascii="ITC Avant Garde" w:eastAsia="Times New Roman" w:hAnsi="ITC Avant Garde"/>
          <w:bCs/>
          <w:color w:val="000000"/>
          <w:lang w:eastAsia="es-MX"/>
        </w:rPr>
        <w:t>.</w:t>
      </w:r>
    </w:p>
    <w:p w14:paraId="79895D4B"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Pr="007D68D5">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De las constancias que forman el expediente </w:t>
      </w:r>
      <w:r w:rsidRPr="00577C3C">
        <w:rPr>
          <w:rFonts w:ascii="ITC Avant Garde" w:eastAsia="Times New Roman" w:hAnsi="ITC Avant Garde"/>
          <w:bCs/>
          <w:color w:val="000000"/>
          <w:lang w:eastAsia="es-MX"/>
        </w:rPr>
        <w:t>en el que se actúa,</w:t>
      </w:r>
      <w:r>
        <w:rPr>
          <w:rFonts w:ascii="ITC Avant Garde" w:eastAsia="Times New Roman" w:hAnsi="ITC Avant Garde"/>
          <w:bCs/>
          <w:color w:val="000000"/>
          <w:lang w:eastAsia="es-MX"/>
        </w:rPr>
        <w:t xml:space="preserve"> se advierte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color w:val="000000"/>
          <w:lang w:eastAsia="es-MX"/>
        </w:rPr>
        <w:t xml:space="preserve"> </w:t>
      </w:r>
      <w:r>
        <w:rPr>
          <w:rFonts w:ascii="ITC Avant Garde" w:hAnsi="ITC Avant Garde"/>
        </w:rPr>
        <w:t>no</w:t>
      </w:r>
      <w:r>
        <w:rPr>
          <w:rFonts w:ascii="ITC Avant Garde" w:hAnsi="ITC Avant Garde"/>
          <w:b/>
        </w:rPr>
        <w:t xml:space="preserve"> </w:t>
      </w:r>
      <w:r>
        <w:rPr>
          <w:rFonts w:ascii="ITC Avant Garde" w:eastAsia="Times New Roman" w:hAnsi="ITC Avant Garde"/>
          <w:bCs/>
          <w:color w:val="000000"/>
          <w:lang w:eastAsia="es-MX"/>
        </w:rPr>
        <w:t xml:space="preserve">presentó sus alegatos, por lo que el </w:t>
      </w:r>
      <w:r w:rsidRPr="008A2C3C">
        <w:rPr>
          <w:rFonts w:ascii="ITC Avant Garde" w:eastAsia="Times New Roman" w:hAnsi="ITC Avant Garde"/>
          <w:bCs/>
          <w:noProof/>
          <w:color w:val="000000"/>
          <w:lang w:eastAsia="es-MX"/>
        </w:rPr>
        <w:t>veintiocho de febrero de dos mil dieciocho</w:t>
      </w:r>
      <w:r>
        <w:rPr>
          <w:rFonts w:ascii="ITC Avant Garde" w:eastAsia="Times New Roman" w:hAnsi="ITC Avant Garde"/>
          <w:bCs/>
          <w:color w:val="000000"/>
          <w:lang w:eastAsia="es-MX"/>
        </w:rPr>
        <w:t xml:space="preserve"> se emitió el respectivo acuerdo de preclusión el cual fue </w:t>
      </w:r>
      <w:r w:rsidRPr="00270D49">
        <w:rPr>
          <w:rFonts w:ascii="ITC Avant Garde" w:eastAsia="Times New Roman" w:hAnsi="ITC Avant Garde"/>
          <w:bCs/>
          <w:color w:val="000000"/>
          <w:lang w:eastAsia="es-MX"/>
        </w:rPr>
        <w:t xml:space="preserve">publicado en la lista diaria de notificaciones en la página del </w:t>
      </w:r>
      <w:r w:rsidRPr="00393609">
        <w:rPr>
          <w:rFonts w:ascii="ITC Avant Garde" w:eastAsia="Times New Roman" w:hAnsi="ITC Avant Garde"/>
          <w:b/>
          <w:bCs/>
          <w:color w:val="000000"/>
          <w:lang w:eastAsia="es-MX"/>
        </w:rPr>
        <w:t>“IFT”</w:t>
      </w:r>
      <w:r w:rsidRPr="00270D49">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ese mismo día.</w:t>
      </w:r>
    </w:p>
    <w:p w14:paraId="42ABBBE9" w14:textId="77777777" w:rsidR="00327D0C" w:rsidRDefault="00CB7F8D" w:rsidP="00327D0C">
      <w:pPr>
        <w:spacing w:after="240" w:line="360" w:lineRule="auto"/>
        <w:jc w:val="both"/>
        <w:rPr>
          <w:rFonts w:ascii="ITC Avant Garde" w:hAnsi="ITC Avant Garde"/>
        </w:rPr>
      </w:pPr>
      <w:r w:rsidRPr="00687857">
        <w:rPr>
          <w:rFonts w:ascii="ITC Avant Garde" w:eastAsia="Times New Roman" w:hAnsi="ITC Avant Garde"/>
          <w:b/>
          <w:bCs/>
          <w:color w:val="000000"/>
          <w:lang w:eastAsia="es-MX"/>
        </w:rPr>
        <w:t xml:space="preserve">DÉCIMO. </w:t>
      </w:r>
      <w:r>
        <w:rPr>
          <w:rFonts w:ascii="ITC Avant Garde" w:eastAsia="Times New Roman" w:hAnsi="ITC Avant Garde"/>
          <w:bCs/>
          <w:color w:val="000000" w:themeColor="text1"/>
          <w:lang w:eastAsia="es-MX"/>
        </w:rPr>
        <w:t xml:space="preserve">Considerando que el efecto de la resolución que en su caso se emita, consistiría en revocar el título habilitante respectivo, y no obstante que en términos del artículo 9, fracción I, de la </w:t>
      </w:r>
      <w:r w:rsidRPr="00687857">
        <w:rPr>
          <w:rFonts w:ascii="ITC Avant Garde" w:eastAsia="Times New Roman" w:hAnsi="ITC Avant Garde"/>
          <w:b/>
          <w:bCs/>
          <w:color w:val="000000" w:themeColor="text1"/>
          <w:lang w:eastAsia="es-MX"/>
        </w:rPr>
        <w:t>“</w:t>
      </w:r>
      <w:proofErr w:type="spellStart"/>
      <w:r>
        <w:rPr>
          <w:rFonts w:ascii="ITC Avant Garde" w:eastAsia="Times New Roman" w:hAnsi="ITC Avant Garde"/>
          <w:b/>
          <w:bCs/>
          <w:color w:val="000000" w:themeColor="text1"/>
          <w:lang w:eastAsia="es-MX"/>
        </w:rPr>
        <w:t>LFTyR</w:t>
      </w:r>
      <w:proofErr w:type="spellEnd"/>
      <w:r>
        <w:rPr>
          <w:rFonts w:ascii="ITC Avant Garde" w:eastAsia="Times New Roman" w:hAnsi="ITC Avant Garde"/>
          <w:b/>
          <w:bCs/>
          <w:color w:val="000000" w:themeColor="text1"/>
          <w:lang w:eastAsia="es-MX"/>
        </w:rPr>
        <w:t>”</w:t>
      </w:r>
      <w:r>
        <w:rPr>
          <w:rFonts w:ascii="ITC Avant Garde" w:eastAsia="Times New Roman" w:hAnsi="ITC Avant Garde"/>
          <w:bCs/>
          <w:color w:val="000000" w:themeColor="text1"/>
          <w:lang w:eastAsia="es-MX"/>
        </w:rPr>
        <w:t xml:space="preserve">, corresponde a la Secretaría de Comunicaciones y Transportes emitir opinión técnica respecto de los diversos procedimientos de revocación, debe señalarse que al respecto, dicha Secretaría mediante oficio </w:t>
      </w:r>
      <w:r>
        <w:rPr>
          <w:rFonts w:ascii="ITC Avant Garde" w:eastAsia="Times New Roman" w:hAnsi="ITC Avant Garde"/>
          <w:b/>
          <w:bCs/>
          <w:color w:val="000000"/>
          <w:lang w:eastAsia="es-MX"/>
        </w:rPr>
        <w:t>2.1.-171/2017</w:t>
      </w:r>
      <w:r>
        <w:rPr>
          <w:rFonts w:ascii="ITC Avant Garde" w:eastAsia="Times New Roman" w:hAnsi="ITC Avant Garde"/>
          <w:bCs/>
          <w:color w:val="000000"/>
          <w:lang w:eastAsia="es-MX"/>
        </w:rPr>
        <w:t xml:space="preserve"> de once de mayo de dos mil diecisiete, recibido en la oficialía de partes del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el mismo día de su emisión, la Dirección General de Política de Telecomunicaciones y de Radiodifusión de </w:t>
      </w:r>
      <w:r>
        <w:rPr>
          <w:rFonts w:ascii="ITC Avant Garde" w:eastAsia="Times New Roman" w:hAnsi="ITC Avant Garde"/>
          <w:bCs/>
          <w:color w:val="000000"/>
          <w:lang w:eastAsia="es-MX"/>
        </w:rPr>
        <w:lastRenderedPageBreak/>
        <w:t xml:space="preserve">la Subsecretaría de Comunicaciones de la Secretaría de Comunicaciones y Transportes, señaló con respecto a la opinión solicitada lo </w:t>
      </w:r>
      <w:r>
        <w:rPr>
          <w:rFonts w:ascii="ITC Avant Garde" w:hAnsi="ITC Avant Garde"/>
        </w:rPr>
        <w:t>siguiente:</w:t>
      </w:r>
    </w:p>
    <w:p w14:paraId="392E90F4" w14:textId="77777777" w:rsidR="00327D0C" w:rsidRDefault="00CB7F8D" w:rsidP="00327D0C">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 </w:t>
      </w:r>
    </w:p>
    <w:p w14:paraId="05CDC7F5" w14:textId="77777777" w:rsidR="00327D0C" w:rsidRDefault="00CB7F8D" w:rsidP="00327D0C">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De los artículos citados con anterioridad </w:t>
      </w:r>
      <w:r w:rsidRPr="00F54548">
        <w:rPr>
          <w:rFonts w:ascii="ITC Avant Garde" w:hAnsi="ITC Avant Garde"/>
          <w:sz w:val="20"/>
        </w:rPr>
        <w:t>[28 de la CPEUM y 9, fracción I, de la “</w:t>
      </w:r>
      <w:proofErr w:type="spellStart"/>
      <w:r w:rsidRPr="00F54548">
        <w:rPr>
          <w:rFonts w:ascii="ITC Avant Garde" w:hAnsi="ITC Avant Garde"/>
          <w:sz w:val="20"/>
        </w:rPr>
        <w:t>LFTyR</w:t>
      </w:r>
      <w:proofErr w:type="spellEnd"/>
      <w:r w:rsidRPr="00F54548">
        <w:rPr>
          <w:rFonts w:ascii="ITC Avant Garde" w:hAnsi="ITC Avant Garde"/>
          <w:sz w:val="20"/>
        </w:rPr>
        <w:t>”]</w:t>
      </w:r>
      <w:r w:rsidRPr="00F54548">
        <w:rPr>
          <w:rFonts w:ascii="ITC Avant Garde" w:hAnsi="ITC Avant Garde"/>
          <w:i/>
          <w:sz w:val="20"/>
        </w:rPr>
        <w:t xml:space="preserve"> se puede desprender que corresponde a la Secretaría emitir una </w:t>
      </w:r>
      <w:r w:rsidRPr="00F54548">
        <w:rPr>
          <w:rFonts w:ascii="ITC Avant Garde" w:hAnsi="ITC Avant Garde"/>
          <w:b/>
          <w:i/>
          <w:sz w:val="20"/>
          <w:u w:val="single"/>
        </w:rPr>
        <w:t>opinión técnica no vinculante respecto de la revocación de concesiones en materia de telecomunicaciones y radiodifusión</w:t>
      </w:r>
      <w:r w:rsidRPr="00F54548">
        <w:rPr>
          <w:rFonts w:ascii="ITC Avant Garde" w:hAnsi="ITC Avant Garde"/>
          <w:i/>
          <w:sz w:val="20"/>
        </w:rPr>
        <w:t>.</w:t>
      </w:r>
    </w:p>
    <w:p w14:paraId="44E0A624" w14:textId="77777777" w:rsidR="00327D0C" w:rsidRDefault="00CB7F8D" w:rsidP="00327D0C">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Ahora bien, toda vez que su requerimiento versa sobre la emisión de una opinión técnica respecto a la probable revocación de 114 </w:t>
      </w:r>
      <w:r w:rsidRPr="00F54548">
        <w:rPr>
          <w:rFonts w:ascii="ITC Avant Garde" w:hAnsi="ITC Avant Garde"/>
          <w:b/>
          <w:i/>
          <w:sz w:val="20"/>
          <w:u w:val="single"/>
        </w:rPr>
        <w:t xml:space="preserve">permisos y autorizaciones </w:t>
      </w:r>
      <w:r w:rsidRPr="00F54548">
        <w:rPr>
          <w:rFonts w:ascii="ITC Avant Garde" w:hAnsi="ITC Avant Garde"/>
          <w:i/>
          <w:sz w:val="20"/>
        </w:rPr>
        <w:t xml:space="preserve">en materia de telecomunicaciones, informa a usted que dichos procedimientos </w:t>
      </w:r>
      <w:r w:rsidRPr="00F54548">
        <w:rPr>
          <w:rFonts w:ascii="ITC Avant Garde" w:hAnsi="ITC Avant Garde"/>
          <w:b/>
          <w:i/>
          <w:sz w:val="20"/>
          <w:u w:val="single"/>
        </w:rPr>
        <w:t>no se ubican en el supuesto señalado por el artículo 9, fracción I de la LFTR</w:t>
      </w:r>
      <w:r w:rsidRPr="00F54548">
        <w:rPr>
          <w:rFonts w:ascii="ITC Avant Garde" w:hAnsi="ITC Avant Garde"/>
          <w:i/>
          <w:sz w:val="20"/>
        </w:rPr>
        <w:t>.</w:t>
      </w:r>
    </w:p>
    <w:p w14:paraId="6EBE477F" w14:textId="77777777" w:rsidR="00327D0C" w:rsidRDefault="00CB7F8D" w:rsidP="00327D0C">
      <w:pPr>
        <w:pStyle w:val="Textoindependiente"/>
        <w:kinsoku w:val="0"/>
        <w:overflowPunct w:val="0"/>
        <w:spacing w:after="240" w:line="360" w:lineRule="auto"/>
        <w:ind w:left="567" w:right="618"/>
        <w:jc w:val="both"/>
        <w:rPr>
          <w:rFonts w:ascii="ITC Avant Garde" w:hAnsi="ITC Avant Garde"/>
          <w:i/>
          <w:sz w:val="20"/>
        </w:rPr>
      </w:pPr>
      <w:r w:rsidRPr="00F54548">
        <w:rPr>
          <w:rFonts w:ascii="ITC Avant Garde" w:hAnsi="ITC Avant Garde"/>
          <w:i/>
          <w:sz w:val="20"/>
        </w:rPr>
        <w:t>Por tanto, adjunto al presente se devuelve el oficio de referencia con el disco compacto que contiene la versión digital de los expedientes administrativos en cuestión, a fin de que ese Instituto proceda con el trámite que conforme a derecho corresponda.”</w:t>
      </w:r>
    </w:p>
    <w:p w14:paraId="0370820F" w14:textId="45E7E5BD"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ya que la </w:t>
      </w:r>
      <w:r>
        <w:rPr>
          <w:rFonts w:ascii="ITC Avant Garde" w:eastAsia="Times New Roman" w:hAnsi="ITC Avant Garde"/>
          <w:bCs/>
          <w:color w:val="000000" w:themeColor="text1"/>
          <w:lang w:eastAsia="es-MX"/>
        </w:rPr>
        <w:t>Secretaría de Comunicaciones y Transportes</w:t>
      </w:r>
      <w:r>
        <w:rPr>
          <w:rFonts w:ascii="ITC Avant Garde" w:eastAsia="Times New Roman" w:hAnsi="ITC Avant Garde"/>
          <w:b/>
          <w:bCs/>
          <w:color w:val="000000"/>
          <w:lang w:eastAsia="es-MX"/>
        </w:rPr>
        <w:t xml:space="preserve"> </w:t>
      </w:r>
      <w:r w:rsidR="006C03C6">
        <w:rPr>
          <w:rFonts w:ascii="ITC Avant Garde" w:eastAsia="Times New Roman" w:hAnsi="ITC Avant Garde"/>
          <w:bCs/>
          <w:color w:val="000000"/>
          <w:lang w:eastAsia="es-MX"/>
        </w:rPr>
        <w:t>antes de</w:t>
      </w:r>
      <w:r w:rsidRPr="00075E3E">
        <w:rPr>
          <w:rFonts w:ascii="ITC Avant Garde" w:eastAsia="Times New Roman" w:hAnsi="ITC Avant Garde"/>
          <w:bCs/>
          <w:color w:val="000000"/>
          <w:lang w:eastAsia="es-MX"/>
        </w:rPr>
        <w:t xml:space="preserve"> la emisión de la presente resolución </w:t>
      </w:r>
      <w:r>
        <w:rPr>
          <w:rFonts w:ascii="ITC Avant Garde" w:eastAsia="Times New Roman" w:hAnsi="ITC Avant Garde"/>
          <w:bCs/>
          <w:color w:val="000000"/>
          <w:lang w:eastAsia="es-MX"/>
        </w:rPr>
        <w:t>ya había emitido su pronunciamiento respecto de la opinión técnica tratándose de procedimientos de revocación relativos a permisos y autorizaciones, se consideró innecesario solicitar</w:t>
      </w:r>
      <w:r w:rsidR="00C36242">
        <w:rPr>
          <w:rFonts w:ascii="ITC Avant Garde" w:eastAsia="Times New Roman" w:hAnsi="ITC Avant Garde"/>
          <w:bCs/>
          <w:color w:val="000000"/>
          <w:lang w:eastAsia="es-MX"/>
        </w:rPr>
        <w:t>l</w:t>
      </w:r>
      <w:r>
        <w:rPr>
          <w:rFonts w:ascii="ITC Avant Garde" w:eastAsia="Times New Roman" w:hAnsi="ITC Avant Garde"/>
          <w:bCs/>
          <w:color w:val="000000"/>
          <w:lang w:eastAsia="es-MX"/>
        </w:rPr>
        <w:t xml:space="preserve">e nuevamente dicha opinión, toda vez que en el caso que nos ocupa, se trata de un permiso y en consecuencia, de acuerdo a lo señalado por esa dependencia, dicho título habilitante no se ubica dentro de los supuesto a los que se refiere el artículo 9, fracción 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
          <w:bCs/>
          <w:color w:val="000000"/>
          <w:lang w:eastAsia="es-MX"/>
        </w:rPr>
        <w:t>”</w:t>
      </w:r>
      <w:r>
        <w:rPr>
          <w:rStyle w:val="Refdenotaalpie"/>
          <w:rFonts w:ascii="ITC Avant Garde" w:eastAsia="Times New Roman" w:hAnsi="ITC Avant Garde"/>
          <w:b/>
          <w:bCs/>
          <w:color w:val="000000"/>
          <w:lang w:eastAsia="es-MX"/>
        </w:rPr>
        <w:footnoteReference w:id="2"/>
      </w:r>
      <w:r>
        <w:rPr>
          <w:rFonts w:ascii="ITC Avant Garde" w:eastAsia="Times New Roman" w:hAnsi="ITC Avant Garde"/>
          <w:bCs/>
          <w:color w:val="000000"/>
          <w:lang w:eastAsia="es-MX"/>
        </w:rPr>
        <w:t>.</w:t>
      </w:r>
    </w:p>
    <w:p w14:paraId="667EACED" w14:textId="78D6969C"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virtud de lo anterior, el expediente en que se actúa fue remitido a este órgano colegiado para la emisión de la Resolución que conforme a derecho resulte procedente.</w:t>
      </w:r>
    </w:p>
    <w:p w14:paraId="7F2679A5" w14:textId="47C537F3" w:rsidR="00327D0C" w:rsidRPr="00D71E1E" w:rsidRDefault="00CB7F8D" w:rsidP="00D71E1E">
      <w:pPr>
        <w:pStyle w:val="Ttulo2"/>
        <w:spacing w:after="240"/>
        <w:jc w:val="center"/>
        <w:rPr>
          <w:rFonts w:ascii="ITC Avant Garde" w:hAnsi="ITC Avant Garde"/>
          <w:b/>
          <w:color w:val="000000" w:themeColor="text1"/>
          <w:sz w:val="24"/>
          <w:szCs w:val="24"/>
        </w:rPr>
      </w:pPr>
      <w:r w:rsidRPr="00D71E1E">
        <w:rPr>
          <w:rFonts w:ascii="ITC Avant Garde" w:hAnsi="ITC Avant Garde"/>
          <w:b/>
          <w:color w:val="000000" w:themeColor="text1"/>
          <w:sz w:val="24"/>
          <w:szCs w:val="24"/>
        </w:rPr>
        <w:lastRenderedPageBreak/>
        <w:t>CONSIDERANDO</w:t>
      </w:r>
    </w:p>
    <w:p w14:paraId="1468B624" w14:textId="77777777" w:rsidR="00327D0C" w:rsidRDefault="00CB7F8D" w:rsidP="00327D0C">
      <w:pPr>
        <w:pStyle w:val="Textoindependiente"/>
        <w:spacing w:after="240" w:line="360" w:lineRule="auto"/>
        <w:jc w:val="both"/>
        <w:rPr>
          <w:rFonts w:ascii="ITC Avant Garde" w:eastAsia="Times New Roman" w:hAnsi="ITC Avant Garde"/>
          <w:bCs/>
          <w:color w:val="000000" w:themeColor="text1"/>
          <w:lang w:eastAsia="es-MX"/>
        </w:rPr>
      </w:pPr>
      <w:r>
        <w:rPr>
          <w:rFonts w:ascii="ITC Avant Garde" w:eastAsia="Times New Roman" w:hAnsi="ITC Avant Garde"/>
          <w:b/>
          <w:bCs/>
          <w:color w:val="000000" w:themeColor="text1"/>
          <w:lang w:eastAsia="es-MX"/>
        </w:rPr>
        <w:t xml:space="preserve">PRIMERO. </w:t>
      </w:r>
      <w:r>
        <w:rPr>
          <w:rFonts w:ascii="ITC Avant Garde" w:eastAsia="Times New Roman" w:hAnsi="ITC Avant Garde"/>
          <w:b/>
          <w:bCs/>
          <w:smallCaps/>
          <w:color w:val="000000" w:themeColor="text1"/>
          <w:lang w:eastAsia="es-MX"/>
        </w:rPr>
        <w:t>Competencia</w:t>
      </w:r>
      <w:r>
        <w:rPr>
          <w:rFonts w:ascii="ITC Avant Garde" w:eastAsia="Times New Roman" w:hAnsi="ITC Avant Garde"/>
          <w:b/>
          <w:bCs/>
          <w:color w:val="000000" w:themeColor="text1"/>
          <w:lang w:eastAsia="es-MX"/>
        </w:rPr>
        <w:t>.</w:t>
      </w:r>
      <w:r>
        <w:rPr>
          <w:rFonts w:ascii="ITC Avant Garde" w:eastAsia="Times New Roman" w:hAnsi="ITC Avant Garde"/>
          <w:bCs/>
          <w:color w:val="000000" w:themeColor="text1"/>
          <w:lang w:eastAsia="es-MX"/>
        </w:rPr>
        <w:t xml:space="preserve"> </w:t>
      </w:r>
    </w:p>
    <w:p w14:paraId="3F7DA6E4" w14:textId="77777777" w:rsidR="00327D0C" w:rsidRDefault="00CB7F8D" w:rsidP="00327D0C">
      <w:pPr>
        <w:spacing w:after="240" w:line="360" w:lineRule="auto"/>
        <w:jc w:val="both"/>
        <w:rPr>
          <w:rFonts w:ascii="ITC Avant Garde" w:eastAsia="Times New Roman" w:hAnsi="ITC Avant Garde"/>
          <w:bCs/>
          <w:color w:val="000000" w:themeColor="text1"/>
          <w:lang w:eastAsia="es-MX"/>
        </w:rPr>
      </w:pPr>
      <w:r w:rsidRPr="005A38C2">
        <w:rPr>
          <w:rFonts w:ascii="ITC Avant Garde" w:eastAsia="Times New Roman" w:hAnsi="ITC Avant Garde"/>
          <w:bCs/>
          <w:color w:val="000000" w:themeColor="text1"/>
          <w:lang w:eastAsia="es-MX"/>
        </w:rPr>
        <w:t xml:space="preserve">El Pleno de este </w:t>
      </w:r>
      <w:r w:rsidRPr="00393609">
        <w:rPr>
          <w:rFonts w:ascii="ITC Avant Garde" w:eastAsia="Times New Roman" w:hAnsi="ITC Avant Garde"/>
          <w:b/>
          <w:bCs/>
          <w:color w:val="000000" w:themeColor="text1"/>
          <w:lang w:eastAsia="es-MX"/>
        </w:rPr>
        <w:t>“IFT”</w:t>
      </w:r>
      <w:r w:rsidRPr="005A38C2">
        <w:rPr>
          <w:rFonts w:ascii="ITC Avant Garde" w:eastAsia="Times New Roman" w:hAnsi="ITC Avant Garde"/>
          <w:bCs/>
          <w:color w:val="000000" w:themeColor="text1"/>
          <w:lang w:eastAsia="es-MX"/>
        </w:rPr>
        <w:t xml:space="preserve"> es competente para conocer y resolver el presente procedimiento administrativo de revocación, con fundamento en los artículos 14, 16, 25, 28, párrafos décimo quinto y vigésimo fracción I de la </w:t>
      </w:r>
      <w:r>
        <w:rPr>
          <w:rFonts w:ascii="ITC Avant Garde" w:eastAsia="Times New Roman" w:hAnsi="ITC Avant Garde"/>
          <w:bCs/>
          <w:color w:val="000000" w:themeColor="text1"/>
          <w:lang w:eastAsia="es-MX"/>
        </w:rPr>
        <w:t>“</w:t>
      </w:r>
      <w:r w:rsidRPr="005A38C2">
        <w:rPr>
          <w:rFonts w:ascii="ITC Avant Garde" w:eastAsia="Times New Roman" w:hAnsi="ITC Avant Garde"/>
          <w:b/>
          <w:bCs/>
          <w:color w:val="000000" w:themeColor="text1"/>
          <w:lang w:eastAsia="es-MX"/>
        </w:rPr>
        <w:t>CPEUM</w:t>
      </w:r>
      <w:r w:rsidRPr="00F54548">
        <w:rPr>
          <w:rFonts w:ascii="ITC Avant Garde" w:eastAsia="Times New Roman" w:hAnsi="ITC Avant Garde"/>
          <w:bCs/>
          <w:color w:val="000000" w:themeColor="text1"/>
          <w:lang w:eastAsia="es-MX"/>
        </w:rPr>
        <w:t>”</w:t>
      </w:r>
      <w:r w:rsidRPr="005A38C2">
        <w:rPr>
          <w:rFonts w:ascii="ITC Avant Garde" w:eastAsia="Times New Roman" w:hAnsi="ITC Avant Garde"/>
          <w:bCs/>
          <w:color w:val="000000" w:themeColor="text1"/>
          <w:lang w:eastAsia="es-MX"/>
        </w:rPr>
        <w:t xml:space="preserve">; 1, 2, 6, fracciones II, IV y VII, 7, 15, fracción IV, 17, fracción I, 297 y 303 fracción III de la </w:t>
      </w:r>
      <w:r>
        <w:rPr>
          <w:rFonts w:ascii="ITC Avant Garde" w:eastAsia="Times New Roman" w:hAnsi="ITC Avant Garde"/>
          <w:bCs/>
          <w:color w:val="000000" w:themeColor="text1"/>
          <w:lang w:eastAsia="es-MX"/>
        </w:rPr>
        <w:t>“</w:t>
      </w:r>
      <w:proofErr w:type="spellStart"/>
      <w:r w:rsidRPr="005A38C2">
        <w:rPr>
          <w:rFonts w:ascii="ITC Avant Garde" w:hAnsi="ITC Avant Garde"/>
          <w:b/>
          <w:color w:val="000000" w:themeColor="text1"/>
        </w:rPr>
        <w:t>LFTyR</w:t>
      </w:r>
      <w:proofErr w:type="spellEnd"/>
      <w:r w:rsidRPr="00F54548">
        <w:rPr>
          <w:rFonts w:ascii="ITC Avant Garde" w:hAnsi="ITC Avant Garde"/>
          <w:color w:val="000000" w:themeColor="text1"/>
        </w:rPr>
        <w:t>”</w:t>
      </w:r>
      <w:r w:rsidRPr="005A38C2">
        <w:rPr>
          <w:rFonts w:ascii="ITC Avant Garde" w:hAnsi="ITC Avant Garde"/>
          <w:color w:val="000000" w:themeColor="text1"/>
        </w:rPr>
        <w:t>;</w:t>
      </w:r>
      <w:r w:rsidRPr="005A38C2">
        <w:rPr>
          <w:rFonts w:ascii="ITC Avant Garde" w:eastAsia="Times New Roman" w:hAnsi="ITC Avant Garde"/>
          <w:bCs/>
          <w:color w:val="000000" w:themeColor="text1"/>
          <w:lang w:eastAsia="es-MX"/>
        </w:rPr>
        <w:t xml:space="preserve">  2, 3, 8, 9, 12, 13, 16, fracción X, 18, 28, 49, 50, 51, 59, 70, fracciones II y VI, 72, 73 y 74 de la </w:t>
      </w:r>
      <w:r w:rsidRPr="005A38C2">
        <w:rPr>
          <w:rFonts w:ascii="ITC Avant Garde" w:eastAsia="Times New Roman" w:hAnsi="ITC Avant Garde"/>
          <w:b/>
          <w:bCs/>
          <w:color w:val="000000" w:themeColor="text1"/>
          <w:lang w:eastAsia="es-MX"/>
        </w:rPr>
        <w:t>“LFPA”</w:t>
      </w:r>
      <w:r w:rsidRPr="005A38C2">
        <w:rPr>
          <w:rFonts w:ascii="ITC Avant Garde" w:eastAsia="Times New Roman" w:hAnsi="ITC Avant Garde"/>
          <w:bCs/>
          <w:color w:val="000000" w:themeColor="text1"/>
          <w:lang w:eastAsia="es-MX"/>
        </w:rPr>
        <w:t xml:space="preserve">; en relación con el diverso 44, fracción III del Estatuto Orgánico del </w:t>
      </w:r>
      <w:r w:rsidRPr="005A38C2">
        <w:rPr>
          <w:rFonts w:ascii="ITC Avant Garde" w:eastAsia="Times New Roman" w:hAnsi="ITC Avant Garde"/>
          <w:b/>
          <w:bCs/>
          <w:color w:val="000000" w:themeColor="text1"/>
          <w:lang w:eastAsia="es-MX"/>
        </w:rPr>
        <w:t>“IFT”</w:t>
      </w:r>
      <w:r w:rsidRPr="005A38C2">
        <w:rPr>
          <w:rFonts w:ascii="ITC Avant Garde" w:eastAsia="Times New Roman" w:hAnsi="ITC Avant Garde"/>
          <w:bCs/>
          <w:color w:val="000000" w:themeColor="text1"/>
          <w:lang w:eastAsia="es-MX"/>
        </w:rPr>
        <w:t xml:space="preserve"> (en lo sucesivo el </w:t>
      </w:r>
      <w:r w:rsidRPr="005A38C2">
        <w:rPr>
          <w:rFonts w:ascii="ITC Avant Garde" w:eastAsia="Times New Roman" w:hAnsi="ITC Avant Garde"/>
          <w:b/>
          <w:bCs/>
          <w:color w:val="000000" w:themeColor="text1"/>
          <w:lang w:eastAsia="es-MX"/>
        </w:rPr>
        <w:t>“ESTATUTO”</w:t>
      </w:r>
      <w:r w:rsidRPr="005A38C2">
        <w:rPr>
          <w:rFonts w:ascii="ITC Avant Garde" w:eastAsia="Times New Roman" w:hAnsi="ITC Avant Garde"/>
          <w:bCs/>
          <w:color w:val="000000" w:themeColor="text1"/>
          <w:lang w:eastAsia="es-MX"/>
        </w:rPr>
        <w:t>).</w:t>
      </w:r>
    </w:p>
    <w:p w14:paraId="6AE6145D" w14:textId="77777777" w:rsidR="00327D0C" w:rsidRDefault="00CB7F8D" w:rsidP="00327D0C">
      <w:pPr>
        <w:pStyle w:val="Textoindependiente"/>
        <w:spacing w:after="240" w:line="360" w:lineRule="auto"/>
        <w:jc w:val="both"/>
        <w:rPr>
          <w:rFonts w:ascii="ITC Avant Garde" w:eastAsia="Times New Roman" w:hAnsi="ITC Avant Garde"/>
          <w:b/>
          <w:bCs/>
          <w:smallCaps/>
          <w:color w:val="000000" w:themeColor="text1"/>
          <w:lang w:eastAsia="es-MX"/>
        </w:rPr>
      </w:pPr>
      <w:r>
        <w:rPr>
          <w:rFonts w:ascii="ITC Avant Garde" w:eastAsia="Times New Roman" w:hAnsi="ITC Avant Garde"/>
          <w:b/>
          <w:bCs/>
          <w:color w:val="000000" w:themeColor="text1"/>
          <w:lang w:eastAsia="es-MX"/>
        </w:rPr>
        <w:t xml:space="preserve">SEGUNDO. </w:t>
      </w:r>
      <w:r>
        <w:rPr>
          <w:rFonts w:ascii="ITC Avant Garde" w:eastAsia="Times New Roman" w:hAnsi="ITC Avant Garde"/>
          <w:b/>
          <w:bCs/>
          <w:smallCaps/>
          <w:color w:val="000000" w:themeColor="text1"/>
          <w:lang w:eastAsia="es-MX"/>
        </w:rPr>
        <w:t>Consideración previa</w:t>
      </w:r>
    </w:p>
    <w:p w14:paraId="2769EA7E"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Soberanía del Estado sobre el uso aprovechamiento y explotación del espacio aéreo situado sobre territorio nacional se ejerce observando lo dispuesto en los artículos 27 y 28 de la </w:t>
      </w:r>
      <w:r w:rsidRPr="00A00AD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los cuales prevén que el dominio de la Nación sobre el espectro radioeléctrico para prestar servicios de telecomunicaciones es inalienable e imprescriptible, por lo que su explotación, uso o aprovechamiento por los particulares o por sociedades debidamente constituidas, sólo puede realizarse mediante documentos habilitantes otorgados por 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de acuerdo con las reglas y condiciones que establezca la normatividad aplicable en la materia.</w:t>
      </w:r>
    </w:p>
    <w:p w14:paraId="6110D2FA"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de conformidad con lo establecido en el artículo 28, párrafos décimo quinto y décimo sexto de la </w:t>
      </w:r>
      <w:r w:rsidRPr="00A00AD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es un órgano autónomo, con personalidad jurídica y patrimonio propio, que tiene por objeto el desarrollo eficiente de las telecomunicaciones</w:t>
      </w:r>
      <w:r w:rsidRPr="0046578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y la radiodifusión,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48D03A6A"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Consecuente con lo anterior, 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es el encargado de vigilar la debida observancia a lo dispuesto en las concesiones, permisos y autorizaciones que se otorguen para el uso, </w:t>
      </w:r>
      <w:r>
        <w:rPr>
          <w:rFonts w:ascii="ITC Avant Garde" w:eastAsia="Times New Roman" w:hAnsi="ITC Avant Garde"/>
          <w:bCs/>
          <w:color w:val="000000"/>
          <w:lang w:eastAsia="es-MX"/>
        </w:rPr>
        <w:lastRenderedPageBreak/>
        <w:t xml:space="preserve">aprovechamiento y explotación de bandas de frecuencias del espectro radioeléctrico para uso determinado, así como de las redes públicas de telecomunicaciones, a fin de asegurar que la prestación de los servicios de telecomunicaciones se realice de conformidad con las disposiciones jurídicas aplicables. </w:t>
      </w:r>
    </w:p>
    <w:p w14:paraId="628037FF"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esas consideraciones, el ejercicio de las facultades de supervisión y verificación por parte del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traen aparejada la relativa a imponer sanciones por el incumplimiento a lo establecido en las leyes correspondientes o en las respectivas autorizaciones o permisos, con la finalidad de inhibir aquellas conductas que atenten contra los objetivos de la normatividad en la materia.</w:t>
      </w:r>
    </w:p>
    <w:p w14:paraId="1CAAB275" w14:textId="77777777" w:rsidR="00327D0C" w:rsidRDefault="00CB7F8D" w:rsidP="00327D0C">
      <w:pPr>
        <w:spacing w:after="240" w:line="360" w:lineRule="auto"/>
        <w:jc w:val="both"/>
        <w:rPr>
          <w:rFonts w:ascii="ITC Avant Garde" w:hAnsi="ITC Avant Garde"/>
          <w:color w:val="000000"/>
          <w:lang w:eastAsia="es-MX"/>
        </w:rPr>
      </w:pPr>
      <w:r>
        <w:rPr>
          <w:rFonts w:ascii="ITC Avant Garde" w:hAnsi="ITC Avant Garde"/>
          <w:color w:val="000000"/>
          <w:lang w:eastAsia="es-MX"/>
        </w:rPr>
        <w:t xml:space="preserve">En ese sentido, la Unidad de Cumplimiento en ejercicio de sus facultades, llevó a cabo la sustanciación del procedimiento administrativo de revocación a través del cual somete a consideración de este Pleno la respectiva resolución para revocar </w:t>
      </w:r>
      <w:r w:rsidRPr="008A2C3C">
        <w:rPr>
          <w:rFonts w:ascii="ITC Avant Garde" w:hAnsi="ITC Avant Garde"/>
          <w:b/>
          <w:noProof/>
          <w:color w:val="000000"/>
          <w:lang w:eastAsia="es-MX"/>
        </w:rPr>
        <w:t>el permiso para instalar y operar un sistema de radiocomunicación privada</w:t>
      </w:r>
      <w:r w:rsidRPr="00327B7C">
        <w:rPr>
          <w:rFonts w:ascii="ITC Avant Garde" w:hAnsi="ITC Avant Garde"/>
          <w:b/>
          <w:color w:val="000000"/>
          <w:lang w:eastAsia="es-MX"/>
        </w:rPr>
        <w:t xml:space="preserve"> </w:t>
      </w:r>
      <w:r w:rsidRPr="00327B7C">
        <w:rPr>
          <w:rFonts w:ascii="ITC Avant Garde" w:hAnsi="ITC Avant Garde"/>
          <w:color w:val="000000"/>
          <w:lang w:eastAsia="es-MX"/>
        </w:rPr>
        <w:t xml:space="preserve">otorgado </w:t>
      </w:r>
      <w:r w:rsidRPr="008A2C3C">
        <w:rPr>
          <w:rFonts w:ascii="ITC Avant Garde" w:hAnsi="ITC Avant Garde"/>
          <w:noProof/>
          <w:color w:val="000000"/>
          <w:lang w:eastAsia="es-MX"/>
        </w:rPr>
        <w:t>a</w:t>
      </w:r>
      <w:r w:rsidRPr="00327B7C">
        <w:rPr>
          <w:rFonts w:ascii="ITC Avant Garde" w:hAnsi="ITC Avant Garde"/>
          <w:color w:val="000000"/>
          <w:lang w:eastAsia="es-MX"/>
        </w:rPr>
        <w:t xml:space="preserve"> </w:t>
      </w:r>
      <w:r w:rsidRPr="008A2C3C">
        <w:rPr>
          <w:rFonts w:ascii="ITC Avant Garde" w:hAnsi="ITC Avant Garde"/>
          <w:b/>
          <w:noProof/>
          <w:color w:val="000000"/>
          <w:lang w:eastAsia="es-MX"/>
        </w:rPr>
        <w:t>PORFIRIO TORRES PERALTA</w:t>
      </w:r>
      <w:r w:rsidRPr="00327B7C">
        <w:rPr>
          <w:rFonts w:ascii="ITC Avant Garde" w:hAnsi="ITC Avant Garde"/>
          <w:b/>
          <w:caps/>
        </w:rPr>
        <w:t xml:space="preserve">, </w:t>
      </w:r>
      <w:r w:rsidRPr="00327B7C">
        <w:rPr>
          <w:rFonts w:ascii="ITC Avant Garde" w:hAnsi="ITC Avant Garde"/>
          <w:color w:val="000000"/>
          <w:lang w:eastAsia="es-MX"/>
        </w:rPr>
        <w:t>toda vez que se detectó que ha incumplido con la obligación de pago de la cuota anual de derechos por el uso o aprovechamiento del espectro radioeléctrico a través de las frecuencias que les fueron otorgadas.</w:t>
      </w:r>
    </w:p>
    <w:p w14:paraId="473D2168"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determinar la procedencia en la imposición de una sanción,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aplicable en el caso en concreto, no sólo establece obligaciones para los concesionarios, permisionarios y autorizados, así como para los gobernados en general, sino también señala los supuestos de incumplimiento específicos, así como las consecuencias jurídicas a las que se harán acreedores en casos de infringir la normatividad en la materia.</w:t>
      </w:r>
    </w:p>
    <w:p w14:paraId="5DE70F11"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decir, al pretender imponer una sanción, esta autoridad debe analizar minuciosamente la conducta que se les imputó </w:t>
      </w:r>
      <w:r w:rsidRPr="008A2C3C">
        <w:rPr>
          <w:rFonts w:ascii="ITC Avant Garde" w:eastAsia="Times New Roman" w:hAnsi="ITC Avant Garde"/>
          <w:bCs/>
          <w:noProof/>
          <w:color w:val="000000"/>
          <w:lang w:eastAsia="es-MX"/>
        </w:rPr>
        <w:t>a</w:t>
      </w:r>
      <w:r>
        <w:rPr>
          <w:rFonts w:ascii="ITC Avant Garde" w:hAnsi="ITC Avant Garde"/>
          <w:color w:val="000000"/>
          <w:lang w:eastAsia="es-MX"/>
        </w:rPr>
        <w:t xml:space="preserve"> </w:t>
      </w:r>
      <w:r w:rsidRPr="008A2C3C">
        <w:rPr>
          <w:rFonts w:ascii="ITC Avant Garde" w:eastAsia="Times New Roman" w:hAnsi="ITC Avant Garde"/>
          <w:b/>
          <w:bCs/>
          <w:noProof/>
          <w:color w:val="000000"/>
          <w:lang w:eastAsia="es-MX"/>
        </w:rPr>
        <w:t>PORFIRIO TORRES PERALTA</w:t>
      </w:r>
      <w:r>
        <w:rPr>
          <w:rFonts w:ascii="ITC Avant Garde" w:hAnsi="ITC Avant Garde"/>
        </w:rPr>
        <w:t xml:space="preserve"> </w:t>
      </w:r>
      <w:r>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3E800F80"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Pr>
          <w:rFonts w:ascii="ITC Avant Garde" w:eastAsia="Times New Roman" w:hAnsi="ITC Avant Garde"/>
          <w:bCs/>
          <w:i/>
          <w:color w:val="000000"/>
          <w:lang w:eastAsia="es-MX"/>
        </w:rPr>
        <w:t>ius</w:t>
      </w:r>
      <w:proofErr w:type="spellEnd"/>
      <w:r>
        <w:rPr>
          <w:rFonts w:ascii="ITC Avant Garde" w:eastAsia="Times New Roman" w:hAnsi="ITC Avant Garde"/>
          <w:bCs/>
          <w:i/>
          <w:color w:val="000000"/>
          <w:lang w:eastAsia="es-MX"/>
        </w:rPr>
        <w:t xml:space="preserve"> </w:t>
      </w:r>
      <w:proofErr w:type="spellStart"/>
      <w:r>
        <w:rPr>
          <w:rFonts w:ascii="ITC Avant Garde" w:eastAsia="Times New Roman" w:hAnsi="ITC Avant Garde"/>
          <w:bCs/>
          <w:i/>
          <w:color w:val="000000"/>
          <w:lang w:eastAsia="es-MX"/>
        </w:rPr>
        <w:t>puniendi</w:t>
      </w:r>
      <w:proofErr w:type="spellEnd"/>
      <w:r>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033B64EC"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en la interpretación constitucional de los principios que rigen dicha materia,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1D331289" w14:textId="77777777" w:rsidR="00327D0C" w:rsidRDefault="00CB7F8D" w:rsidP="00327D0C">
      <w:pPr>
        <w:pStyle w:val="Textoindependiente"/>
        <w:tabs>
          <w:tab w:val="left" w:pos="567"/>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en la especie se considera que la conducta desplegada por </w:t>
      </w:r>
      <w:r w:rsidRPr="008A2C3C">
        <w:rPr>
          <w:rFonts w:ascii="ITC Avant Garde" w:hAnsi="ITC Avant Garde"/>
          <w:b/>
          <w:noProof/>
          <w:color w:val="000000"/>
          <w:lang w:eastAsia="es-MX"/>
        </w:rPr>
        <w:t>PORFIRIO TORRES PERALTA</w:t>
      </w:r>
      <w:r w:rsidRPr="00A65ACC">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consistente en la omisión del pago de la cuota anual de derechos por el uso o aprovechamiento del espectro radioeléctrico para radiocomunicación privada, vulnera el contenido de las obligaciones señaladas en las condiciones establecidas en </w:t>
      </w:r>
      <w:r w:rsidRPr="002A2368">
        <w:rPr>
          <w:rFonts w:ascii="ITC Avant Garde" w:eastAsia="Times New Roman" w:hAnsi="ITC Avant Garde"/>
          <w:bCs/>
          <w:color w:val="000000"/>
          <w:lang w:eastAsia="es-MX"/>
        </w:rPr>
        <w:t xml:space="preserve">su </w:t>
      </w:r>
      <w:r w:rsidRPr="008A2C3C">
        <w:rPr>
          <w:rFonts w:ascii="ITC Avant Garde" w:eastAsia="Times New Roman" w:hAnsi="ITC Avant Garde"/>
          <w:b/>
          <w:bCs/>
          <w:noProof/>
          <w:color w:val="000000"/>
          <w:lang w:eastAsia="es-MX"/>
        </w:rPr>
        <w:t>permiso para instalar y operar un sistema de radiocomunicación privada</w:t>
      </w:r>
      <w:r w:rsidRPr="002A2368">
        <w:rPr>
          <w:rFonts w:ascii="ITC Avant Garde" w:eastAsia="Times New Roman" w:hAnsi="ITC Avant Garde"/>
          <w:bCs/>
          <w:color w:val="000000"/>
          <w:lang w:eastAsia="es-MX"/>
        </w:rPr>
        <w:t>, en relaci</w:t>
      </w:r>
      <w:r w:rsidRPr="008C4DFB">
        <w:rPr>
          <w:rFonts w:ascii="ITC Avant Garde" w:eastAsia="Times New Roman" w:hAnsi="ITC Avant Garde"/>
          <w:bCs/>
          <w:color w:val="000000"/>
          <w:lang w:eastAsia="es-MX"/>
        </w:rPr>
        <w:t>ón con</w:t>
      </w:r>
      <w:r>
        <w:rPr>
          <w:rFonts w:ascii="ITC Avant Garde" w:eastAsia="Times New Roman" w:hAnsi="ITC Avant Garde"/>
          <w:bCs/>
          <w:color w:val="000000"/>
          <w:lang w:eastAsia="es-MX"/>
        </w:rPr>
        <w:t xml:space="preserve"> los artículos 239 y 240 de la </w:t>
      </w:r>
      <w:r w:rsidRPr="0025491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LFD”</w:t>
      </w:r>
      <w:r>
        <w:rPr>
          <w:rFonts w:ascii="ITC Avant Garde" w:eastAsia="Times New Roman" w:hAnsi="ITC Avant Garde"/>
          <w:bCs/>
          <w:color w:val="000000"/>
          <w:lang w:eastAsia="es-MX"/>
        </w:rPr>
        <w:t>,</w:t>
      </w:r>
      <w:r>
        <w:rPr>
          <w:rFonts w:ascii="ITC Avant Garde" w:hAnsi="ITC Avant Garde"/>
        </w:rPr>
        <w:t xml:space="preserve"> y en consecuencia actualiza la hipótesis de revocación del título habilitante contenida en el </w:t>
      </w:r>
      <w:r>
        <w:rPr>
          <w:rFonts w:ascii="ITC Avant Garde" w:eastAsia="Times New Roman" w:hAnsi="ITC Avant Garde"/>
          <w:bCs/>
          <w:color w:val="000000"/>
          <w:lang w:eastAsia="es-MX"/>
        </w:rPr>
        <w:t xml:space="preserve">artículo 303, fracción III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p>
    <w:p w14:paraId="751FAA1D"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Desde luego, los mencionados preceptos disponen lo siguiente:</w:t>
      </w:r>
    </w:p>
    <w:p w14:paraId="30BC2CC9"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213C2">
        <w:rPr>
          <w:rFonts w:ascii="ITC Avant Garde" w:eastAsia="Times New Roman" w:hAnsi="ITC Avant Garde"/>
          <w:b/>
          <w:bCs/>
          <w:i/>
          <w:color w:val="000000"/>
          <w:sz w:val="20"/>
          <w:szCs w:val="20"/>
          <w:lang w:eastAsia="es-MX"/>
        </w:rPr>
        <w:t>Ley Federal de Derechos:</w:t>
      </w:r>
    </w:p>
    <w:p w14:paraId="30822DE2" w14:textId="5ACE205B" w:rsidR="00CB7F8D" w:rsidRPr="00C07E19"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C07E19">
        <w:rPr>
          <w:rFonts w:ascii="ITC Avant Garde" w:eastAsia="Times New Roman" w:hAnsi="ITC Avant Garde"/>
          <w:bCs/>
          <w:i/>
          <w:color w:val="000000"/>
          <w:sz w:val="20"/>
          <w:szCs w:val="20"/>
          <w:lang w:eastAsia="es-MX"/>
        </w:rPr>
        <w:t>(…)</w:t>
      </w:r>
    </w:p>
    <w:p w14:paraId="5AC6BC47" w14:textId="77777777" w:rsidR="00327D0C" w:rsidRDefault="00CB7F8D" w:rsidP="00327D0C">
      <w:pPr>
        <w:pStyle w:val="Prrafodelista"/>
        <w:spacing w:after="240" w:line="360" w:lineRule="auto"/>
        <w:ind w:left="851" w:right="616"/>
        <w:contextualSpacing w:val="0"/>
        <w:jc w:val="both"/>
        <w:rPr>
          <w:rFonts w:ascii="ITC Avant Garde" w:hAnsi="ITC Avant Garde"/>
          <w:i/>
          <w:sz w:val="20"/>
          <w:szCs w:val="20"/>
        </w:rPr>
      </w:pPr>
      <w:r w:rsidRPr="00B213C2">
        <w:rPr>
          <w:rFonts w:ascii="ITC Avant Garde" w:hAnsi="ITC Avant Garde"/>
          <w:b/>
          <w:i/>
          <w:sz w:val="20"/>
          <w:szCs w:val="20"/>
        </w:rPr>
        <w:t>“Artículo 239</w:t>
      </w:r>
      <w:r w:rsidRPr="00B213C2">
        <w:rPr>
          <w:rFonts w:ascii="ITC Avant Garde" w:hAnsi="ITC Avant Garde"/>
          <w:i/>
          <w:sz w:val="20"/>
          <w:szCs w:val="20"/>
        </w:rPr>
        <w:t xml:space="preserve">.- Las personas físicas y las morales que usen o aprovechen el espacio aéreo y, en general, cualquier medio de propagación de las ondas </w:t>
      </w:r>
      <w:r w:rsidRPr="00B213C2">
        <w:rPr>
          <w:rFonts w:ascii="ITC Avant Garde" w:hAnsi="ITC Avant Garde"/>
          <w:i/>
          <w:sz w:val="20"/>
          <w:szCs w:val="20"/>
        </w:rPr>
        <w:lastRenderedPageBreak/>
        <w:t xml:space="preserve">electromagnéticas en materia de telecomunicaciones, </w:t>
      </w:r>
      <w:r w:rsidRPr="00B213C2">
        <w:rPr>
          <w:rFonts w:ascii="ITC Avant Garde" w:hAnsi="ITC Avant Garde"/>
          <w:b/>
          <w:i/>
          <w:sz w:val="20"/>
          <w:szCs w:val="20"/>
        </w:rPr>
        <w:t>están obligadas a pagar el derecho por el uso del espectro radioeléctrico</w:t>
      </w:r>
      <w:r w:rsidRPr="00B213C2">
        <w:rPr>
          <w:rFonts w:ascii="ITC Avant Garde" w:hAnsi="ITC Avant Garde"/>
          <w:i/>
          <w:sz w:val="20"/>
          <w:szCs w:val="20"/>
        </w:rPr>
        <w:t>, conforme a las disposiciones aplicables.”</w:t>
      </w:r>
    </w:p>
    <w:p w14:paraId="30822DE5" w14:textId="3E0ED9CF" w:rsidR="00CB7F8D" w:rsidRDefault="00CB7F8D" w:rsidP="00327D0C">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i/>
          <w:sz w:val="20"/>
          <w:szCs w:val="20"/>
        </w:rPr>
        <w:t>(…)</w:t>
      </w:r>
    </w:p>
    <w:p w14:paraId="367ACAB3" w14:textId="77777777" w:rsidR="00327D0C" w:rsidRDefault="00CB7F8D" w:rsidP="00327D0C">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i/>
          <w:sz w:val="20"/>
          <w:szCs w:val="20"/>
        </w:rPr>
        <w:t xml:space="preserve">(…) </w:t>
      </w:r>
    </w:p>
    <w:p w14:paraId="7E59DB73" w14:textId="77777777" w:rsidR="00327D0C" w:rsidRDefault="00CB7F8D" w:rsidP="00327D0C">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b/>
          <w:i/>
          <w:sz w:val="20"/>
          <w:szCs w:val="20"/>
        </w:rPr>
        <w:t>“</w:t>
      </w:r>
      <w:r w:rsidRPr="00C07E19">
        <w:rPr>
          <w:rFonts w:ascii="ITC Avant Garde" w:hAnsi="ITC Avant Garde"/>
          <w:b/>
          <w:i/>
          <w:sz w:val="20"/>
          <w:szCs w:val="20"/>
        </w:rPr>
        <w:t>Artículo 240.</w:t>
      </w:r>
      <w:r w:rsidRPr="00C07E19">
        <w:rPr>
          <w:rFonts w:ascii="ITC Avant Garde" w:hAnsi="ITC Avant Garde"/>
          <w:i/>
          <w:sz w:val="20"/>
          <w:szCs w:val="20"/>
        </w:rPr>
        <w:t xml:space="preserve">- El derecho por el uso del espectro radioeléctrico, </w:t>
      </w:r>
      <w:r w:rsidRPr="00C07E19">
        <w:rPr>
          <w:rFonts w:ascii="ITC Avant Garde" w:hAnsi="ITC Avant Garde"/>
          <w:b/>
          <w:i/>
          <w:sz w:val="20"/>
          <w:szCs w:val="20"/>
        </w:rPr>
        <w:t>por los sistemas de radiocomunicación privada,</w:t>
      </w:r>
      <w:r w:rsidRPr="00C07E19">
        <w:rPr>
          <w:rFonts w:ascii="ITC Avant Garde" w:hAnsi="ITC Avant Garde"/>
          <w:i/>
          <w:sz w:val="20"/>
          <w:szCs w:val="20"/>
        </w:rPr>
        <w:t xml:space="preserve"> se pagará anualmente por cada frecuencia asignada, conforme a las</w:t>
      </w:r>
      <w:r>
        <w:rPr>
          <w:rFonts w:ascii="ITC Avant Garde" w:hAnsi="ITC Avant Garde"/>
          <w:i/>
          <w:sz w:val="20"/>
          <w:szCs w:val="20"/>
        </w:rPr>
        <w:t xml:space="preserve"> </w:t>
      </w:r>
      <w:r w:rsidRPr="00C07E19">
        <w:rPr>
          <w:rFonts w:ascii="ITC Avant Garde" w:hAnsi="ITC Avant Garde"/>
          <w:i/>
          <w:sz w:val="20"/>
          <w:szCs w:val="20"/>
        </w:rPr>
        <w:t>siguientes cuotas:</w:t>
      </w:r>
      <w:r>
        <w:rPr>
          <w:rFonts w:ascii="ITC Avant Garde" w:hAnsi="ITC Avant Garde"/>
          <w:i/>
          <w:sz w:val="20"/>
          <w:szCs w:val="20"/>
        </w:rPr>
        <w:t>”</w:t>
      </w:r>
    </w:p>
    <w:p w14:paraId="5F9F4E36" w14:textId="77777777" w:rsidR="00327D0C" w:rsidRDefault="00CB7F8D" w:rsidP="00327D0C">
      <w:pPr>
        <w:pStyle w:val="Prrafodelista"/>
        <w:spacing w:after="240" w:line="360" w:lineRule="auto"/>
        <w:ind w:left="851" w:right="616"/>
        <w:contextualSpacing w:val="0"/>
        <w:jc w:val="both"/>
        <w:rPr>
          <w:rFonts w:ascii="ITC Avant Garde" w:hAnsi="ITC Avant Garde"/>
          <w:sz w:val="20"/>
          <w:szCs w:val="20"/>
        </w:rPr>
      </w:pPr>
      <w:r>
        <w:rPr>
          <w:rFonts w:ascii="ITC Avant Garde" w:hAnsi="ITC Avant Garde"/>
          <w:i/>
          <w:sz w:val="20"/>
          <w:szCs w:val="20"/>
        </w:rPr>
        <w:t>(…)</w:t>
      </w:r>
    </w:p>
    <w:p w14:paraId="30822DEC" w14:textId="5844B9F8" w:rsidR="00CB7F8D"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efectos de imponer la sanción que corresponda, resulta importante hacer notar que la </w:t>
      </w:r>
      <w:r w:rsidR="008B4248">
        <w:rPr>
          <w:rFonts w:ascii="ITC Avant Garde" w:eastAsia="Times New Roman" w:hAnsi="ITC Avant Garde"/>
          <w:bCs/>
          <w:color w:val="000000"/>
          <w:lang w:eastAsia="es-MX"/>
        </w:rPr>
        <w:t xml:space="preserve">omisión </w:t>
      </w:r>
      <w:r>
        <w:rPr>
          <w:rFonts w:ascii="ITC Avant Garde" w:eastAsia="Times New Roman" w:hAnsi="ITC Avant Garde"/>
          <w:bCs/>
          <w:color w:val="000000"/>
          <w:lang w:eastAsia="es-MX"/>
        </w:rPr>
        <w:t xml:space="preserve">de la conducta antes referida es susceptible de ser sancionada en términos de los artículos 297 primer párrafo en relación con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preceptos que establecen que las infracciones a dicha Ley, a las disposiciones administrativas y a los títulos de concesión o autorizaciones se sancionará por el </w:t>
      </w:r>
      <w:r>
        <w:rPr>
          <w:rFonts w:ascii="ITC Avant Garde" w:eastAsia="Times New Roman" w:hAnsi="ITC Avant Garde"/>
          <w:b/>
          <w:bCs/>
          <w:color w:val="000000"/>
          <w:lang w:eastAsia="es-MX"/>
        </w:rPr>
        <w:t>“</w:t>
      </w:r>
      <w:r w:rsidRPr="00804223">
        <w:rPr>
          <w:rFonts w:ascii="ITC Avant Garde" w:eastAsia="Times New Roman" w:hAnsi="ITC Avant Garde"/>
          <w:b/>
          <w:bCs/>
          <w:color w:val="000000"/>
          <w:lang w:eastAsia="es-MX"/>
        </w:rPr>
        <w:t>IFT</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conforme al Capítulo 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el cual señala que </w:t>
      </w:r>
      <w:r w:rsidRPr="003C53AC">
        <w:rPr>
          <w:rFonts w:ascii="ITC Avant Garde" w:eastAsia="Times New Roman" w:hAnsi="ITC Avant Garde"/>
          <w:bCs/>
          <w:color w:val="000000"/>
          <w:lang w:eastAsia="es-MX"/>
        </w:rPr>
        <w:t xml:space="preserve">las concesiones o autorizaciones </w:t>
      </w:r>
      <w:r>
        <w:rPr>
          <w:rFonts w:ascii="ITC Avant Garde" w:eastAsia="Times New Roman" w:hAnsi="ITC Avant Garde"/>
          <w:bCs/>
          <w:color w:val="000000"/>
          <w:lang w:eastAsia="es-MX"/>
        </w:rPr>
        <w:t>pueden ser revocadas por no cumplir con las obligaciones cuyo incumplimiento establezca expresamente como consecuencia la revocación.</w:t>
      </w:r>
    </w:p>
    <w:p w14:paraId="724F2C79"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los artículos 297, primer párrafo y 303 fracción III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establecen expresamente lo siguiente:</w:t>
      </w:r>
    </w:p>
    <w:p w14:paraId="190BBF90"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t xml:space="preserve">Ley Federal de Telecomunicaciones y Radiodifusión: </w:t>
      </w:r>
    </w:p>
    <w:p w14:paraId="4D838181" w14:textId="77777777" w:rsidR="00327D0C"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B73F9F">
        <w:rPr>
          <w:rFonts w:ascii="ITC Avant Garde" w:hAnsi="ITC Avant Garde"/>
          <w:i/>
          <w:color w:val="000000"/>
          <w:sz w:val="20"/>
          <w:szCs w:val="20"/>
        </w:rPr>
        <w:t>“</w:t>
      </w:r>
      <w:r w:rsidRPr="00B73F9F">
        <w:rPr>
          <w:rFonts w:ascii="ITC Avant Garde" w:hAnsi="ITC Avant Garde"/>
          <w:b/>
          <w:i/>
          <w:color w:val="000000"/>
          <w:sz w:val="20"/>
          <w:szCs w:val="20"/>
        </w:rPr>
        <w:t>Artículo 297.</w:t>
      </w:r>
      <w:r w:rsidRPr="00B73F9F">
        <w:rPr>
          <w:rFonts w:ascii="ITC Avant Garde" w:hAnsi="ITC Avant Garde"/>
          <w:i/>
          <w:color w:val="000000"/>
          <w:sz w:val="20"/>
          <w:szCs w:val="20"/>
        </w:rPr>
        <w:t xml:space="preserve"> Las infracciones a esta Ley, a las disposiciones administrativas y a los títulos de concesión o autorizaciones, se sancionarán por el Instituto conforme al Capítulo II de este Título y se tramitarán en términos de la Ley Federal de Procedimiento Administrativo (…)</w:t>
      </w:r>
    </w:p>
    <w:p w14:paraId="7B672376" w14:textId="4586554F" w:rsidR="00327D0C"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B73F9F">
        <w:rPr>
          <w:rFonts w:ascii="ITC Avant Garde" w:eastAsia="Times New Roman" w:hAnsi="ITC Avant Garde"/>
          <w:b/>
          <w:bCs/>
          <w:i/>
          <w:color w:val="000000"/>
          <w:sz w:val="20"/>
          <w:szCs w:val="20"/>
          <w:lang w:eastAsia="es-MX"/>
        </w:rPr>
        <w:t xml:space="preserve">“Artículo 303.- </w:t>
      </w:r>
      <w:r w:rsidRPr="00B73F9F">
        <w:rPr>
          <w:rFonts w:ascii="ITC Avant Garde" w:eastAsia="Times New Roman" w:hAnsi="ITC Avant Garde"/>
          <w:bCs/>
          <w:i/>
          <w:color w:val="000000"/>
          <w:sz w:val="20"/>
          <w:szCs w:val="20"/>
          <w:lang w:eastAsia="es-MX"/>
        </w:rPr>
        <w:t xml:space="preserve">Las </w:t>
      </w:r>
      <w:r w:rsidRPr="00B73F9F">
        <w:rPr>
          <w:rFonts w:ascii="ITC Avant Garde" w:eastAsia="Times New Roman" w:hAnsi="ITC Avant Garde"/>
          <w:b/>
          <w:bCs/>
          <w:i/>
          <w:color w:val="000000"/>
          <w:sz w:val="20"/>
          <w:szCs w:val="20"/>
          <w:lang w:eastAsia="es-MX"/>
        </w:rPr>
        <w:t>concesiones y las autorizaciones se podrán revocar por</w:t>
      </w:r>
      <w:r w:rsidRPr="00B73F9F">
        <w:rPr>
          <w:rFonts w:ascii="ITC Avant Garde" w:eastAsia="Times New Roman" w:hAnsi="ITC Avant Garde"/>
          <w:bCs/>
          <w:i/>
          <w:color w:val="000000"/>
          <w:sz w:val="20"/>
          <w:szCs w:val="20"/>
          <w:lang w:eastAsia="es-MX"/>
        </w:rPr>
        <w:t xml:space="preserve"> cualquiera de las causas siguientes:</w:t>
      </w:r>
    </w:p>
    <w:p w14:paraId="254BFCF7"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lastRenderedPageBreak/>
        <w:t>(…)</w:t>
      </w:r>
    </w:p>
    <w:p w14:paraId="469250EE"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t>III. No cumplir las obligaciones o condiciones</w:t>
      </w:r>
      <w:r w:rsidRPr="00B73F9F">
        <w:rPr>
          <w:rFonts w:ascii="ITC Avant Garde" w:eastAsia="Times New Roman" w:hAnsi="ITC Avant Garde"/>
          <w:bCs/>
          <w:i/>
          <w:color w:val="000000"/>
          <w:sz w:val="20"/>
          <w:szCs w:val="20"/>
          <w:lang w:eastAsia="es-MX"/>
        </w:rPr>
        <w:t xml:space="preserve"> establecidas en la concesión o autorización </w:t>
      </w:r>
      <w:r w:rsidRPr="00B73F9F">
        <w:rPr>
          <w:rFonts w:ascii="ITC Avant Garde" w:eastAsia="Times New Roman" w:hAnsi="ITC Avant Garde"/>
          <w:b/>
          <w:bCs/>
          <w:i/>
          <w:color w:val="000000"/>
          <w:sz w:val="20"/>
          <w:szCs w:val="20"/>
          <w:lang w:eastAsia="es-MX"/>
        </w:rPr>
        <w:t>en las que se establezcan expresamente que su incumplimiento será causa de revocación”</w:t>
      </w:r>
    </w:p>
    <w:p w14:paraId="4CE523C8"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w:t>
      </w:r>
      <w:r w:rsidRPr="0000479B">
        <w:rPr>
          <w:rFonts w:ascii="ITC Avant Garde" w:eastAsia="Times New Roman" w:hAnsi="ITC Avant Garde"/>
          <w:bCs/>
          <w:color w:val="000000"/>
          <w:lang w:eastAsia="es-MX"/>
        </w:rPr>
        <w:t xml:space="preserve">en el propio </w:t>
      </w:r>
      <w:r w:rsidRPr="008A2C3C">
        <w:rPr>
          <w:rFonts w:ascii="ITC Avant Garde" w:eastAsia="Times New Roman" w:hAnsi="ITC Avant Garde"/>
          <w:b/>
          <w:bCs/>
          <w:noProof/>
          <w:color w:val="000000"/>
          <w:lang w:eastAsia="es-MX"/>
        </w:rPr>
        <w:t>"PERMISO"</w:t>
      </w:r>
      <w:r>
        <w:rPr>
          <w:rFonts w:ascii="ITC Avant Garde" w:eastAsia="Times New Roman" w:hAnsi="ITC Avant Garde"/>
          <w:b/>
          <w:bCs/>
          <w:color w:val="000000"/>
          <w:lang w:eastAsia="es-MX"/>
        </w:rPr>
        <w:t xml:space="preserve"> </w:t>
      </w:r>
      <w:r w:rsidRPr="0000479B">
        <w:rPr>
          <w:rFonts w:ascii="ITC Avant Garde" w:eastAsia="Times New Roman" w:hAnsi="ITC Avant Garde"/>
          <w:bCs/>
          <w:color w:val="000000"/>
          <w:lang w:eastAsia="es-MX"/>
        </w:rPr>
        <w:t xml:space="preserve">se establece por un lado la obligación de cubrir cuotas establecidas en la </w:t>
      </w:r>
      <w:r w:rsidRPr="0000479B">
        <w:rPr>
          <w:rFonts w:ascii="ITC Avant Garde" w:eastAsia="Times New Roman" w:hAnsi="ITC Avant Garde"/>
          <w:b/>
          <w:bCs/>
          <w:color w:val="000000"/>
          <w:lang w:eastAsia="es-MX"/>
        </w:rPr>
        <w:t xml:space="preserve">“LFD” </w:t>
      </w:r>
      <w:r w:rsidRPr="0000479B">
        <w:rPr>
          <w:rFonts w:ascii="ITC Avant Garde" w:eastAsia="Times New Roman" w:hAnsi="ITC Avant Garde"/>
          <w:bCs/>
          <w:color w:val="000000"/>
          <w:lang w:eastAsia="es-MX"/>
        </w:rPr>
        <w:t xml:space="preserve">por el uso del espectro radioeléctrico, y </w:t>
      </w:r>
      <w:r>
        <w:rPr>
          <w:rFonts w:ascii="ITC Avant Garde" w:eastAsia="Times New Roman" w:hAnsi="ITC Avant Garde"/>
          <w:bCs/>
          <w:color w:val="000000"/>
          <w:lang w:eastAsia="es-MX"/>
        </w:rPr>
        <w:t xml:space="preserve">por </w:t>
      </w:r>
      <w:r w:rsidRPr="0000479B">
        <w:rPr>
          <w:rFonts w:ascii="ITC Avant Garde" w:eastAsia="Times New Roman" w:hAnsi="ITC Avant Garde"/>
          <w:bCs/>
          <w:color w:val="000000"/>
          <w:lang w:eastAsia="es-MX"/>
        </w:rPr>
        <w:t>otro precisa que el incumplimiento de las obligaciones establecidas en sus respectivas condiciones será causal de revocación, al efecto, las citadas condiciones señalan de manera textual lo siguiente:</w:t>
      </w:r>
    </w:p>
    <w:p w14:paraId="6DAE2F9F" w14:textId="77777777" w:rsidR="00327D0C" w:rsidRDefault="00CB7F8D" w:rsidP="00327D0C">
      <w:pPr>
        <w:pStyle w:val="Textoindependiente"/>
        <w:numPr>
          <w:ilvl w:val="0"/>
          <w:numId w:val="17"/>
        </w:numPr>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PERMISOS</w:t>
      </w:r>
    </w:p>
    <w:p w14:paraId="72DF0FC3" w14:textId="490C087B"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 xml:space="preserve">Condición </w:t>
      </w:r>
      <w:r w:rsidRPr="008A2C3C">
        <w:rPr>
          <w:rFonts w:ascii="ITC Avant Garde" w:eastAsia="Times New Roman" w:hAnsi="ITC Avant Garde"/>
          <w:b/>
          <w:bCs/>
          <w:i/>
          <w:noProof/>
          <w:color w:val="000000"/>
          <w:sz w:val="20"/>
          <w:szCs w:val="20"/>
          <w:lang w:eastAsia="es-MX"/>
        </w:rPr>
        <w:t>DÉCIMA TERCERA</w:t>
      </w:r>
      <w:r>
        <w:rPr>
          <w:rFonts w:ascii="ITC Avant Garde" w:eastAsia="Times New Roman" w:hAnsi="ITC Avant Garde"/>
          <w:b/>
          <w:bCs/>
          <w:i/>
          <w:color w:val="000000"/>
          <w:sz w:val="20"/>
          <w:szCs w:val="20"/>
          <w:lang w:eastAsia="es-MX"/>
        </w:rPr>
        <w:t>:</w:t>
      </w:r>
    </w:p>
    <w:p w14:paraId="4BE34CD5"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Cs/>
          <w:i/>
          <w:noProof/>
          <w:color w:val="000000"/>
          <w:sz w:val="20"/>
          <w:szCs w:val="20"/>
          <w:lang w:eastAsia="es-MX"/>
        </w:rPr>
        <w:t>"DÉCIMA TERCERA.- LA PERMISIONARIA deberá cubrir  las cuotas establecidas en la Ley Federal de Derechos, por concepto de: estudio técnico, otorgamiento del permiso, visitas de inspección, cuota anual por el uso del espectro radioeléctrico, correspondiente al sistema de radiocomunicación privada."</w:t>
      </w:r>
    </w:p>
    <w:p w14:paraId="383AB23E"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 xml:space="preserve">Condición </w:t>
      </w:r>
      <w:r w:rsidRPr="008A2C3C">
        <w:rPr>
          <w:rFonts w:ascii="ITC Avant Garde" w:eastAsia="Times New Roman" w:hAnsi="ITC Avant Garde"/>
          <w:b/>
          <w:bCs/>
          <w:i/>
          <w:noProof/>
          <w:color w:val="000000"/>
          <w:sz w:val="20"/>
          <w:szCs w:val="20"/>
          <w:lang w:eastAsia="es-MX"/>
        </w:rPr>
        <w:t>DÉCIMA QUINTA</w:t>
      </w:r>
      <w:r>
        <w:rPr>
          <w:rFonts w:ascii="ITC Avant Garde" w:eastAsia="Times New Roman" w:hAnsi="ITC Avant Garde"/>
          <w:b/>
          <w:bCs/>
          <w:i/>
          <w:color w:val="000000"/>
          <w:sz w:val="20"/>
          <w:szCs w:val="20"/>
          <w:lang w:eastAsia="es-MX"/>
        </w:rPr>
        <w:t>:</w:t>
      </w:r>
    </w:p>
    <w:p w14:paraId="0137C2EA" w14:textId="77777777" w:rsidR="00327D0C"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8A2C3C">
        <w:rPr>
          <w:rFonts w:ascii="ITC Avant Garde" w:eastAsia="Times New Roman" w:hAnsi="ITC Avant Garde"/>
          <w:bCs/>
          <w:i/>
          <w:noProof/>
          <w:color w:val="000000"/>
          <w:sz w:val="20"/>
          <w:szCs w:val="20"/>
          <w:lang w:eastAsia="es-MX"/>
        </w:rPr>
        <w:t>"DÉCIMA QUINTA.- Este permiso estará vigente hasta que LA PERMISIONARIA deje de operar el sistema autorizado y podrá ser revocado por incumplimiento de las condiciones establecidas en el mismo o por razones de interés público, siguiendo el procedimiento que establece el Artículo 34 de la Ley de Vías Generales de Comunicación."</w:t>
      </w:r>
    </w:p>
    <w:p w14:paraId="700BA749"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2BA148C1" w14:textId="77777777" w:rsidR="00327D0C" w:rsidRDefault="00CB7F8D" w:rsidP="00327D0C">
      <w:pPr>
        <w:pStyle w:val="Textoindependiente"/>
        <w:spacing w:after="240" w:line="360" w:lineRule="auto"/>
        <w:jc w:val="both"/>
        <w:rPr>
          <w:rFonts w:ascii="ITC Avant Garde" w:hAnsi="ITC Avant Garde"/>
          <w:i/>
          <w:color w:val="000000"/>
        </w:rPr>
      </w:pPr>
      <w:r>
        <w:rPr>
          <w:rFonts w:ascii="ITC Avant Garde" w:eastAsia="Times New Roman" w:hAnsi="ITC Avant Garde"/>
          <w:bCs/>
          <w:color w:val="000000"/>
          <w:lang w:eastAsia="es-MX"/>
        </w:rPr>
        <w:lastRenderedPageBreak/>
        <w:t xml:space="preserve">Por otra parte, resulta importante mencionar que para el ejercicio de la facultad sancionadora en el caso de incumplimiento de las obligaciones establecidas en las condiciones de </w:t>
      </w:r>
      <w:r w:rsidRPr="008A2C3C">
        <w:rPr>
          <w:rFonts w:ascii="ITC Avant Garde" w:eastAsia="Times New Roman" w:hAnsi="ITC Avant Garde"/>
          <w:b/>
          <w:bCs/>
          <w:noProof/>
          <w:color w:val="000000"/>
          <w:lang w:eastAsia="es-MX"/>
        </w:rPr>
        <w:t>"EL PERMISO"</w:t>
      </w:r>
      <w:r>
        <w:rPr>
          <w:rFonts w:ascii="ITC Avant Garde" w:eastAsia="Times New Roman" w:hAnsi="ITC Avant Garde"/>
          <w:bCs/>
          <w:color w:val="000000"/>
          <w:lang w:eastAsia="es-MX"/>
        </w:rPr>
        <w:t xml:space="preserve"> o en las disposiciones legales y/o administrativas relacionadas con la misma, el artículo 297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la cual prevé dentro de su Título Cuarto, el procedimiento para la imposición de sanciones.</w:t>
      </w:r>
    </w:p>
    <w:p w14:paraId="349CC6E5"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previamente a la imposición de la misma, la autoridad competente notifique a</w:t>
      </w:r>
      <w:r>
        <w:rPr>
          <w:rFonts w:ascii="ITC Avant Garde" w:hAnsi="ITC Avant Garde"/>
          <w:color w:val="000000"/>
          <w:lang w:eastAsia="es-MX"/>
        </w:rPr>
        <w:t xml:space="preserve">l </w:t>
      </w:r>
      <w:r>
        <w:rPr>
          <w:rFonts w:ascii="ITC Avant Garde" w:eastAsia="Times New Roman" w:hAnsi="ITC Avant Garde"/>
          <w:b/>
          <w:bCs/>
          <w:noProof/>
          <w:color w:val="000000"/>
          <w:lang w:eastAsia="es-MX"/>
        </w:rPr>
        <w:t>PRESUNTO INFRACTOR</w:t>
      </w:r>
      <w:r>
        <w:rPr>
          <w:rFonts w:ascii="ITC Avant Garde" w:hAnsi="ITC Avant Garde"/>
        </w:rPr>
        <w:t xml:space="preserve"> </w:t>
      </w:r>
      <w:r>
        <w:rPr>
          <w:rFonts w:ascii="ITC Avant Garde" w:eastAsia="Times New Roman" w:hAnsi="ITC Avant Garde"/>
          <w:bCs/>
          <w:color w:val="000000"/>
          <w:lang w:eastAsia="es-MX"/>
        </w:rPr>
        <w:t>el inicio del procedimiento respectivo, otorgando al efecto un plazo de quince días hábiles para que exponga lo que a su derecho convenga, y en su caso aporte las pruebas con que cuente.</w:t>
      </w:r>
    </w:p>
    <w:p w14:paraId="43EEED09"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las cosas, al iniciarse el procedimiento administrativo de revocación en contra </w:t>
      </w:r>
      <w:r w:rsidRPr="0004662C">
        <w:rPr>
          <w:rFonts w:ascii="ITC Avant Garde" w:hAnsi="ITC Avant Garde"/>
          <w:noProof/>
          <w:color w:val="000000"/>
          <w:lang w:eastAsia="es-MX"/>
        </w:rPr>
        <w:t xml:space="preserve">de </w:t>
      </w:r>
      <w:r w:rsidRPr="008A2C3C">
        <w:rPr>
          <w:rFonts w:ascii="ITC Avant Garde" w:hAnsi="ITC Avant Garde"/>
          <w:b/>
          <w:noProof/>
          <w:color w:val="000000"/>
          <w:lang w:eastAsia="es-MX"/>
        </w:rPr>
        <w:t>PORFIRIO TORRES PERALTA</w:t>
      </w:r>
      <w:r>
        <w:rPr>
          <w:rFonts w:ascii="ITC Avant Garde" w:hAnsi="ITC Avant Garde"/>
          <w:b/>
          <w:caps/>
        </w:rPr>
        <w:t xml:space="preserve"> </w:t>
      </w:r>
      <w:r>
        <w:rPr>
          <w:rFonts w:ascii="ITC Avant Garde" w:eastAsia="Times New Roman" w:hAnsi="ITC Avant Garde"/>
          <w:bCs/>
          <w:color w:val="000000"/>
          <w:lang w:eastAsia="es-MX"/>
        </w:rPr>
        <w:t xml:space="preserve">se presumió el incumplimiento a la condición </w:t>
      </w:r>
      <w:r w:rsidRPr="008A2C3C">
        <w:rPr>
          <w:rFonts w:ascii="ITC Avant Garde" w:eastAsia="Times New Roman" w:hAnsi="ITC Avant Garde"/>
          <w:b/>
          <w:bCs/>
          <w:noProof/>
          <w:color w:val="000000"/>
          <w:lang w:eastAsia="es-MX"/>
        </w:rPr>
        <w:t>DÉCIMA TERCERA</w:t>
      </w:r>
      <w:r w:rsidRPr="003C53AC">
        <w:rPr>
          <w:rFonts w:ascii="ITC Avant Garde" w:eastAsia="Times New Roman" w:hAnsi="ITC Avant Garde"/>
          <w:b/>
          <w:bCs/>
          <w:color w:val="000000"/>
          <w:lang w:eastAsia="es-MX"/>
        </w:rPr>
        <w:t xml:space="preserve"> </w:t>
      </w:r>
      <w:r>
        <w:rPr>
          <w:rFonts w:ascii="ITC Avant Garde" w:hAnsi="ITC Avant Garde"/>
          <w:color w:val="000000"/>
          <w:lang w:eastAsia="es-MX"/>
        </w:rPr>
        <w:t xml:space="preserve">de </w:t>
      </w:r>
      <w:r w:rsidRPr="008A2C3C">
        <w:rPr>
          <w:rFonts w:ascii="ITC Avant Garde" w:hAnsi="ITC Avant Garde"/>
          <w:b/>
          <w:noProof/>
          <w:color w:val="000000"/>
          <w:lang w:eastAsia="es-MX"/>
        </w:rPr>
        <w:t>"EL PERMISO"</w:t>
      </w:r>
      <w:r>
        <w:rPr>
          <w:rFonts w:ascii="ITC Avant Garde" w:hAnsi="ITC Avant Garde"/>
          <w:color w:val="000000"/>
          <w:lang w:eastAsia="es-MX"/>
        </w:rPr>
        <w:t xml:space="preserve">, en relación con los artículos 239 y 240 de la </w:t>
      </w:r>
      <w:r>
        <w:rPr>
          <w:rFonts w:ascii="ITC Avant Garde" w:hAnsi="ITC Avant Garde"/>
          <w:b/>
          <w:color w:val="000000"/>
          <w:lang w:eastAsia="es-MX"/>
        </w:rPr>
        <w:t>“LFD”</w:t>
      </w:r>
      <w:r>
        <w:rPr>
          <w:rFonts w:ascii="ITC Avant Garde" w:hAnsi="ITC Avant Garde"/>
          <w:color w:val="000000"/>
          <w:lang w:eastAsia="es-MX"/>
        </w:rPr>
        <w:t xml:space="preserve"> por la falta de </w:t>
      </w:r>
      <w:r>
        <w:rPr>
          <w:rFonts w:ascii="ITC Avant Garde" w:eastAsia="Times New Roman" w:hAnsi="ITC Avant Garde"/>
          <w:bCs/>
          <w:lang w:eastAsia="es-MX"/>
        </w:rPr>
        <w:t>pago de la cuota anual por el uso y/o aprovechamiento del espectro radioeléctrico, respecto de varios ejercicios fiscales</w:t>
      </w:r>
      <w:r>
        <w:rPr>
          <w:rFonts w:ascii="ITC Avant Garde" w:hAnsi="ITC Avant Garde" w:cs="Arial"/>
        </w:rPr>
        <w:t>.</w:t>
      </w:r>
    </w:p>
    <w:p w14:paraId="16E43C4C"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a través del acuerdo de inicio de procedimiento administrativo de revocación, la Unidad de Cumplimiento dio a conocer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hAnsi="ITC Avant Garde"/>
          <w:b/>
          <w:noProof/>
          <w:color w:val="000000"/>
          <w:lang w:eastAsia="es-MX"/>
        </w:rPr>
        <w:t>PORFIRIO TORRES PERALTA</w:t>
      </w:r>
      <w:r>
        <w:rPr>
          <w:rFonts w:ascii="ITC Avant Garde" w:eastAsia="Times New Roman" w:hAnsi="ITC Avant Garde"/>
          <w:b/>
          <w:bCs/>
          <w:noProof/>
          <w:color w:val="000000"/>
          <w:lang w:eastAsia="es-MX"/>
        </w:rPr>
        <w:t xml:space="preserve"> </w:t>
      </w:r>
      <w:r>
        <w:rPr>
          <w:rFonts w:ascii="ITC Avant Garde" w:eastAsia="Times New Roman" w:hAnsi="ITC Avant Garde"/>
          <w:bCs/>
          <w:color w:val="000000"/>
          <w:lang w:eastAsia="es-MX"/>
        </w:rPr>
        <w:t xml:space="preserve">la conducta que presuntamente infringe las condiciones de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así como las disposiciones legales aplicables, y la consecuencia prevista en ley por la comisión de la misma. Por ello, se le otorgó un término de quince días hábiles para que en uso de su garantía de audiencia rindiera las pruebas y manifestara por escrito lo que a su derecho conviniera. Lo anterior de conformidad con el artículo 14 de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w:t>
      </w:r>
    </w:p>
    <w:p w14:paraId="474BAB8A"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Concluido el periodo de pruebas, de acuerdo con lo que dispone el artículo 56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la Unidad de Cumplimiento puso las actuaciones a disposición del interesado, para que este formulara sus alegatos.</w:t>
      </w:r>
    </w:p>
    <w:p w14:paraId="5C157B82"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Una vez desahogado el periodo probatorio y vencido el plazo para formular alegatos, la Unidad de Cumplimiento remitió </w:t>
      </w:r>
      <w:r>
        <w:rPr>
          <w:rFonts w:ascii="ITC Avant Garde" w:eastAsia="Times New Roman" w:hAnsi="ITC Avant Garde"/>
          <w:bCs/>
          <w:lang w:eastAsia="es-MX"/>
        </w:rPr>
        <w:t xml:space="preserve">el expediente de mérito </w:t>
      </w:r>
      <w:r>
        <w:rPr>
          <w:rFonts w:ascii="ITC Avant Garde" w:eastAsia="Times New Roman" w:hAnsi="ITC Avant Garde"/>
          <w:bCs/>
          <w:color w:val="000000"/>
          <w:lang w:eastAsia="es-MX"/>
        </w:rPr>
        <w:t xml:space="preserve">en estado de Resolución al Pleno de este </w:t>
      </w:r>
      <w:r w:rsidRPr="00393609">
        <w:rPr>
          <w:rFonts w:ascii="ITC Avant Garde" w:eastAsia="Times New Roman" w:hAnsi="ITC Avant Garde"/>
          <w:b/>
          <w:bCs/>
          <w:color w:val="000000"/>
          <w:lang w:eastAsia="es-MX"/>
        </w:rPr>
        <w:t>“IFT”</w:t>
      </w:r>
      <w:r w:rsidRPr="00C97A38">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el cual se encuentra facultado para dictar la Resolución que en derecho corresponda.</w:t>
      </w:r>
    </w:p>
    <w:p w14:paraId="32A2749F"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ese contexto, el procedimiento administrativo de revocación que se sustancia se realizó conforme a los términos y principios procesales que establece la </w:t>
      </w:r>
      <w:r>
        <w:rPr>
          <w:rFonts w:ascii="ITC Avant Garde" w:eastAsia="Times New Roman" w:hAnsi="ITC Avant Garde"/>
          <w:b/>
          <w:bCs/>
          <w:color w:val="000000"/>
          <w:lang w:eastAsia="es-MX"/>
        </w:rPr>
        <w:t>“</w:t>
      </w:r>
      <w:r>
        <w:rPr>
          <w:rFonts w:ascii="ITC Avant Garde" w:hAnsi="ITC Avant Garde"/>
          <w:b/>
          <w:color w:val="000000"/>
        </w:rPr>
        <w:t xml:space="preserve">LFPA” </w:t>
      </w:r>
      <w:r>
        <w:rPr>
          <w:rFonts w:ascii="ITC Avant Garde" w:eastAsia="Times New Roman" w:hAnsi="ITC Avant Garde"/>
          <w:bCs/>
          <w:color w:val="000000"/>
          <w:lang w:eastAsia="es-MX"/>
        </w:rPr>
        <w:t>consistentes en: i) otorgar garantía de audiencia; ii) desahogar pruebas; iii) recibir alegatos, y iv) emitir la Resolución que en derecho corresponda.</w:t>
      </w:r>
      <w:r>
        <w:rPr>
          <w:rStyle w:val="Refdenotaalpie"/>
          <w:rFonts w:ascii="ITC Avant Garde" w:eastAsia="Times New Roman" w:hAnsi="ITC Avant Garde"/>
          <w:bCs/>
          <w:color w:val="000000"/>
          <w:lang w:eastAsia="es-MX"/>
        </w:rPr>
        <w:footnoteReference w:id="3"/>
      </w:r>
      <w:r>
        <w:rPr>
          <w:rFonts w:ascii="ITC Avant Garde" w:eastAsia="Times New Roman" w:hAnsi="ITC Avant Garde"/>
          <w:bCs/>
          <w:color w:val="000000"/>
          <w:lang w:eastAsia="es-MX"/>
        </w:rPr>
        <w:t xml:space="preserve"> Lo anterior, con independencia de que </w:t>
      </w:r>
      <w:r w:rsidRPr="008A2C3C">
        <w:rPr>
          <w:rFonts w:ascii="ITC Avant Garde" w:eastAsia="Times New Roman" w:hAnsi="ITC Avant Garde"/>
          <w:b/>
          <w:bCs/>
          <w:noProof/>
          <w:color w:val="000000"/>
          <w:lang w:eastAsia="es-MX"/>
        </w:rPr>
        <w:t>PORFIRIO TORRES PERALTA</w:t>
      </w:r>
      <w:r>
        <w:rPr>
          <w:rFonts w:ascii="ITC Avant Garde" w:hAnsi="ITC Avant Garde"/>
          <w:b/>
          <w:caps/>
        </w:rPr>
        <w:t xml:space="preserve"> </w:t>
      </w:r>
      <w:r>
        <w:rPr>
          <w:rFonts w:ascii="ITC Avant Garde" w:eastAsia="Times New Roman" w:hAnsi="ITC Avant Garde"/>
          <w:bCs/>
          <w:color w:val="000000"/>
          <w:lang w:eastAsia="es-MX"/>
        </w:rPr>
        <w:t>no formuló manifestaciones ni ofreció pruebas, asimismo no presentó alegatos a su favor.</w:t>
      </w:r>
    </w:p>
    <w:p w14:paraId="34189D8C" w14:textId="77777777" w:rsidR="00327D0C" w:rsidRDefault="00CB7F8D" w:rsidP="00327D0C">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las relatadas condiciones, al tramitarse el procedimiento administrativo de revocación en los términos antes precisados, debe tenerse por satisfecho el cumplimiento de lo dispuesto en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las leyes ordinarias y los criterios judiciales que señalan cuál debe ser el actuar de la autoridad para resolver el presente caso.</w:t>
      </w:r>
    </w:p>
    <w:p w14:paraId="1EA1459A" w14:textId="4E65D7E7" w:rsidR="00327D0C" w:rsidRDefault="00CB7F8D" w:rsidP="00327D0C">
      <w:pPr>
        <w:pStyle w:val="Textoindependiente"/>
        <w:tabs>
          <w:tab w:val="left" w:pos="851"/>
        </w:tabs>
        <w:spacing w:after="240" w:line="360" w:lineRule="auto"/>
        <w:jc w:val="both"/>
        <w:rPr>
          <w:rFonts w:ascii="ITC Avant Garde" w:eastAsia="Times New Roman" w:hAnsi="ITC Avant Garde"/>
          <w:b/>
          <w:bCs/>
          <w:smallCaps/>
          <w:color w:val="000000" w:themeColor="text1"/>
          <w:lang w:eastAsia="es-MX"/>
        </w:rPr>
      </w:pPr>
      <w:r w:rsidRPr="00254912">
        <w:rPr>
          <w:rFonts w:ascii="ITC Avant Garde" w:eastAsia="Times New Roman" w:hAnsi="ITC Avant Garde"/>
          <w:b/>
          <w:bCs/>
          <w:color w:val="000000" w:themeColor="text1"/>
          <w:lang w:eastAsia="es-MX"/>
        </w:rPr>
        <w:t>TERCERO. HECHOS MOTIVO DE</w:t>
      </w:r>
      <w:r w:rsidRPr="00254912">
        <w:rPr>
          <w:rFonts w:ascii="ITC Avant Garde" w:eastAsia="Times New Roman" w:hAnsi="ITC Avant Garde"/>
          <w:b/>
          <w:bCs/>
          <w:smallCaps/>
          <w:color w:val="000000" w:themeColor="text1"/>
          <w:lang w:eastAsia="es-MX"/>
        </w:rPr>
        <w:t>L PROCEDIMIENTO ADMINISTRATIVO DE REVOCACIÓN.</w:t>
      </w:r>
    </w:p>
    <w:p w14:paraId="5F786A6C" w14:textId="77777777" w:rsidR="00327D0C" w:rsidRDefault="00CB7F8D" w:rsidP="00327D0C">
      <w:pPr>
        <w:spacing w:after="240" w:line="360" w:lineRule="auto"/>
        <w:jc w:val="both"/>
        <w:rPr>
          <w:rFonts w:ascii="ITC Avant Garde" w:hAnsi="ITC Avant Garde" w:cs="Arial"/>
        </w:rPr>
      </w:pPr>
      <w:r>
        <w:rPr>
          <w:rFonts w:ascii="ITC Avant Garde" w:hAnsi="ITC Avant Garde"/>
          <w:color w:val="000000" w:themeColor="text1"/>
        </w:rPr>
        <w:t xml:space="preserve">Derivado del </w:t>
      </w:r>
      <w:r>
        <w:rPr>
          <w:rFonts w:ascii="ITC Avant Garde" w:hAnsi="ITC Avant Garde" w:cs="Arial"/>
        </w:rPr>
        <w:t xml:space="preserve">ejercicio de las facultades de supervisión que tiene atribuidas la </w:t>
      </w:r>
      <w:r>
        <w:rPr>
          <w:rFonts w:ascii="ITC Avant Garde" w:hAnsi="ITC Avant Garde" w:cs="Arial"/>
          <w:b/>
        </w:rPr>
        <w:t>“DG-SUV”</w:t>
      </w:r>
      <w:r>
        <w:rPr>
          <w:rFonts w:ascii="ITC Avant Garde" w:hAnsi="ITC Avant Garde" w:cs="Arial"/>
        </w:rPr>
        <w:t xml:space="preserve">, se llevó a cabo por dicha Dirección General una revisión al expediente abierto en este </w:t>
      </w:r>
      <w:r w:rsidRPr="00393609">
        <w:rPr>
          <w:rFonts w:ascii="ITC Avant Garde" w:hAnsi="ITC Avant Garde" w:cs="Arial"/>
          <w:b/>
        </w:rPr>
        <w:t>“IFT”</w:t>
      </w:r>
      <w:r>
        <w:rPr>
          <w:rFonts w:ascii="ITC Avant Garde" w:hAnsi="ITC Avant Garde" w:cs="Arial"/>
        </w:rPr>
        <w:t xml:space="preserve"> a nombre </w:t>
      </w:r>
      <w:r w:rsidRPr="0004662C">
        <w:rPr>
          <w:rFonts w:ascii="ITC Avant Garde" w:eastAsia="Times New Roman" w:hAnsi="ITC Avant Garde"/>
          <w:bCs/>
          <w:noProof/>
          <w:color w:val="000000"/>
          <w:lang w:eastAsia="es-MX"/>
        </w:rPr>
        <w:t xml:space="preserve">de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noProof/>
          <w:color w:val="000000"/>
          <w:lang w:eastAsia="es-MX"/>
        </w:rPr>
        <w:t xml:space="preserve"> </w:t>
      </w:r>
      <w:r w:rsidRPr="00F54548">
        <w:rPr>
          <w:rFonts w:ascii="ITC Avant Garde" w:eastAsia="Times New Roman" w:hAnsi="ITC Avant Garde"/>
          <w:bCs/>
          <w:noProof/>
          <w:color w:val="000000"/>
          <w:lang w:eastAsia="es-MX"/>
        </w:rPr>
        <w:t>a fin de supervisar el cumplimiento de las obligaciones a su cargo,</w:t>
      </w:r>
      <w:r>
        <w:rPr>
          <w:rFonts w:ascii="ITC Avant Garde" w:eastAsia="Times New Roman" w:hAnsi="ITC Avant Garde"/>
          <w:b/>
          <w:bCs/>
          <w:noProof/>
          <w:color w:val="000000"/>
          <w:lang w:eastAsia="es-MX"/>
        </w:rPr>
        <w:t xml:space="preserve"> </w:t>
      </w:r>
      <w:r>
        <w:rPr>
          <w:rFonts w:ascii="ITC Avant Garde" w:hAnsi="ITC Avant Garde" w:cs="Arial"/>
        </w:rPr>
        <w:t xml:space="preserve">de lo cual la </w:t>
      </w:r>
      <w:r>
        <w:rPr>
          <w:rFonts w:ascii="ITC Avant Garde" w:hAnsi="ITC Avant Garde" w:cs="Arial"/>
          <w:b/>
        </w:rPr>
        <w:t>“DG-SUV”</w:t>
      </w:r>
      <w:r>
        <w:rPr>
          <w:rFonts w:ascii="ITC Avant Garde" w:hAnsi="ITC Avant Garde" w:cs="Arial"/>
        </w:rPr>
        <w:t xml:space="preserve"> advirtió lo siguiente:</w:t>
      </w:r>
    </w:p>
    <w:p w14:paraId="357FEC6C" w14:textId="77777777" w:rsidR="00327D0C" w:rsidRDefault="00CB7F8D" w:rsidP="00327D0C">
      <w:pPr>
        <w:spacing w:after="240" w:line="360" w:lineRule="auto"/>
        <w:jc w:val="both"/>
        <w:rPr>
          <w:rFonts w:ascii="ITC Avant Garde" w:hAnsi="ITC Avant Garde" w:cs="Arial"/>
        </w:rPr>
      </w:pPr>
      <w:r w:rsidRPr="00883B6E">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IFT/225/UC/DG-SUV/3254/2016</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veintisiete de mayo de dos mil dieciséis</w:t>
      </w:r>
      <w:r w:rsidRPr="00883B6E">
        <w:rPr>
          <w:rFonts w:ascii="ITC Avant Garde" w:eastAsia="Times New Roman" w:hAnsi="ITC Avant Garde"/>
          <w:bCs/>
          <w:color w:val="000000"/>
          <w:lang w:eastAsia="es-MX"/>
        </w:rPr>
        <w:t xml:space="preserve">, la </w:t>
      </w:r>
      <w:r>
        <w:rPr>
          <w:rFonts w:ascii="ITC Avant Garde" w:eastAsia="Times New Roman" w:hAnsi="ITC Avant Garde"/>
          <w:b/>
          <w:bCs/>
          <w:color w:val="000000"/>
          <w:lang w:eastAsia="es-MX"/>
        </w:rPr>
        <w:t>“DG-SUV”</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en ejercicio de las atribuciones previstas en el artículo 42, fracciones VII y VIII del Estatuto Orgánico del Instituto Federal de Telecomunicaciones solicitó </w:t>
      </w:r>
      <w:r w:rsidRPr="008A2C3C">
        <w:rPr>
          <w:rFonts w:ascii="ITC Avant Garde" w:eastAsia="Times New Roman" w:hAnsi="ITC Avant Garde"/>
          <w:bCs/>
          <w:noProof/>
          <w:color w:val="000000"/>
          <w:lang w:eastAsia="es-MX"/>
        </w:rPr>
        <w:t>a</w:t>
      </w:r>
      <w:r w:rsidRPr="00883B6E">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sidRPr="00883B6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presentara</w:t>
      </w:r>
      <w:r w:rsidRPr="00883B6E">
        <w:rPr>
          <w:rFonts w:ascii="ITC Avant Garde" w:eastAsia="Times New Roman" w:hAnsi="ITC Avant Garde"/>
          <w:bCs/>
          <w:color w:val="000000"/>
          <w:lang w:eastAsia="es-MX"/>
        </w:rPr>
        <w:t xml:space="preserve"> la información y documentación que</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acreditara el cumplimiento de la obligación de pago de derechos por el uso de </w:t>
      </w:r>
      <w:r w:rsidRPr="00883B6E">
        <w:rPr>
          <w:rFonts w:ascii="ITC Avant Garde" w:eastAsia="Times New Roman" w:hAnsi="ITC Avant Garde"/>
          <w:bCs/>
          <w:color w:val="000000"/>
          <w:lang w:eastAsia="es-MX"/>
        </w:rPr>
        <w:lastRenderedPageBreak/>
        <w:t xml:space="preserve">frecuencias del espectro radioeléctrico previsto en la condición </w:t>
      </w:r>
      <w:r w:rsidRPr="008A2C3C">
        <w:rPr>
          <w:rFonts w:ascii="ITC Avant Garde" w:eastAsia="Times New Roman" w:hAnsi="ITC Avant Garde"/>
          <w:b/>
          <w:bCs/>
          <w:noProof/>
          <w:color w:val="000000"/>
          <w:lang w:eastAsia="es-MX"/>
        </w:rPr>
        <w:t>DÉCIMA TERCERA</w:t>
      </w:r>
      <w:r w:rsidRPr="00883B6E">
        <w:rPr>
          <w:rFonts w:ascii="ITC Avant Garde" w:eastAsia="Times New Roman" w:hAnsi="ITC Avant Garde"/>
          <w:bCs/>
          <w:color w:val="000000"/>
          <w:lang w:eastAsia="es-MX"/>
        </w:rPr>
        <w:t xml:space="preserve"> de </w:t>
      </w:r>
      <w:r w:rsidRPr="00883B6E">
        <w:rPr>
          <w:rFonts w:ascii="ITC Avant Garde" w:eastAsia="Times New Roman" w:hAnsi="ITC Avant Garde"/>
          <w:b/>
          <w:bCs/>
          <w:color w:val="000000"/>
          <w:lang w:eastAsia="es-MX"/>
        </w:rPr>
        <w:t xml:space="preserve">“EL PERMISO” </w:t>
      </w:r>
      <w:r w:rsidRPr="00883B6E">
        <w:rPr>
          <w:rFonts w:ascii="ITC Avant Garde" w:eastAsia="Times New Roman" w:hAnsi="ITC Avant Garde"/>
          <w:bCs/>
          <w:noProof/>
          <w:color w:val="000000"/>
          <w:lang w:eastAsia="es-MX"/>
        </w:rPr>
        <w:t xml:space="preserve">correspondiente </w:t>
      </w:r>
      <w:r w:rsidRPr="008A2C3C">
        <w:rPr>
          <w:rFonts w:ascii="ITC Avant Garde" w:eastAsia="Times New Roman" w:hAnsi="ITC Avant Garde"/>
          <w:bCs/>
          <w:noProof/>
          <w:color w:val="000000"/>
          <w:lang w:eastAsia="es-MX"/>
        </w:rPr>
        <w:t>a los años dos mil catorce y dos mil quince</w:t>
      </w:r>
      <w:r w:rsidRPr="00883B6E">
        <w:rPr>
          <w:rFonts w:ascii="ITC Avant Garde" w:eastAsia="Times New Roman" w:hAnsi="ITC Avant Garde"/>
          <w:bCs/>
          <w:color w:val="000000"/>
          <w:lang w:eastAsia="es-MX"/>
        </w:rPr>
        <w:t>.</w:t>
      </w:r>
    </w:p>
    <w:p w14:paraId="46E3E683"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w:t>
      </w:r>
      <w:r w:rsidRPr="00B0520D">
        <w:rPr>
          <w:rFonts w:ascii="ITC Avant Garde" w:eastAsia="Times New Roman" w:hAnsi="ITC Avant Garde"/>
          <w:bCs/>
          <w:color w:val="000000"/>
          <w:lang w:eastAsia="es-MX"/>
        </w:rPr>
        <w:t xml:space="preserve"> oficio </w:t>
      </w:r>
      <w:r w:rsidRPr="008A2C3C">
        <w:rPr>
          <w:rFonts w:ascii="ITC Avant Garde" w:eastAsia="Times New Roman" w:hAnsi="ITC Avant Garde"/>
          <w:b/>
          <w:bCs/>
          <w:noProof/>
          <w:color w:val="000000"/>
          <w:lang w:eastAsia="es-MX"/>
        </w:rPr>
        <w:t>IFT/225/UC/DG-SUV/4794/2016</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doce de septiembre de dos mil dieciséis</w:t>
      </w:r>
      <w:r>
        <w:rPr>
          <w:rFonts w:ascii="ITC Avant Garde" w:eastAsia="Times New Roman" w:hAnsi="ITC Avant Garde"/>
          <w:bCs/>
          <w:color w:val="000000"/>
          <w:lang w:eastAsia="es-MX"/>
        </w:rPr>
        <w:t xml:space="preserve"> y toda vez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color w:val="000000"/>
          <w:lang w:eastAsia="es-MX"/>
        </w:rPr>
        <w:t xml:space="preserve"> </w:t>
      </w:r>
      <w:r w:rsidRPr="00BE593A">
        <w:rPr>
          <w:rFonts w:ascii="ITC Avant Garde" w:eastAsia="Times New Roman" w:hAnsi="ITC Avant Garde"/>
          <w:bCs/>
          <w:color w:val="000000"/>
          <w:lang w:eastAsia="es-MX"/>
        </w:rPr>
        <w:t xml:space="preserve">no </w:t>
      </w:r>
      <w:r>
        <w:rPr>
          <w:rFonts w:ascii="ITC Avant Garde" w:eastAsia="Times New Roman" w:hAnsi="ITC Avant Garde"/>
          <w:bCs/>
          <w:color w:val="000000"/>
          <w:lang w:eastAsia="es-MX"/>
        </w:rPr>
        <w:t>atendió la solicitud a que se refiere el párrafo anterior</w:t>
      </w:r>
      <w:r w:rsidRPr="00B0520D">
        <w:rPr>
          <w:rFonts w:ascii="ITC Avant Garde" w:eastAsia="Times New Roman" w:hAnsi="ITC Avant Garde"/>
          <w:bCs/>
          <w:color w:val="000000"/>
          <w:lang w:eastAsia="es-MX"/>
        </w:rPr>
        <w:t xml:space="preserve">, la </w:t>
      </w:r>
      <w:r w:rsidRPr="00B0520D">
        <w:rPr>
          <w:rFonts w:ascii="ITC Avant Garde" w:eastAsia="Times New Roman" w:hAnsi="ITC Avant Garde"/>
          <w:b/>
          <w:bCs/>
          <w:color w:val="000000"/>
          <w:lang w:eastAsia="es-MX"/>
        </w:rPr>
        <w:t>“DG</w:t>
      </w:r>
      <w:r>
        <w:rPr>
          <w:rFonts w:ascii="ITC Avant Garde" w:eastAsia="Times New Roman" w:hAnsi="ITC Avant Garde"/>
          <w:b/>
          <w:bCs/>
          <w:color w:val="000000"/>
          <w:lang w:eastAsia="es-MX"/>
        </w:rPr>
        <w:t>-</w:t>
      </w:r>
      <w:r w:rsidRPr="00B0520D">
        <w:rPr>
          <w:rFonts w:ascii="ITC Avant Garde" w:eastAsia="Times New Roman" w:hAnsi="ITC Avant Garde"/>
          <w:b/>
          <w:bCs/>
          <w:color w:val="000000"/>
          <w:lang w:eastAsia="es-MX"/>
        </w:rPr>
        <w:t>S</w:t>
      </w:r>
      <w:r>
        <w:rPr>
          <w:rFonts w:ascii="ITC Avant Garde" w:eastAsia="Times New Roman" w:hAnsi="ITC Avant Garde"/>
          <w:b/>
          <w:bCs/>
          <w:color w:val="000000"/>
          <w:lang w:eastAsia="es-MX"/>
        </w:rPr>
        <w:t>UV</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ejercicio de las atribuciones previstas en el artículo 42, fracciones VII y VIII del Estatuto Orgánico del </w:t>
      </w:r>
      <w:r>
        <w:rPr>
          <w:rFonts w:ascii="ITC Avant Garde" w:eastAsia="Times New Roman" w:hAnsi="ITC Avant Garde"/>
          <w:b/>
          <w:bCs/>
          <w:color w:val="000000"/>
          <w:lang w:eastAsia="es-MX"/>
        </w:rPr>
        <w:t>“IFT”</w:t>
      </w:r>
      <w:r w:rsidRPr="00B0520D">
        <w:rPr>
          <w:rFonts w:ascii="ITC Avant Garde" w:eastAsia="Times New Roman" w:hAnsi="ITC Avant Garde"/>
          <w:bCs/>
          <w:color w:val="000000"/>
          <w:lang w:eastAsia="es-MX"/>
        </w:rPr>
        <w:t xml:space="preserve">, emitió la determinación de adeudos por omisión en el pago de derechos correspondiente </w:t>
      </w:r>
      <w:r w:rsidRPr="008A2C3C">
        <w:rPr>
          <w:rFonts w:ascii="ITC Avant Garde" w:eastAsia="Times New Roman" w:hAnsi="ITC Avant Garde"/>
          <w:bCs/>
          <w:noProof/>
          <w:color w:val="000000"/>
          <w:lang w:eastAsia="es-MX"/>
        </w:rPr>
        <w:t>a los años dos mil catorce y dos mil quince</w:t>
      </w:r>
      <w:r w:rsidRPr="00B0520D">
        <w:rPr>
          <w:rFonts w:ascii="ITC Avant Garde" w:eastAsia="Times New Roman" w:hAnsi="ITC Avant Garde"/>
          <w:bCs/>
          <w:color w:val="000000"/>
          <w:lang w:eastAsia="es-MX"/>
        </w:rPr>
        <w:t>, toda vez que a esa fecha</w:t>
      </w:r>
      <w:r>
        <w:rPr>
          <w:rFonts w:ascii="ITC Avant Garde" w:eastAsia="Times New Roman" w:hAnsi="ITC Avant Garde"/>
          <w:bCs/>
          <w:color w:val="000000"/>
          <w:lang w:eastAsia="es-MX"/>
        </w:rPr>
        <w:t xml:space="preserve"> no se tenía constancia de que </w:t>
      </w:r>
      <w:r w:rsidRPr="008A2C3C">
        <w:rPr>
          <w:rFonts w:ascii="ITC Avant Garde" w:eastAsia="Times New Roman" w:hAnsi="ITC Avant Garde"/>
          <w:b/>
          <w:bCs/>
          <w:noProof/>
          <w:color w:val="000000"/>
          <w:lang w:eastAsia="es-MX"/>
        </w:rPr>
        <w:t>PORFIRIO TORRES PERALTA</w:t>
      </w:r>
      <w:r w:rsidRPr="00B0520D">
        <w:rPr>
          <w:rFonts w:ascii="ITC Avant Garde" w:hAnsi="ITC Avant Garde"/>
          <w:b/>
        </w:rPr>
        <w:t xml:space="preserve"> </w:t>
      </w:r>
      <w:r>
        <w:rPr>
          <w:rFonts w:ascii="ITC Avant Garde" w:eastAsia="Times New Roman" w:hAnsi="ITC Avant Garde"/>
          <w:bCs/>
          <w:color w:val="000000"/>
          <w:lang w:eastAsia="es-MX"/>
        </w:rPr>
        <w:t>hubiese llevado a cabo</w:t>
      </w:r>
      <w:r w:rsidRPr="00B0520D">
        <w:rPr>
          <w:rFonts w:ascii="ITC Avant Garde" w:eastAsia="Times New Roman" w:hAnsi="ITC Avant Garde"/>
          <w:bCs/>
          <w:color w:val="000000"/>
          <w:lang w:eastAsia="es-MX"/>
        </w:rPr>
        <w:t xml:space="preserve"> el pago de derechos por el uso de frecuencias del espectro radioeléctrico</w:t>
      </w:r>
      <w:r>
        <w:rPr>
          <w:rFonts w:ascii="ITC Avant Garde" w:eastAsia="Times New Roman" w:hAnsi="ITC Avant Garde"/>
          <w:bCs/>
          <w:color w:val="000000"/>
          <w:lang w:eastAsia="es-MX"/>
        </w:rPr>
        <w:t xml:space="preserve"> respecto </w:t>
      </w:r>
      <w:r w:rsidRPr="008A2C3C">
        <w:rPr>
          <w:rFonts w:ascii="ITC Avant Garde" w:eastAsia="Times New Roman" w:hAnsi="ITC Avant Garde"/>
          <w:bCs/>
          <w:noProof/>
          <w:color w:val="000000"/>
          <w:lang w:eastAsia="es-MX"/>
        </w:rPr>
        <w:t>de los años</w:t>
      </w:r>
      <w:r>
        <w:rPr>
          <w:rFonts w:ascii="ITC Avant Garde" w:eastAsia="Times New Roman" w:hAnsi="ITC Avant Garde"/>
          <w:bCs/>
          <w:color w:val="000000"/>
          <w:lang w:eastAsia="es-MX"/>
        </w:rPr>
        <w:t xml:space="preserve"> antes mencionados.</w:t>
      </w:r>
    </w:p>
    <w:p w14:paraId="49E9E9A7" w14:textId="77777777" w:rsidR="00327D0C" w:rsidRDefault="00CB7F8D" w:rsidP="00327D0C">
      <w:pPr>
        <w:spacing w:after="240" w:line="360" w:lineRule="auto"/>
        <w:jc w:val="both"/>
        <w:rPr>
          <w:rFonts w:ascii="ITC Avant Garde" w:eastAsia="Times New Roman" w:hAnsi="ITC Avant Garde"/>
          <w:bCs/>
          <w:color w:val="000000"/>
          <w:lang w:eastAsia="es-MX"/>
        </w:rPr>
      </w:pPr>
      <w:r w:rsidRPr="00077A85">
        <w:rPr>
          <w:rFonts w:ascii="ITC Avant Garde" w:hAnsi="ITC Avant Garde"/>
        </w:rPr>
        <w:t xml:space="preserve">Por lo anterior, derivado del ejercicio de las facultades atribuidas a la </w:t>
      </w:r>
      <w:r>
        <w:rPr>
          <w:rFonts w:ascii="ITC Avant Garde" w:hAnsi="ITC Avant Garde"/>
          <w:b/>
        </w:rPr>
        <w:t>“DG-SUV”</w:t>
      </w:r>
      <w:r w:rsidRPr="00077A85">
        <w:rPr>
          <w:rFonts w:ascii="ITC Avant Garde" w:hAnsi="ITC Avant Garde"/>
          <w:b/>
        </w:rPr>
        <w:t xml:space="preserve"> </w:t>
      </w:r>
      <w:r w:rsidRPr="00077A85">
        <w:rPr>
          <w:rFonts w:ascii="ITC Avant Garde" w:hAnsi="ITC Avant Garde"/>
        </w:rPr>
        <w:t xml:space="preserve">y de la revisión al cumplimiento de las condiciones establecidas en </w:t>
      </w:r>
      <w:r w:rsidRPr="00077A85">
        <w:rPr>
          <w:rFonts w:ascii="ITC Avant Garde" w:eastAsia="Times New Roman" w:hAnsi="ITC Avant Garde"/>
          <w:b/>
          <w:bCs/>
          <w:color w:val="000000"/>
          <w:lang w:eastAsia="es-MX"/>
        </w:rPr>
        <w:t xml:space="preserve">“EL PERMISO” </w:t>
      </w:r>
      <w:r w:rsidRPr="0004662C">
        <w:rPr>
          <w:rFonts w:ascii="ITC Avant Garde" w:eastAsia="Times New Roman" w:hAnsi="ITC Avant Garde"/>
          <w:bCs/>
          <w:noProof/>
          <w:color w:val="000000"/>
          <w:lang w:eastAsia="es-MX"/>
        </w:rPr>
        <w:t xml:space="preserve">de </w:t>
      </w:r>
      <w:r w:rsidRPr="008A2C3C">
        <w:rPr>
          <w:rFonts w:ascii="ITC Avant Garde" w:eastAsia="Times New Roman" w:hAnsi="ITC Avant Garde"/>
          <w:b/>
          <w:bCs/>
          <w:noProof/>
          <w:color w:val="000000"/>
          <w:lang w:eastAsia="es-MX"/>
        </w:rPr>
        <w:t>PORFIRIO TORRES PERALTA</w:t>
      </w:r>
      <w:r w:rsidRPr="00077A85">
        <w:rPr>
          <w:rFonts w:ascii="ITC Avant Garde" w:hAnsi="ITC Avant Garde"/>
        </w:rPr>
        <w:t xml:space="preserve"> y del análisis de las constancias que </w:t>
      </w:r>
      <w:r>
        <w:rPr>
          <w:rFonts w:ascii="ITC Avant Garde" w:hAnsi="ITC Avant Garde"/>
        </w:rPr>
        <w:t xml:space="preserve">integran el expediente respectivo, la </w:t>
      </w:r>
      <w:r>
        <w:rPr>
          <w:rFonts w:ascii="ITC Avant Garde" w:hAnsi="ITC Avant Garde"/>
          <w:b/>
        </w:rPr>
        <w:t xml:space="preserve">“DG-SUV” </w:t>
      </w:r>
      <w:r>
        <w:rPr>
          <w:rFonts w:ascii="ITC Avant Garde" w:hAnsi="ITC Avant Garde"/>
        </w:rPr>
        <w:t>determinó</w:t>
      </w:r>
      <w:r>
        <w:rPr>
          <w:rFonts w:ascii="ITC Avant Garde" w:hAnsi="ITC Avant Garde" w:cs="Arial"/>
        </w:rPr>
        <w:t xml:space="preserve"> que la citada empresa</w:t>
      </w:r>
      <w:r w:rsidRPr="00077A85">
        <w:rPr>
          <w:rFonts w:ascii="ITC Avant Garde" w:hAnsi="ITC Avant Garde" w:cs="Arial"/>
        </w:rPr>
        <w:t>:</w:t>
      </w:r>
    </w:p>
    <w:p w14:paraId="287096A8" w14:textId="77777777" w:rsidR="00327D0C" w:rsidRDefault="00CB7F8D" w:rsidP="00327D0C">
      <w:pPr>
        <w:spacing w:after="240" w:line="360" w:lineRule="auto"/>
        <w:jc w:val="both"/>
        <w:rPr>
          <w:rFonts w:ascii="ITC Avant Garde" w:hAnsi="ITC Avant Garde"/>
        </w:rPr>
      </w:pPr>
      <w:r>
        <w:rPr>
          <w:rFonts w:ascii="ITC Avant Garde" w:hAnsi="ITC Avant Garde"/>
        </w:rPr>
        <w:t>P</w:t>
      </w:r>
      <w:r w:rsidRPr="00077A85">
        <w:rPr>
          <w:rFonts w:ascii="ITC Avant Garde" w:hAnsi="ITC Avant Garde"/>
        </w:rPr>
        <w:t xml:space="preserve">resuntamente </w:t>
      </w:r>
      <w:r>
        <w:rPr>
          <w:rFonts w:ascii="ITC Avant Garde" w:hAnsi="ITC Avant Garde"/>
        </w:rPr>
        <w:t>incumplió</w:t>
      </w:r>
      <w:r w:rsidRPr="00077A85">
        <w:rPr>
          <w:rFonts w:ascii="ITC Avant Garde" w:hAnsi="ITC Avant Garde"/>
        </w:rPr>
        <w:t xml:space="preserve"> la condición </w:t>
      </w:r>
      <w:r w:rsidRPr="008A2C3C">
        <w:rPr>
          <w:rFonts w:ascii="ITC Avant Garde" w:hAnsi="ITC Avant Garde"/>
          <w:b/>
          <w:noProof/>
        </w:rPr>
        <w:t>DÉCIMA TERCERA</w:t>
      </w:r>
      <w:r w:rsidRPr="00077A85">
        <w:rPr>
          <w:rFonts w:ascii="ITC Avant Garde" w:hAnsi="ITC Avant Garde"/>
        </w:rPr>
        <w:t xml:space="preserve"> </w:t>
      </w:r>
      <w:r>
        <w:rPr>
          <w:rFonts w:ascii="ITC Avant Garde" w:hAnsi="ITC Avant Garde"/>
        </w:rPr>
        <w:t>en relación con</w:t>
      </w:r>
      <w:r w:rsidRPr="00077A85">
        <w:rPr>
          <w:rFonts w:ascii="ITC Avant Garde" w:hAnsi="ITC Avant Garde"/>
        </w:rPr>
        <w:t xml:space="preserve"> la condición </w:t>
      </w:r>
      <w:r w:rsidRPr="008A2C3C">
        <w:rPr>
          <w:rFonts w:ascii="ITC Avant Garde" w:hAnsi="ITC Avant Garde"/>
          <w:b/>
          <w:noProof/>
        </w:rPr>
        <w:t>DÉCIMA QUINTA</w:t>
      </w:r>
      <w:r w:rsidRPr="00077A85">
        <w:rPr>
          <w:rFonts w:ascii="ITC Avant Garde" w:hAnsi="ITC Avant Garde"/>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rPr>
        <w:t xml:space="preserve"> al no haber acreditado el pago de derechos, respecto </w:t>
      </w:r>
      <w:r w:rsidRPr="008A2C3C">
        <w:rPr>
          <w:rFonts w:ascii="ITC Avant Garde" w:hAnsi="ITC Avant Garde"/>
          <w:noProof/>
        </w:rPr>
        <w:t>a los años dos mil catorce y dos mil quince</w:t>
      </w:r>
      <w:r w:rsidRPr="00077A85">
        <w:rPr>
          <w:rFonts w:ascii="ITC Avant Garde" w:hAnsi="ITC Avant Garde"/>
        </w:rPr>
        <w:t>.</w:t>
      </w:r>
    </w:p>
    <w:p w14:paraId="65DDF27E"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hAnsi="ITC Avant Garde" w:cs="Arial"/>
        </w:rPr>
        <w:t xml:space="preserve">Por lo anterior, mediante oficio </w:t>
      </w:r>
      <w:r w:rsidRPr="008A2C3C">
        <w:rPr>
          <w:rFonts w:ascii="ITC Avant Garde" w:hAnsi="ITC Avant Garde" w:cs="Arial"/>
          <w:b/>
          <w:noProof/>
        </w:rPr>
        <w:t>IFT/225/UC/DG-SUV/4794/2016</w:t>
      </w:r>
      <w:r>
        <w:rPr>
          <w:rFonts w:ascii="ITC Avant Garde" w:hAnsi="ITC Avant Garde" w:cs="Arial"/>
          <w:noProof/>
        </w:rPr>
        <w:t xml:space="preserve"> de </w:t>
      </w:r>
      <w:r w:rsidRPr="008A2C3C">
        <w:rPr>
          <w:rFonts w:ascii="ITC Avant Garde" w:hAnsi="ITC Avant Garde" w:cs="Arial"/>
          <w:noProof/>
        </w:rPr>
        <w:t>doce de septiembre de dos mil dieciséis</w:t>
      </w:r>
      <w:r w:rsidRPr="00E02243">
        <w:rPr>
          <w:rFonts w:ascii="ITC Avant Garde" w:hAnsi="ITC Avant Garde" w:cs="Arial"/>
          <w:noProof/>
        </w:rPr>
        <w:t xml:space="preserve">, la </w:t>
      </w:r>
      <w:r w:rsidRPr="00E02243">
        <w:rPr>
          <w:rFonts w:ascii="ITC Avant Garde" w:hAnsi="ITC Avant Garde" w:cs="Arial"/>
          <w:b/>
          <w:noProof/>
        </w:rPr>
        <w:t xml:space="preserve">“DG-SUV” </w:t>
      </w:r>
      <w:r w:rsidRPr="00E02243">
        <w:rPr>
          <w:rFonts w:ascii="ITC Avant Garde" w:hAnsi="ITC Avant Garde" w:cs="Arial"/>
        </w:rPr>
        <w:t>elaboró</w:t>
      </w:r>
      <w:r w:rsidRPr="00E02243">
        <w:rPr>
          <w:rFonts w:ascii="ITC Avant Garde" w:hAnsi="ITC Avant Garde" w:cs="Arial"/>
          <w:b/>
        </w:rPr>
        <w:t xml:space="preserve"> </w:t>
      </w:r>
      <w:r w:rsidRPr="00E02243">
        <w:rPr>
          <w:rFonts w:ascii="ITC Avant Garde" w:eastAsia="Times New Roman" w:hAnsi="ITC Avant Garde"/>
          <w:bCs/>
          <w:color w:val="000000"/>
          <w:lang w:eastAsia="es-MX"/>
        </w:rPr>
        <w:t>la determinación de adeudos por la omisión en el pago de derechos correspondiente</w:t>
      </w:r>
      <w:r>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a los años dos mil catorce y dos mil quince</w:t>
      </w:r>
      <w:r w:rsidRPr="00E02243">
        <w:rPr>
          <w:rFonts w:ascii="ITC Avant Garde" w:eastAsia="Times New Roman" w:hAnsi="ITC Avant Garde"/>
          <w:bCs/>
          <w:noProof/>
          <w:color w:val="000000"/>
          <w:lang w:eastAsia="es-MX"/>
        </w:rPr>
        <w:t xml:space="preserve">, </w:t>
      </w:r>
      <w:r w:rsidRPr="00E02243">
        <w:rPr>
          <w:rFonts w:ascii="ITC Avant Garde" w:eastAsia="Times New Roman" w:hAnsi="ITC Avant Garde"/>
          <w:bCs/>
          <w:color w:val="000000"/>
          <w:lang w:eastAsia="es-MX"/>
        </w:rPr>
        <w:t xml:space="preserve">por el uso </w:t>
      </w:r>
      <w:r w:rsidRPr="00E02243">
        <w:rPr>
          <w:rFonts w:ascii="ITC Avant Garde" w:eastAsia="Times New Roman" w:hAnsi="ITC Avant Garde"/>
          <w:bCs/>
          <w:noProof/>
          <w:color w:val="000000"/>
          <w:lang w:eastAsia="es-MX"/>
        </w:rPr>
        <w:t xml:space="preserve">del espectro radioeléctrico en </w:t>
      </w:r>
      <w:r w:rsidRPr="008A2C3C">
        <w:rPr>
          <w:rFonts w:ascii="ITC Avant Garde" w:eastAsia="Times New Roman" w:hAnsi="ITC Avant Garde"/>
          <w:bCs/>
          <w:noProof/>
          <w:color w:val="000000"/>
          <w:lang w:eastAsia="es-MX"/>
        </w:rPr>
        <w:t>las frecuencias 152.575 y 155.950 MHz</w:t>
      </w:r>
      <w:r w:rsidRPr="00E02243">
        <w:rPr>
          <w:rFonts w:ascii="ITC Avant Garde" w:eastAsia="Times New Roman" w:hAnsi="ITC Avant Garde"/>
          <w:bCs/>
          <w:noProof/>
          <w:color w:val="000000"/>
          <w:lang w:eastAsia="es-MX"/>
        </w:rPr>
        <w:t xml:space="preserve">, que le fue </w:t>
      </w:r>
      <w:r>
        <w:rPr>
          <w:rFonts w:ascii="ITC Avant Garde" w:eastAsia="Times New Roman" w:hAnsi="ITC Avant Garde"/>
          <w:bCs/>
          <w:noProof/>
          <w:color w:val="000000"/>
          <w:lang w:eastAsia="es-MX"/>
        </w:rPr>
        <w:t>permisionada</w:t>
      </w:r>
      <w:r w:rsidRPr="00E02243">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a</w:t>
      </w:r>
      <w:r w:rsidRPr="00E02243">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sidRPr="00E02243">
        <w:rPr>
          <w:rFonts w:ascii="ITC Avant Garde" w:eastAsia="Times New Roman" w:hAnsi="ITC Avant Garde"/>
          <w:bCs/>
          <w:noProof/>
          <w:color w:val="000000"/>
          <w:lang w:eastAsia="es-MX"/>
        </w:rPr>
        <w:t>;</w:t>
      </w:r>
      <w:r w:rsidRPr="00E02243">
        <w:rPr>
          <w:rFonts w:ascii="ITC Avant Garde" w:eastAsia="Times New Roman" w:hAnsi="ITC Avant Garde"/>
          <w:bCs/>
          <w:color w:val="000000"/>
          <w:lang w:eastAsia="es-MX"/>
        </w:rPr>
        <w:t xml:space="preserve"> lo anterior en virtud de que no acreditó el cumplimiento de la obligación del pago de derechos respectivo.</w:t>
      </w:r>
    </w:p>
    <w:p w14:paraId="132EC01F" w14:textId="77777777" w:rsidR="00327D0C" w:rsidRDefault="00CB7F8D" w:rsidP="00327D0C">
      <w:pPr>
        <w:spacing w:after="240" w:line="360" w:lineRule="auto"/>
        <w:jc w:val="both"/>
        <w:rPr>
          <w:rFonts w:ascii="ITC Avant Garde" w:hAnsi="ITC Avant Garde" w:cs="Arial"/>
        </w:rPr>
      </w:pPr>
      <w:r>
        <w:rPr>
          <w:rFonts w:ascii="ITC Avant Garde" w:hAnsi="ITC Avant Garde" w:cs="Arial"/>
        </w:rPr>
        <w:t xml:space="preserve">En consecuencia, mediante oficio </w:t>
      </w:r>
      <w:r w:rsidRPr="008A2C3C">
        <w:rPr>
          <w:rFonts w:ascii="ITC Avant Garde" w:hAnsi="ITC Avant Garde" w:cs="Arial"/>
          <w:b/>
          <w:noProof/>
        </w:rPr>
        <w:t>IFT/225/UC/DG-SUV/4808/2016</w:t>
      </w:r>
      <w:r>
        <w:rPr>
          <w:rFonts w:ascii="ITC Avant Garde" w:hAnsi="ITC Avant Garde" w:cs="Arial"/>
          <w:noProof/>
        </w:rPr>
        <w:t xml:space="preserve"> de </w:t>
      </w:r>
      <w:r w:rsidRPr="008A2C3C">
        <w:rPr>
          <w:rFonts w:ascii="ITC Avant Garde" w:hAnsi="ITC Avant Garde" w:cs="Arial"/>
          <w:noProof/>
        </w:rPr>
        <w:t>doce de septiembre de dos mil dieciséis</w:t>
      </w:r>
      <w:r>
        <w:rPr>
          <w:rFonts w:ascii="ITC Avant Garde" w:hAnsi="ITC Avant Garde" w:cs="Arial"/>
          <w:noProof/>
        </w:rPr>
        <w:t xml:space="preserve">, la </w:t>
      </w:r>
      <w:r>
        <w:rPr>
          <w:rFonts w:ascii="ITC Avant Garde" w:hAnsi="ITC Avant Garde" w:cs="Arial"/>
          <w:b/>
          <w:noProof/>
        </w:rPr>
        <w:t xml:space="preserve">“DG-SUV” </w:t>
      </w:r>
      <w:r>
        <w:rPr>
          <w:rFonts w:ascii="ITC Avant Garde" w:hAnsi="ITC Avant Garde" w:cs="Arial"/>
        </w:rPr>
        <w:t>remitió</w:t>
      </w:r>
      <w:r>
        <w:rPr>
          <w:rFonts w:ascii="ITC Avant Garde" w:hAnsi="ITC Avant Garde" w:cs="Arial"/>
          <w:b/>
        </w:rPr>
        <w:t xml:space="preserve"> </w:t>
      </w:r>
      <w:r>
        <w:rPr>
          <w:rFonts w:ascii="ITC Avant Garde" w:hAnsi="ITC Avant Garde" w:cs="Arial"/>
        </w:rPr>
        <w:t xml:space="preserve">a la </w:t>
      </w:r>
      <w:r w:rsidRPr="008A2C3C">
        <w:rPr>
          <w:rFonts w:ascii="ITC Avant Garde" w:hAnsi="ITC Avant Garde" w:cs="Arial"/>
          <w:noProof/>
        </w:rPr>
        <w:t>Adminstración Desconcentrada de Recaudación de Morelos "1", del Servicio de Administración Tributaria ("SAT")</w:t>
      </w:r>
      <w:r>
        <w:rPr>
          <w:rFonts w:ascii="ITC Avant Garde" w:hAnsi="ITC Avant Garde" w:cs="Arial"/>
        </w:rPr>
        <w:t xml:space="preserve">, la determinación de adeudos en el pago de derechos a cargo </w:t>
      </w:r>
      <w:r w:rsidRPr="0004662C">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PORFIRIO TORRES </w:t>
      </w:r>
      <w:r w:rsidRPr="008A2C3C">
        <w:rPr>
          <w:rFonts w:ascii="ITC Avant Garde" w:eastAsia="Times New Roman" w:hAnsi="ITC Avant Garde"/>
          <w:b/>
          <w:bCs/>
          <w:noProof/>
          <w:color w:val="000000"/>
          <w:lang w:eastAsia="es-MX"/>
        </w:rPr>
        <w:lastRenderedPageBreak/>
        <w:t>PERALTA</w:t>
      </w:r>
      <w:r>
        <w:rPr>
          <w:rFonts w:ascii="ITC Avant Garde" w:hAnsi="ITC Avant Garde" w:cs="Arial"/>
        </w:rPr>
        <w:t>, a efecto de que se iniciara y diera seguimiento hasta su conclusión al procedimiento administrativo de ejecución de créditos fiscales.</w:t>
      </w:r>
    </w:p>
    <w:p w14:paraId="5AE60F32" w14:textId="77777777" w:rsidR="00327D0C" w:rsidRDefault="00CB7F8D" w:rsidP="00327D0C">
      <w:pPr>
        <w:spacing w:after="240" w:line="360" w:lineRule="auto"/>
        <w:jc w:val="both"/>
        <w:rPr>
          <w:rFonts w:ascii="ITC Avant Garde" w:hAnsi="ITC Avant Garde" w:cs="Arial"/>
        </w:rPr>
      </w:pPr>
      <w:r>
        <w:rPr>
          <w:rFonts w:ascii="ITC Avant Garde" w:hAnsi="ITC Avant Garde"/>
          <w:color w:val="000000" w:themeColor="text1"/>
        </w:rPr>
        <w:t xml:space="preserve">En virtud de lo anterior, </w:t>
      </w:r>
      <w:r>
        <w:rPr>
          <w:rFonts w:ascii="ITC Avant Garde" w:hAnsi="ITC Avant Garde" w:cs="Arial"/>
        </w:rPr>
        <w:t xml:space="preserve">la </w:t>
      </w:r>
      <w:r>
        <w:rPr>
          <w:rFonts w:ascii="ITC Avant Garde" w:hAnsi="ITC Avant Garde" w:cs="Arial"/>
          <w:b/>
        </w:rPr>
        <w:t>“DG-SUV”</w:t>
      </w:r>
      <w:r>
        <w:rPr>
          <w:rFonts w:ascii="ITC Avant Garde" w:hAnsi="ITC Avant Garde" w:cs="Arial"/>
        </w:rPr>
        <w:t xml:space="preserve"> advirtió que el </w:t>
      </w:r>
      <w:r>
        <w:rPr>
          <w:rFonts w:ascii="ITC Avant Garde" w:hAnsi="ITC Avant Garde" w:cs="Arial"/>
          <w:noProof/>
        </w:rPr>
        <w:t>permisionario</w:t>
      </w:r>
      <w:r>
        <w:rPr>
          <w:rFonts w:ascii="ITC Avant Garde" w:hAnsi="ITC Avant Garde" w:cs="Arial"/>
        </w:rPr>
        <w:t xml:space="preserve"> se encontraba en incumplimiento de la siguiente obligación:</w:t>
      </w:r>
    </w:p>
    <w:p w14:paraId="6212B60E" w14:textId="77777777" w:rsidR="00327D0C" w:rsidRDefault="00CB7F8D" w:rsidP="00327D0C">
      <w:pPr>
        <w:pStyle w:val="Prrafodelista"/>
        <w:numPr>
          <w:ilvl w:val="0"/>
          <w:numId w:val="4"/>
        </w:numPr>
        <w:spacing w:after="240" w:line="360" w:lineRule="auto"/>
        <w:ind w:left="426"/>
        <w:contextualSpacing w:val="0"/>
        <w:jc w:val="both"/>
        <w:rPr>
          <w:rFonts w:ascii="ITC Avant Garde" w:hAnsi="ITC Avant Garde" w:cs="Arial"/>
        </w:rPr>
      </w:pPr>
      <w:r>
        <w:rPr>
          <w:rFonts w:ascii="ITC Avant Garde" w:eastAsia="Times New Roman" w:hAnsi="ITC Avant Garde"/>
          <w:b/>
          <w:bCs/>
          <w:lang w:eastAsia="es-MX"/>
        </w:rPr>
        <w:t xml:space="preserve">De la obligación de pago contenida en </w:t>
      </w:r>
      <w:r w:rsidRPr="008A2C3C">
        <w:rPr>
          <w:rFonts w:ascii="ITC Avant Garde" w:eastAsia="Times New Roman" w:hAnsi="ITC Avant Garde"/>
          <w:b/>
          <w:bCs/>
          <w:noProof/>
          <w:lang w:eastAsia="es-MX"/>
        </w:rPr>
        <w:t>"EL PERMISO"</w:t>
      </w:r>
      <w:r>
        <w:rPr>
          <w:rFonts w:ascii="ITC Avant Garde" w:eastAsia="Times New Roman" w:hAnsi="ITC Avant Garde"/>
          <w:b/>
          <w:bCs/>
          <w:lang w:eastAsia="es-MX"/>
        </w:rPr>
        <w:t>, en relación con el artículo 239 de la Ley Federal de Derechos.</w:t>
      </w:r>
      <w:r>
        <w:rPr>
          <w:rFonts w:ascii="ITC Avant Garde" w:eastAsia="Times New Roman" w:hAnsi="ITC Avant Garde"/>
          <w:b/>
          <w:bCs/>
          <w:noProof/>
          <w:lang w:eastAsia="es-MX"/>
        </w:rPr>
        <w:t xml:space="preserve"> </w:t>
      </w:r>
    </w:p>
    <w:p w14:paraId="4605DE53" w14:textId="77777777" w:rsidR="00327D0C" w:rsidRDefault="00CB7F8D" w:rsidP="00327D0C">
      <w:pPr>
        <w:pStyle w:val="Prrafodelista"/>
        <w:spacing w:after="240" w:line="360" w:lineRule="auto"/>
        <w:ind w:left="0"/>
        <w:contextualSpacing w:val="0"/>
        <w:jc w:val="both"/>
        <w:rPr>
          <w:rFonts w:ascii="ITC Avant Garde" w:eastAsia="Times New Roman" w:hAnsi="ITC Avant Garde"/>
          <w:bCs/>
          <w:lang w:eastAsia="es-MX"/>
        </w:rPr>
      </w:pPr>
      <w:r>
        <w:rPr>
          <w:rFonts w:ascii="ITC Avant Garde" w:eastAsia="Times New Roman" w:hAnsi="ITC Avant Garde"/>
          <w:bCs/>
          <w:lang w:eastAsia="es-MX"/>
        </w:rPr>
        <w:t xml:space="preserve">De conformidad con lo señalado en la condición </w:t>
      </w:r>
      <w:r w:rsidRPr="008A2C3C">
        <w:rPr>
          <w:rFonts w:ascii="ITC Avant Garde" w:eastAsia="Times New Roman" w:hAnsi="ITC Avant Garde"/>
          <w:b/>
          <w:bCs/>
          <w:noProof/>
          <w:lang w:eastAsia="es-MX"/>
        </w:rPr>
        <w:t>DÉCIMA TERCERA</w:t>
      </w:r>
      <w:r>
        <w:rPr>
          <w:rFonts w:ascii="ITC Avant Garde" w:eastAsia="Times New Roman" w:hAnsi="ITC Avant Garde"/>
          <w:bCs/>
          <w:lang w:eastAsia="es-MX"/>
        </w:rPr>
        <w:t xml:space="preserve"> </w:t>
      </w:r>
      <w:r w:rsidRPr="00BE593A">
        <w:rPr>
          <w:rFonts w:ascii="ITC Avant Garde" w:eastAsia="Times New Roman" w:hAnsi="ITC Avant Garde"/>
          <w:bCs/>
          <w:lang w:eastAsia="es-MX"/>
        </w:rPr>
        <w:t>de</w:t>
      </w:r>
      <w:r>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"EL PERMISO"</w:t>
      </w:r>
      <w:r>
        <w:rPr>
          <w:rFonts w:ascii="ITC Avant Garde" w:eastAsia="Times New Roman" w:hAnsi="ITC Avant Garde"/>
          <w:bCs/>
          <w:lang w:eastAsia="es-MX"/>
        </w:rPr>
        <w:t xml:space="preserv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noProof/>
          <w:color w:val="000000"/>
          <w:lang w:eastAsia="es-MX"/>
        </w:rPr>
        <w:t xml:space="preserve"> </w:t>
      </w:r>
      <w:r>
        <w:rPr>
          <w:rFonts w:ascii="ITC Avant Garde" w:eastAsia="Times New Roman" w:hAnsi="ITC Avant Garde"/>
          <w:bCs/>
          <w:lang w:eastAsia="es-MX"/>
        </w:rPr>
        <w:t xml:space="preserve">está obligado a cubrir la cuota anual por el uso o aprovechamiento del espectro radioeléctrico establecida en la </w:t>
      </w:r>
      <w:r>
        <w:rPr>
          <w:rFonts w:ascii="ITC Avant Garde" w:eastAsia="Times New Roman" w:hAnsi="ITC Avant Garde"/>
          <w:b/>
          <w:bCs/>
          <w:lang w:eastAsia="es-MX"/>
        </w:rPr>
        <w:t>“LFD”</w:t>
      </w:r>
      <w:r>
        <w:rPr>
          <w:rFonts w:ascii="ITC Avant Garde" w:eastAsia="Times New Roman" w:hAnsi="ITC Avant Garde"/>
          <w:bCs/>
          <w:lang w:eastAsia="es-MX"/>
        </w:rPr>
        <w:t xml:space="preserve">, la cual deberá liquidarse anualmente en los plazos establecidos en dicha legislación. </w:t>
      </w:r>
    </w:p>
    <w:p w14:paraId="27045D14" w14:textId="77777777" w:rsidR="00327D0C" w:rsidRDefault="00CB7F8D" w:rsidP="00327D0C">
      <w:pPr>
        <w:pStyle w:val="Prrafodelista"/>
        <w:spacing w:after="240" w:line="360" w:lineRule="auto"/>
        <w:ind w:left="0"/>
        <w:contextualSpacing w:val="0"/>
        <w:jc w:val="both"/>
        <w:rPr>
          <w:rFonts w:ascii="ITC Avant Garde" w:hAnsi="ITC Avant Garde" w:cs="Arial"/>
        </w:rPr>
      </w:pPr>
      <w:r>
        <w:rPr>
          <w:rFonts w:ascii="ITC Avant Garde" w:eastAsia="Times New Roman" w:hAnsi="ITC Avant Garde"/>
          <w:bCs/>
          <w:lang w:eastAsia="es-MX"/>
        </w:rPr>
        <w:t xml:space="preserve">En este sentido, de las constancias que conforman el presente expediente se presumió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lang w:eastAsia="es-MX"/>
        </w:rPr>
        <w:t xml:space="preserve"> incumplió con dicha obligación de pago respecto de </w:t>
      </w:r>
      <w:r w:rsidRPr="008A2C3C">
        <w:rPr>
          <w:rFonts w:ascii="ITC Avant Garde" w:eastAsia="Times New Roman" w:hAnsi="ITC Avant Garde"/>
          <w:bCs/>
          <w:noProof/>
          <w:lang w:eastAsia="es-MX"/>
        </w:rPr>
        <w:t>a los años dos mil catorce y dos mil quince</w:t>
      </w:r>
      <w:r>
        <w:rPr>
          <w:rFonts w:ascii="ITC Avant Garde" w:eastAsia="Times New Roman" w:hAnsi="ITC Avant Garde"/>
          <w:bCs/>
          <w:lang w:eastAsia="es-MX"/>
        </w:rPr>
        <w:t>, en virtud de que no acreditó con comprobante alguno el haber efectuado el pago de la cuota anual por el uso o aprovechamiento del espectro radioeléctrico de las</w:t>
      </w:r>
      <w:r w:rsidRPr="001B050A">
        <w:rPr>
          <w:rFonts w:ascii="ITC Avant Garde" w:eastAsia="Times New Roman" w:hAnsi="ITC Avant Garde"/>
          <w:bCs/>
          <w:noProof/>
          <w:lang w:eastAsia="es-MX"/>
        </w:rPr>
        <w:t xml:space="preserve"> </w:t>
      </w:r>
      <w:r w:rsidRPr="008A2C3C">
        <w:rPr>
          <w:rFonts w:ascii="ITC Avant Garde" w:eastAsia="Times New Roman" w:hAnsi="ITC Avant Garde"/>
          <w:bCs/>
          <w:noProof/>
          <w:lang w:eastAsia="es-MX"/>
        </w:rPr>
        <w:t>frecuencias asignadas</w:t>
      </w:r>
      <w:r w:rsidRPr="001B050A">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152.575 y 155.950 MHz</w:t>
      </w:r>
      <w:r w:rsidRPr="001B050A">
        <w:rPr>
          <w:rFonts w:ascii="ITC Avant Garde" w:eastAsia="Times New Roman" w:hAnsi="ITC Avant Garde"/>
          <w:bCs/>
          <w:noProof/>
          <w:lang w:eastAsia="es-MX"/>
        </w:rPr>
        <w:t xml:space="preserve"> en</w:t>
      </w:r>
      <w:r w:rsidRPr="001B050A">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"EL PERMISO"</w:t>
      </w:r>
      <w:r>
        <w:rPr>
          <w:rFonts w:ascii="ITC Avant Garde" w:eastAsia="Times New Roman" w:hAnsi="ITC Avant Garde"/>
          <w:bCs/>
          <w:noProof/>
          <w:lang w:eastAsia="es-MX"/>
        </w:rPr>
        <w:t xml:space="preserve"> para instalar un sistema de radiocomunicación privada</w:t>
      </w:r>
      <w:r>
        <w:rPr>
          <w:rFonts w:ascii="ITC Avant Garde" w:eastAsia="Times New Roman" w:hAnsi="ITC Avant Garde"/>
          <w:bCs/>
          <w:color w:val="000000"/>
          <w:lang w:eastAsia="es-MX"/>
        </w:rPr>
        <w:t xml:space="preserve">, </w:t>
      </w:r>
      <w:r w:rsidRPr="00101F02">
        <w:rPr>
          <w:rFonts w:ascii="ITC Avant Garde" w:hAnsi="ITC Avant Garde" w:cs="Arial"/>
          <w:u w:val="single"/>
        </w:rPr>
        <w:t xml:space="preserve">toda vez que a la fecha de elaboración de la propuesta de la </w:t>
      </w:r>
      <w:r w:rsidRPr="00101F02">
        <w:rPr>
          <w:rFonts w:ascii="ITC Avant Garde" w:hAnsi="ITC Avant Garde" w:cs="Arial"/>
          <w:b/>
          <w:u w:val="single"/>
        </w:rPr>
        <w:t>“DG-SUV”</w:t>
      </w:r>
      <w:r w:rsidRPr="00101F02">
        <w:rPr>
          <w:rFonts w:ascii="ITC Avant Garde" w:hAnsi="ITC Avant Garde" w:cs="Arial"/>
          <w:u w:val="single"/>
        </w:rPr>
        <w:t>, persistía el incumplimiento de pago, esto es, hasta el año dos mil dieciséis</w:t>
      </w:r>
      <w:r>
        <w:rPr>
          <w:rFonts w:ascii="ITC Avant Garde" w:hAnsi="ITC Avant Garde" w:cs="Arial"/>
        </w:rPr>
        <w:t>.</w:t>
      </w:r>
    </w:p>
    <w:p w14:paraId="04A95F51" w14:textId="77777777" w:rsidR="00327D0C" w:rsidRDefault="00CB7F8D" w:rsidP="00327D0C">
      <w:pPr>
        <w:pStyle w:val="Textoindependiente"/>
        <w:spacing w:after="240" w:line="360" w:lineRule="auto"/>
        <w:jc w:val="both"/>
        <w:rPr>
          <w:rFonts w:ascii="ITC Avant Garde" w:hAnsi="ITC Avant Garde"/>
          <w:bCs/>
          <w:color w:val="000000" w:themeColor="text1"/>
        </w:rPr>
      </w:pPr>
      <w:r>
        <w:rPr>
          <w:rFonts w:ascii="ITC Avant Garde" w:hAnsi="ITC Avant Garde"/>
          <w:bCs/>
          <w:color w:val="000000" w:themeColor="text1"/>
        </w:rPr>
        <w:t xml:space="preserve">Por lo anterior, mediante oficio </w:t>
      </w:r>
      <w:r w:rsidRPr="008A2C3C">
        <w:rPr>
          <w:rFonts w:ascii="ITC Avant Garde" w:hAnsi="ITC Avant Garde"/>
          <w:b/>
          <w:noProof/>
        </w:rPr>
        <w:t>IFT/225/UC/DG-SUV/5535/2016</w:t>
      </w:r>
      <w:r>
        <w:rPr>
          <w:rFonts w:ascii="ITC Avant Garde" w:hAnsi="ITC Avant Garde"/>
          <w:b/>
          <w:noProof/>
        </w:rPr>
        <w:t xml:space="preserve"> </w:t>
      </w:r>
      <w:r>
        <w:rPr>
          <w:rFonts w:ascii="ITC Avant Garde" w:hAnsi="ITC Avant Garde"/>
          <w:bCs/>
          <w:color w:val="000000" w:themeColor="text1"/>
        </w:rPr>
        <w:t xml:space="preserve">de </w:t>
      </w:r>
      <w:r w:rsidRPr="008A2C3C">
        <w:rPr>
          <w:rFonts w:ascii="ITC Avant Garde" w:hAnsi="ITC Avant Garde"/>
          <w:bCs/>
          <w:noProof/>
          <w:color w:val="000000" w:themeColor="text1"/>
        </w:rPr>
        <w:t>veintisiete de octubre de dos mil dieciséis</w:t>
      </w:r>
      <w:r>
        <w:rPr>
          <w:rFonts w:ascii="ITC Avant Garde" w:hAnsi="ITC Avant Garde"/>
          <w:bCs/>
          <w:color w:val="000000" w:themeColor="text1"/>
        </w:rPr>
        <w:t xml:space="preserve">, la </w:t>
      </w:r>
      <w:r>
        <w:rPr>
          <w:rFonts w:ascii="ITC Avant Garde" w:hAnsi="ITC Avant Garde"/>
          <w:b/>
          <w:color w:val="000000" w:themeColor="text1"/>
        </w:rPr>
        <w:t>“DG-SUV”</w:t>
      </w:r>
      <w:r>
        <w:rPr>
          <w:rFonts w:ascii="ITC Avant Garde" w:hAnsi="ITC Avant Garde"/>
          <w:bCs/>
          <w:color w:val="000000" w:themeColor="text1"/>
        </w:rPr>
        <w:t xml:space="preserve"> emitió un dictamen a efecto de que se iniciara el procedimiento administrativo de revocación </w:t>
      </w:r>
      <w:r>
        <w:rPr>
          <w:rFonts w:ascii="ITC Avant Garde" w:hAnsi="ITC Avant Garde"/>
          <w:bCs/>
          <w:noProof/>
          <w:color w:val="000000" w:themeColor="text1"/>
        </w:rPr>
        <w:t xml:space="preserve">de </w:t>
      </w:r>
      <w:r w:rsidRPr="008A2C3C">
        <w:rPr>
          <w:rFonts w:ascii="ITC Avant Garde" w:hAnsi="ITC Avant Garde"/>
          <w:b/>
          <w:bCs/>
          <w:noProof/>
          <w:color w:val="000000" w:themeColor="text1"/>
        </w:rPr>
        <w:t>"EL PERMISO"</w:t>
      </w:r>
      <w:r>
        <w:rPr>
          <w:rFonts w:ascii="ITC Avant Garde" w:hAnsi="ITC Avant Garde"/>
          <w:b/>
          <w:bCs/>
          <w:noProof/>
          <w:color w:val="000000" w:themeColor="text1"/>
        </w:rPr>
        <w:t xml:space="preserve"> </w:t>
      </w:r>
      <w:r>
        <w:rPr>
          <w:rFonts w:ascii="ITC Avant Garde" w:hAnsi="ITC Avant Garde"/>
          <w:bCs/>
          <w:noProof/>
          <w:color w:val="000000" w:themeColor="text1"/>
        </w:rPr>
        <w:t>otorgado</w:t>
      </w:r>
      <w:r>
        <w:rPr>
          <w:rFonts w:ascii="ITC Avant Garde" w:hAnsi="ITC Avant Garde"/>
          <w:bCs/>
          <w:color w:val="000000" w:themeColor="text1"/>
        </w:rPr>
        <w:t xml:space="preserve"> </w:t>
      </w:r>
      <w:r w:rsidRPr="008A2C3C">
        <w:rPr>
          <w:rFonts w:ascii="ITC Avant Garde" w:hAnsi="ITC Avant Garde"/>
          <w:bCs/>
          <w:noProof/>
          <w:color w:val="000000" w:themeColor="text1"/>
        </w:rPr>
        <w:t>a</w:t>
      </w:r>
      <w:r>
        <w:rPr>
          <w:rFonts w:ascii="ITC Avant Garde" w:hAnsi="ITC Avant Garde"/>
          <w:bCs/>
          <w:color w:val="000000" w:themeColor="text1"/>
        </w:rPr>
        <w:t xml:space="preserv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noProof/>
          <w:color w:val="000000"/>
          <w:lang w:eastAsia="es-MX"/>
        </w:rPr>
        <w:t xml:space="preserve"> </w:t>
      </w:r>
      <w:r>
        <w:rPr>
          <w:rFonts w:ascii="ITC Avant Garde" w:hAnsi="ITC Avant Garde"/>
          <w:bCs/>
          <w:color w:val="000000" w:themeColor="text1"/>
        </w:rPr>
        <w:t xml:space="preserve">el </w:t>
      </w:r>
      <w:r w:rsidRPr="008A2C3C">
        <w:rPr>
          <w:rFonts w:ascii="ITC Avant Garde" w:hAnsi="ITC Avant Garde"/>
          <w:bCs/>
          <w:noProof/>
          <w:color w:val="000000" w:themeColor="text1"/>
        </w:rPr>
        <w:t>veinte de junio de mil novecientos noventa y uno</w:t>
      </w:r>
      <w:r>
        <w:rPr>
          <w:rFonts w:ascii="ITC Avant Garde" w:hAnsi="ITC Avant Garde"/>
          <w:bCs/>
          <w:color w:val="000000" w:themeColor="text1"/>
        </w:rPr>
        <w:t xml:space="preserve">, toda vez que no acreditó el pago de derechos respecto a </w:t>
      </w:r>
      <w:r w:rsidRPr="008A2C3C">
        <w:rPr>
          <w:rFonts w:ascii="ITC Avant Garde" w:hAnsi="ITC Avant Garde"/>
          <w:bCs/>
          <w:noProof/>
          <w:color w:val="000000" w:themeColor="text1"/>
        </w:rPr>
        <w:t>los años dos mil catorce y dos mil quince</w:t>
      </w:r>
      <w:r>
        <w:rPr>
          <w:rFonts w:ascii="ITC Avant Garde" w:hAnsi="ITC Avant Garde"/>
          <w:bCs/>
          <w:color w:val="000000" w:themeColor="text1"/>
        </w:rPr>
        <w:t>.</w:t>
      </w:r>
    </w:p>
    <w:p w14:paraId="388ABF6B" w14:textId="77777777" w:rsidR="00327D0C" w:rsidRDefault="00CB7F8D" w:rsidP="00327D0C">
      <w:pPr>
        <w:pStyle w:val="Textoindependiente"/>
        <w:tabs>
          <w:tab w:val="left" w:pos="851"/>
        </w:tabs>
        <w:spacing w:after="240" w:line="360" w:lineRule="auto"/>
        <w:jc w:val="both"/>
        <w:rPr>
          <w:rFonts w:ascii="ITC Avant Garde" w:hAnsi="ITC Avant Garde"/>
          <w:b/>
          <w:color w:val="000000" w:themeColor="text1"/>
        </w:rPr>
      </w:pPr>
      <w:r w:rsidRPr="00254912">
        <w:rPr>
          <w:rFonts w:ascii="ITC Avant Garde" w:hAnsi="ITC Avant Garde"/>
          <w:b/>
          <w:color w:val="000000" w:themeColor="text1"/>
        </w:rPr>
        <w:t>CUARTO. Manifestaciones y pruebas.</w:t>
      </w:r>
    </w:p>
    <w:p w14:paraId="1164BCF8" w14:textId="77777777" w:rsidR="00327D0C" w:rsidRDefault="00CB7F8D" w:rsidP="00327D0C">
      <w:pPr>
        <w:tabs>
          <w:tab w:val="left" w:pos="851"/>
        </w:tabs>
        <w:spacing w:after="240" w:line="360" w:lineRule="auto"/>
        <w:jc w:val="both"/>
        <w:rPr>
          <w:rFonts w:ascii="ITC Avant Garde" w:eastAsia="Times New Roman" w:hAnsi="ITC Avant Garde"/>
          <w:bCs/>
          <w:color w:val="000000" w:themeColor="text1"/>
          <w:lang w:eastAsia="es-MX"/>
        </w:rPr>
      </w:pPr>
      <w:r>
        <w:rPr>
          <w:rFonts w:ascii="ITC Avant Garde" w:eastAsia="Times New Roman" w:hAnsi="ITC Avant Garde"/>
          <w:bCs/>
          <w:color w:val="000000" w:themeColor="text1"/>
          <w:lang w:eastAsia="es-MX"/>
        </w:rPr>
        <w:t xml:space="preserve">Derivado de lo anterior, el Titular de la </w:t>
      </w:r>
      <w:r>
        <w:rPr>
          <w:rFonts w:ascii="ITC Avant Garde" w:hAnsi="ITC Avant Garde"/>
          <w:color w:val="000000" w:themeColor="text1"/>
        </w:rPr>
        <w:t>Unidad de Cumplimiento</w:t>
      </w:r>
      <w:r>
        <w:rPr>
          <w:rFonts w:ascii="ITC Avant Garde" w:eastAsia="Times New Roman" w:hAnsi="ITC Avant Garde"/>
          <w:bCs/>
          <w:color w:val="000000" w:themeColor="text1"/>
          <w:lang w:eastAsia="es-MX"/>
        </w:rPr>
        <w:t xml:space="preserve"> inició el procedimiento administrativo de revocación mediante acuerdo de </w:t>
      </w:r>
      <w:r w:rsidRPr="008A2C3C">
        <w:rPr>
          <w:rFonts w:ascii="ITC Avant Garde" w:eastAsia="Times New Roman" w:hAnsi="ITC Avant Garde"/>
          <w:bCs/>
          <w:noProof/>
          <w:color w:val="000000" w:themeColor="text1"/>
          <w:lang w:eastAsia="es-MX"/>
        </w:rPr>
        <w:t xml:space="preserve">treinta de noviembre de dos mil </w:t>
      </w:r>
      <w:r w:rsidRPr="008A2C3C">
        <w:rPr>
          <w:rFonts w:ascii="ITC Avant Garde" w:eastAsia="Times New Roman" w:hAnsi="ITC Avant Garde"/>
          <w:bCs/>
          <w:noProof/>
          <w:color w:val="000000" w:themeColor="text1"/>
          <w:lang w:eastAsia="es-MX"/>
        </w:rPr>
        <w:lastRenderedPageBreak/>
        <w:t>diecisiete</w:t>
      </w:r>
      <w:r>
        <w:rPr>
          <w:rFonts w:ascii="ITC Avant Garde" w:eastAsia="Times New Roman" w:hAnsi="ITC Avant Garde"/>
          <w:bCs/>
          <w:color w:val="000000" w:themeColor="text1"/>
          <w:lang w:eastAsia="es-MX"/>
        </w:rPr>
        <w:t xml:space="preserve">, en el cual se le </w:t>
      </w:r>
      <w:r w:rsidRPr="000A5106">
        <w:rPr>
          <w:rFonts w:ascii="ITC Avant Garde" w:eastAsia="Times New Roman" w:hAnsi="ITC Avant Garde"/>
          <w:bCs/>
          <w:color w:val="000000" w:themeColor="text1"/>
          <w:lang w:eastAsia="es-MX"/>
        </w:rPr>
        <w:t xml:space="preserve">otorgó </w:t>
      </w:r>
      <w:r w:rsidRPr="008A2C3C">
        <w:rPr>
          <w:rFonts w:ascii="ITC Avant Garde" w:eastAsia="Times New Roman" w:hAnsi="ITC Avant Garde"/>
          <w:bCs/>
          <w:noProof/>
          <w:color w:val="000000" w:themeColor="text1"/>
          <w:lang w:eastAsia="es-MX"/>
        </w:rPr>
        <w:t>a</w:t>
      </w:r>
      <w:r w:rsidRPr="000A5106">
        <w:rPr>
          <w:rFonts w:ascii="ITC Avant Garde" w:eastAsia="Times New Roman" w:hAnsi="ITC Avant Garde"/>
          <w:bCs/>
          <w:color w:val="000000" w:themeColor="text1"/>
          <w:lang w:eastAsia="es-MX"/>
        </w:rPr>
        <w:t xml:space="preserve"> </w:t>
      </w:r>
      <w:r w:rsidRPr="008A2C3C">
        <w:rPr>
          <w:rFonts w:ascii="ITC Avant Garde" w:hAnsi="ITC Avant Garde"/>
          <w:b/>
          <w:noProof/>
          <w:color w:val="000000"/>
          <w:lang w:eastAsia="es-MX"/>
        </w:rPr>
        <w:t>PORFIRIO TORRES PERALTA</w:t>
      </w:r>
      <w:r w:rsidRPr="000A5106">
        <w:rPr>
          <w:rFonts w:ascii="ITC Avant Garde" w:eastAsia="Times New Roman" w:hAnsi="ITC Avant Garde"/>
          <w:bCs/>
          <w:color w:val="000000" w:themeColor="text1"/>
          <w:lang w:eastAsia="es-MX"/>
        </w:rPr>
        <w:t xml:space="preserve"> un plazo de quince días hábiles para que se manifestara lo que a su derecho conviniera y en su caso, aportara las pruebas con que contara en relación con los presuntos incumplimientos que se le imputaron.</w:t>
      </w:r>
    </w:p>
    <w:p w14:paraId="2C7BE886" w14:textId="77777777" w:rsidR="00327D0C" w:rsidRDefault="00CB7F8D" w:rsidP="00327D0C">
      <w:pPr>
        <w:pStyle w:val="Textoindependiente"/>
        <w:spacing w:after="240" w:line="360" w:lineRule="auto"/>
        <w:jc w:val="both"/>
        <w:rPr>
          <w:rFonts w:ascii="ITC Avant Garde" w:eastAsia="Times New Roman" w:hAnsi="ITC Avant Garde"/>
          <w:bCs/>
          <w:color w:val="000000" w:themeColor="text1"/>
          <w:lang w:eastAsia="es-MX"/>
        </w:rPr>
      </w:pPr>
      <w:r w:rsidRPr="000A5106">
        <w:rPr>
          <w:rFonts w:ascii="ITC Avant Garde" w:hAnsi="ITC Avant Garde"/>
          <w:color w:val="000000" w:themeColor="text1"/>
        </w:rPr>
        <w:t xml:space="preserve">El acuerdo anterior fue notificado </w:t>
      </w:r>
      <w:r w:rsidRPr="008A2C3C">
        <w:rPr>
          <w:rFonts w:ascii="ITC Avant Garde" w:hAnsi="ITC Avant Garde"/>
          <w:noProof/>
          <w:color w:val="000000" w:themeColor="text1"/>
        </w:rPr>
        <w:t>a</w:t>
      </w:r>
      <w:r w:rsidRPr="000A5106">
        <w:rPr>
          <w:rFonts w:ascii="ITC Avant Garde" w:hAnsi="ITC Avant Garde"/>
          <w:color w:val="000000" w:themeColor="text1"/>
        </w:rPr>
        <w:t xml:space="preserve"> </w:t>
      </w:r>
      <w:r w:rsidRPr="008A2C3C">
        <w:rPr>
          <w:rFonts w:ascii="ITC Avant Garde" w:eastAsia="Times New Roman" w:hAnsi="ITC Avant Garde"/>
          <w:b/>
          <w:bCs/>
          <w:noProof/>
          <w:color w:val="000000" w:themeColor="text1"/>
          <w:lang w:eastAsia="es-MX"/>
        </w:rPr>
        <w:t>PORFIRIO TORRES PERALTA</w:t>
      </w:r>
      <w:r w:rsidRPr="000A5106">
        <w:rPr>
          <w:rFonts w:ascii="ITC Avant Garde" w:hAnsi="ITC Avant Garde"/>
          <w:color w:val="000000" w:themeColor="text1"/>
        </w:rPr>
        <w:t xml:space="preserve">, el </w:t>
      </w:r>
      <w:r w:rsidRPr="008A2C3C">
        <w:rPr>
          <w:rFonts w:ascii="ITC Avant Garde" w:hAnsi="ITC Avant Garde"/>
          <w:noProof/>
          <w:color w:val="000000" w:themeColor="text1"/>
        </w:rPr>
        <w:t>diecinueve de diciembre de dos mil diecisiete</w:t>
      </w:r>
      <w:r w:rsidRPr="000A5106">
        <w:rPr>
          <w:rFonts w:ascii="ITC Avant Garde" w:hAnsi="ITC Avant Garde"/>
          <w:color w:val="000000" w:themeColor="text1"/>
        </w:rPr>
        <w:t xml:space="preserve"> </w:t>
      </w:r>
      <w:r>
        <w:rPr>
          <w:rFonts w:ascii="ITC Avant Garde" w:hAnsi="ITC Avant Garde"/>
          <w:color w:val="000000" w:themeColor="text1"/>
        </w:rPr>
        <w:t>por lo que plazo otorgado</w:t>
      </w:r>
      <w:r>
        <w:rPr>
          <w:rFonts w:ascii="ITC Avant Garde" w:eastAsia="Times New Roman" w:hAnsi="ITC Avant Garde"/>
          <w:bCs/>
          <w:color w:val="000000" w:themeColor="text1"/>
          <w:lang w:eastAsia="es-MX"/>
        </w:rPr>
        <w:t xml:space="preserve"> a dicha empresa para presentar sus pruebas y defensas transcurrió </w:t>
      </w:r>
      <w:r w:rsidR="00101F02">
        <w:rPr>
          <w:rFonts w:ascii="ITC Avant Garde" w:eastAsia="Times New Roman" w:hAnsi="ITC Avant Garde"/>
          <w:bCs/>
          <w:color w:val="000000" w:themeColor="text1"/>
          <w:lang w:eastAsia="es-MX"/>
        </w:rPr>
        <w:t>d</w:t>
      </w:r>
      <w:r w:rsidRPr="008A2C3C">
        <w:rPr>
          <w:rFonts w:ascii="ITC Avant Garde" w:hAnsi="ITC Avant Garde"/>
          <w:noProof/>
          <w:color w:val="000000" w:themeColor="text1"/>
        </w:rPr>
        <w:t>el veinte de diciembre de dos mil diecisiete al veinticinco de enero del dos mil dieciocho, sin considerar los días veintiuno, veintidós, veintitrés, veinticuatro, veinticinco, veintiséis, veintisiete, veintiocho, veintinueve, treinta y treinta y uno de diciembre de dos mil diecisiete, así como el primero, dos, tres, cuatro, cinco, seis, siete, trece, catorce, veinte y veintiuno de enero de dos mil dieciocho por haber sido sábados, domingos y días inhábiles de conformidad con lo dispuesto por el artículo 28 de la "LFPA" y del “ACUERDO mediante el cual el Pleno del Instituto Federal de Telecomunicaciones aprueba su calendario anual de sesiones ordinarias y el calendario anual de labores para el año 2017 y principios de 2018” publicado en el Diario Oficial de la Federación el veintiuno de diciembre de dos mil dieciséis</w:t>
      </w:r>
      <w:r>
        <w:rPr>
          <w:rFonts w:ascii="ITC Avant Garde" w:hAnsi="ITC Avant Garde"/>
        </w:rPr>
        <w:t>.</w:t>
      </w:r>
    </w:p>
    <w:p w14:paraId="58B76117"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No obstante lo anterior, de </w:t>
      </w:r>
      <w:r w:rsidRPr="006C6EC4">
        <w:rPr>
          <w:rFonts w:ascii="ITC Avant Garde" w:eastAsia="Times New Roman" w:hAnsi="ITC Avant Garde"/>
          <w:bCs/>
          <w:color w:val="000000"/>
          <w:lang w:eastAsia="es-MX"/>
        </w:rPr>
        <w:t xml:space="preserve">conformidad con lo señalado en el Resultando </w:t>
      </w:r>
      <w:r>
        <w:rPr>
          <w:rFonts w:ascii="ITC Avant Garde" w:eastAsia="Times New Roman" w:hAnsi="ITC Avant Garde"/>
          <w:bCs/>
          <w:color w:val="000000"/>
          <w:lang w:eastAsia="es-MX"/>
        </w:rPr>
        <w:t>Octavo</w:t>
      </w:r>
      <w:r w:rsidRPr="006C6EC4">
        <w:rPr>
          <w:rFonts w:ascii="ITC Avant Garde" w:eastAsia="Times New Roman" w:hAnsi="ITC Avant Garde"/>
          <w:b/>
          <w:bCs/>
          <w:color w:val="000000"/>
          <w:lang w:eastAsia="es-MX"/>
        </w:rPr>
        <w:t xml:space="preserve"> </w:t>
      </w:r>
      <w:r w:rsidRPr="006C6EC4">
        <w:rPr>
          <w:rFonts w:ascii="ITC Avant Garde" w:eastAsia="Times New Roman" w:hAnsi="ITC Avant Garde"/>
          <w:bCs/>
          <w:color w:val="000000"/>
          <w:lang w:eastAsia="es-MX"/>
        </w:rPr>
        <w:t xml:space="preserve">de la presente resolución y toda vez que </w:t>
      </w:r>
      <w:r w:rsidRPr="008A2C3C">
        <w:rPr>
          <w:rFonts w:ascii="ITC Avant Garde" w:hAnsi="ITC Avant Garde"/>
          <w:b/>
          <w:noProof/>
          <w:color w:val="000000"/>
          <w:lang w:eastAsia="es-MX"/>
        </w:rPr>
        <w:t>PORFIRIO TORRES PERALTA</w:t>
      </w:r>
      <w:r w:rsidRPr="006C6EC4">
        <w:rPr>
          <w:rFonts w:ascii="ITC Avant Garde" w:hAnsi="ITC Avant Garde"/>
          <w:b/>
          <w:color w:val="000000"/>
          <w:lang w:eastAsia="es-MX"/>
        </w:rPr>
        <w:t xml:space="preserve"> </w:t>
      </w:r>
      <w:r w:rsidRPr="006C6EC4">
        <w:rPr>
          <w:rFonts w:ascii="ITC Avant Garde" w:hAnsi="ITC Avant Garde" w:cs="Arial"/>
        </w:rPr>
        <w:t xml:space="preserve">omitió en perjuicio propio </w:t>
      </w:r>
      <w:r w:rsidRPr="006C6EC4">
        <w:rPr>
          <w:rFonts w:ascii="ITC Avant Garde" w:eastAsia="Times New Roman" w:hAnsi="ITC Avant Garde"/>
          <w:bCs/>
          <w:color w:val="000000"/>
          <w:lang w:eastAsia="es-MX"/>
        </w:rPr>
        <w:t>presentar pruebas</w:t>
      </w:r>
      <w:r w:rsidRPr="00832A00">
        <w:rPr>
          <w:rFonts w:ascii="ITC Avant Garde" w:eastAsia="Times New Roman" w:hAnsi="ITC Avant Garde"/>
          <w:bCs/>
          <w:color w:val="000000"/>
          <w:lang w:eastAsia="es-MX"/>
        </w:rPr>
        <w:t xml:space="preserve"> y defensas dentro del plazo establecido para tal efecto, por proveído de </w:t>
      </w:r>
      <w:r w:rsidRPr="008A2C3C">
        <w:rPr>
          <w:rFonts w:ascii="ITC Avant Garde" w:eastAsia="Times New Roman" w:hAnsi="ITC Avant Garde"/>
          <w:bCs/>
          <w:noProof/>
          <w:color w:val="000000"/>
          <w:lang w:eastAsia="es-MX"/>
        </w:rPr>
        <w:t>seis de febrero de dos mil dieciocho</w:t>
      </w:r>
      <w:r w:rsidRPr="00832A00">
        <w:rPr>
          <w:rFonts w:ascii="ITC Avant Garde" w:eastAsia="Times New Roman" w:hAnsi="ITC Avant Garde"/>
          <w:bCs/>
          <w:color w:val="000000"/>
          <w:lang w:eastAsia="es-MX"/>
        </w:rPr>
        <w:t xml:space="preserve">, notificado por publicación de lista diaria de notificaciones en la página de este </w:t>
      </w:r>
      <w:r w:rsidRPr="00832A00">
        <w:rPr>
          <w:rFonts w:ascii="ITC Avant Garde" w:eastAsia="Times New Roman" w:hAnsi="ITC Avant Garde"/>
          <w:b/>
          <w:bCs/>
          <w:color w:val="000000"/>
          <w:lang w:eastAsia="es-MX"/>
        </w:rPr>
        <w:t>“IFT”</w:t>
      </w:r>
      <w:r w:rsidRPr="00832A00">
        <w:rPr>
          <w:rFonts w:ascii="ITC Avant Garde" w:eastAsia="Times New Roman" w:hAnsi="ITC Avant Garde"/>
          <w:bCs/>
          <w:color w:val="000000"/>
          <w:lang w:eastAsia="es-MX"/>
        </w:rPr>
        <w:t xml:space="preserve"> </w:t>
      </w:r>
      <w:r w:rsidR="00101F02">
        <w:rPr>
          <w:rFonts w:ascii="ITC Avant Garde" w:eastAsia="Times New Roman" w:hAnsi="ITC Avant Garde"/>
          <w:bCs/>
          <w:color w:val="000000"/>
          <w:lang w:eastAsia="es-MX"/>
        </w:rPr>
        <w:t>ese mismo día</w:t>
      </w:r>
      <w:r w:rsidRPr="00832A00">
        <w:rPr>
          <w:rFonts w:ascii="ITC Avant Garde" w:eastAsia="Times New Roman" w:hAnsi="ITC Avant Garde"/>
          <w:bCs/>
          <w:color w:val="000000"/>
          <w:lang w:eastAsia="es-MX"/>
        </w:rPr>
        <w:t xml:space="preserve">, se le hizo efectivo el apercibimiento decretado </w:t>
      </w:r>
      <w:r w:rsidRPr="00832A00">
        <w:rPr>
          <w:rFonts w:ascii="ITC Avant Garde" w:hAnsi="ITC Avant Garde"/>
        </w:rPr>
        <w:t xml:space="preserve">en el </w:t>
      </w:r>
      <w:r w:rsidRPr="00832A00">
        <w:rPr>
          <w:rFonts w:ascii="ITC Avant Garde" w:eastAsia="Times New Roman" w:hAnsi="ITC Avant Garde"/>
          <w:bCs/>
          <w:color w:val="000000"/>
          <w:lang w:eastAsia="es-MX"/>
        </w:rPr>
        <w:t xml:space="preserve">acuerdo 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por lo que se le tuvo por perdido su derecho para presentar pruebas y defensas de su parte. Lo anterior, con fundamento en los artículos 288 y 315 del </w:t>
      </w:r>
      <w:r>
        <w:rPr>
          <w:rFonts w:ascii="ITC Avant Garde" w:eastAsia="Times New Roman" w:hAnsi="ITC Avant Garde"/>
          <w:b/>
          <w:bCs/>
          <w:color w:val="000000"/>
          <w:lang w:eastAsia="es-MX"/>
        </w:rPr>
        <w:t>“CFPC”</w:t>
      </w:r>
      <w:r>
        <w:rPr>
          <w:rFonts w:ascii="ITC Avant Garde" w:eastAsia="Times New Roman" w:hAnsi="ITC Avant Garde"/>
          <w:bCs/>
          <w:color w:val="000000"/>
          <w:lang w:eastAsia="es-MX"/>
        </w:rPr>
        <w:t xml:space="preserve">, de aplicación supletoria en términos de los artículos 6, fracciones IV y VII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y 2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w:t>
      </w:r>
    </w:p>
    <w:p w14:paraId="30822E3C" w14:textId="289434B9" w:rsidR="00CB7F8D"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apoyo a lo anterior el criterio sostenido por la Primera Sala de la Suprema</w:t>
      </w:r>
    </w:p>
    <w:p w14:paraId="4821AF55" w14:textId="77777777" w:rsidR="00327D0C"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Corte de Justicia de la Nación, publicado en el Semanario Judicial de la Federación y su Gaceta, Libro XXII, en Julio de 2013, Tomo 1, Materia(s): Constitucional, Tesis: la. CCV/2013 (100.), Página: 565 cuyo Rubro y texto son del tenor siguiente:</w:t>
      </w:r>
    </w:p>
    <w:p w14:paraId="506BD461" w14:textId="77777777" w:rsidR="00327D0C"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POLÍTICA DE LOS ESTADOS UNIDOS MEXICANOS.</w:t>
      </w:r>
      <w:r>
        <w:rPr>
          <w:rFonts w:ascii="ITC Avant Garde" w:eastAsia="Times New Roman" w:hAnsi="ITC Avant Garde"/>
          <w:bCs/>
          <w:i/>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30822E42" w14:textId="4F50236C" w:rsidR="00CB7F8D" w:rsidRDefault="00CB7F8D" w:rsidP="00327D0C">
      <w:pPr>
        <w:spacing w:after="240" w:line="360" w:lineRule="auto"/>
        <w:jc w:val="both"/>
        <w:rPr>
          <w:rFonts w:ascii="ITC Avant Garde" w:hAnsi="ITC Avant Garde"/>
        </w:rPr>
      </w:pPr>
      <w:r>
        <w:rPr>
          <w:rFonts w:ascii="ITC Avant Garde" w:hAnsi="ITC Avant Garde"/>
        </w:rPr>
        <w:t xml:space="preserve">Ahora bien, no obstante haber sido legalmente notificado </w:t>
      </w:r>
      <w:r w:rsidRPr="008A2C3C">
        <w:rPr>
          <w:rFonts w:ascii="ITC Avant Garde" w:hAnsi="ITC Avant Garde"/>
          <w:b/>
          <w:noProof/>
          <w:color w:val="000000"/>
          <w:lang w:eastAsia="es-MX"/>
        </w:rPr>
        <w:t>PORFIRIO TORRES PERALTA</w:t>
      </w:r>
      <w:r>
        <w:rPr>
          <w:rFonts w:ascii="ITC Avant Garde" w:hAnsi="ITC Avant Garde"/>
          <w:b/>
        </w:rPr>
        <w:t xml:space="preserve"> </w:t>
      </w:r>
      <w:r>
        <w:rPr>
          <w:rFonts w:ascii="ITC Avant Garde" w:hAnsi="ITC Avant Garde"/>
        </w:rPr>
        <w:t>no compareció al presente procedimiento a defender sus intereses.</w:t>
      </w:r>
    </w:p>
    <w:p w14:paraId="70F37B29" w14:textId="77777777" w:rsidR="00327D0C"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considerando que </w:t>
      </w:r>
      <w:r w:rsidRPr="008A2C3C">
        <w:rPr>
          <w:rFonts w:ascii="ITC Avant Garde" w:hAnsi="ITC Avant Garde"/>
          <w:b/>
          <w:noProof/>
          <w:color w:val="000000"/>
          <w:lang w:eastAsia="es-MX"/>
        </w:rPr>
        <w:t>PORFIRIO TORRES PERALTA</w:t>
      </w:r>
      <w:r>
        <w:rPr>
          <w:rFonts w:ascii="ITC Avant Garde" w:eastAsia="Times New Roman" w:hAnsi="ITC Avant Garde"/>
          <w:bCs/>
          <w:color w:val="000000"/>
          <w:lang w:eastAsia="es-MX"/>
        </w:rPr>
        <w:t xml:space="preserve"> fue omiso en presentar las pruebas y manifestaciones que a su derecho convinieron,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los elementos con que cuenta esta autoridad.</w:t>
      </w:r>
    </w:p>
    <w:p w14:paraId="7AB7C047" w14:textId="77777777" w:rsidR="00327D0C"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lo establecido en el acuerdo de inicio del procedimiento que en este acto se resuelve constituye una presunción legal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la cual sólo es destruible </w:t>
      </w:r>
      <w:r>
        <w:rPr>
          <w:rFonts w:ascii="ITC Avant Garde" w:eastAsia="Times New Roman" w:hAnsi="ITC Avant Garde"/>
          <w:bCs/>
          <w:color w:val="000000"/>
          <w:lang w:eastAsia="es-MX"/>
        </w:rPr>
        <w:lastRenderedPageBreak/>
        <w:t>mediante otra probanza que se aporte en sentido contrario, ya que, de no ser así, la misma tiene valor probatorio pleno.</w:t>
      </w:r>
    </w:p>
    <w:p w14:paraId="39850E00" w14:textId="77777777" w:rsidR="00327D0C"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Desde luego, para que se pueda desvirtuar la presunción legal establecida en el acuerdo de inicio del procedimiento en que se actúa, la idoneidad de la contraprueba tiene que ser contundente para vencer la plenitud </w:t>
      </w:r>
      <w:proofErr w:type="spellStart"/>
      <w:r>
        <w:rPr>
          <w:rFonts w:ascii="ITC Avant Garde" w:eastAsia="Times New Roman" w:hAnsi="ITC Avant Garde"/>
          <w:bCs/>
          <w:color w:val="000000"/>
          <w:lang w:eastAsia="es-MX"/>
        </w:rPr>
        <w:t>convictiva</w:t>
      </w:r>
      <w:proofErr w:type="spellEnd"/>
      <w:r>
        <w:rPr>
          <w:rFonts w:ascii="ITC Avant Garde" w:eastAsia="Times New Roman" w:hAnsi="ITC Avant Garde"/>
          <w:bCs/>
          <w:color w:val="000000"/>
          <w:lang w:eastAsia="es-MX"/>
        </w:rPr>
        <w:t xml:space="preserve"> que la ley le atribuye a la primera, de manera que si los presuntos infractores no ofrecen pruebas tendientes a desvirtuar la presunción de incumplimiento detectado, como aconteció en la especie, entonces, no es posible vencer la solidez atribuida a la presunción relativa de que se trate.</w:t>
      </w:r>
    </w:p>
    <w:p w14:paraId="2D01669C" w14:textId="77777777" w:rsidR="00327D0C" w:rsidRDefault="00CB7F8D" w:rsidP="00327D0C">
      <w:pPr>
        <w:tabs>
          <w:tab w:val="left" w:pos="142"/>
        </w:tabs>
        <w:spacing w:after="240" w:line="360" w:lineRule="auto"/>
        <w:jc w:val="both"/>
        <w:rPr>
          <w:rFonts w:ascii="ITC Avant Garde" w:hAnsi="ITC Avant Garde"/>
          <w:i/>
          <w:color w:val="000000"/>
          <w:sz w:val="20"/>
        </w:rPr>
      </w:pPr>
      <w:r>
        <w:rPr>
          <w:rFonts w:ascii="ITC Avant Garde" w:eastAsia="Times New Roman" w:hAnsi="ITC Avant Garde"/>
          <w:bCs/>
          <w:color w:val="000000"/>
          <w:lang w:eastAsia="es-MX"/>
        </w:rPr>
        <w:t xml:space="preserve">En este sentido, las presunciones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sólo pueden ser desvirtuadas mediante una contraprueba suficiente para destruirla; en caso contrario, se genera una presunción en la comisión de los hechos imputados.</w:t>
      </w:r>
    </w:p>
    <w:p w14:paraId="30822E4C" w14:textId="4076EA25" w:rsidR="00CB7F8D" w:rsidRDefault="00CB7F8D" w:rsidP="00327D0C">
      <w:pPr>
        <w:spacing w:after="240" w:line="360" w:lineRule="auto"/>
        <w:jc w:val="both"/>
        <w:rPr>
          <w:rFonts w:ascii="ITC Avant Garde" w:hAnsi="ITC Avant Garde"/>
        </w:rPr>
      </w:pPr>
      <w:r>
        <w:rPr>
          <w:rFonts w:ascii="ITC Avant Garde" w:eastAsia="Times New Roman" w:hAnsi="ITC Avant Garde"/>
          <w:bCs/>
          <w:color w:val="000000"/>
          <w:lang w:eastAsia="es-MX"/>
        </w:rPr>
        <w:t xml:space="preserve">En ese orden de ideas, al no haber realizado </w:t>
      </w:r>
      <w:r w:rsidRPr="008A2C3C">
        <w:rPr>
          <w:rFonts w:ascii="ITC Avant Garde" w:hAnsi="ITC Avant Garde"/>
          <w:b/>
          <w:noProof/>
          <w:color w:val="000000"/>
          <w:lang w:eastAsia="es-MX"/>
        </w:rPr>
        <w:t>PORFIRIO TORRES PERALTA</w:t>
      </w:r>
      <w:r>
        <w:rPr>
          <w:rFonts w:ascii="ITC Avant Garde" w:hAnsi="ITC Avant Garde"/>
          <w:b/>
          <w:color w:val="000000"/>
          <w:lang w:eastAsia="es-MX"/>
        </w:rPr>
        <w:t xml:space="preserve"> </w:t>
      </w:r>
      <w:r>
        <w:rPr>
          <w:rFonts w:ascii="ITC Avant Garde" w:eastAsia="Times New Roman" w:hAnsi="ITC Avant Garde"/>
          <w:bCs/>
          <w:color w:val="000000"/>
          <w:lang w:eastAsia="es-MX"/>
        </w:rPr>
        <w:t>manifestación alguna en relación con el acuerdo de inicio de procedimiento en que se actúa y tampoco ofrecer pruebas de su parte, se tienen por ciertas las imputaciones formuladas en el respectivo acuerdo de inicio de procedimiento administrativo de revocación abierto en su contra.</w:t>
      </w:r>
    </w:p>
    <w:p w14:paraId="4B6D1364" w14:textId="77777777" w:rsidR="00327D0C" w:rsidRDefault="00CB7F8D" w:rsidP="00327D0C">
      <w:pPr>
        <w:spacing w:after="240" w:line="360" w:lineRule="auto"/>
        <w:jc w:val="both"/>
        <w:rPr>
          <w:rFonts w:ascii="ITC Avant Garde" w:eastAsia="Times New Roman" w:hAnsi="ITC Avant Garde"/>
          <w:b/>
          <w:bCs/>
          <w:color w:val="000000"/>
          <w:lang w:eastAsia="es-MX"/>
        </w:rPr>
      </w:pPr>
      <w:r w:rsidRPr="00B823E7">
        <w:rPr>
          <w:rFonts w:ascii="ITC Avant Garde" w:eastAsia="Times New Roman" w:hAnsi="ITC Avant Garde"/>
          <w:b/>
          <w:bCs/>
          <w:color w:val="000000"/>
          <w:lang w:eastAsia="es-MX"/>
        </w:rPr>
        <w:t xml:space="preserve">QUINTO. </w:t>
      </w:r>
      <w:r w:rsidRPr="00F54548">
        <w:rPr>
          <w:rFonts w:ascii="ITC Avant Garde" w:eastAsia="Times New Roman" w:hAnsi="ITC Avant Garde"/>
          <w:b/>
          <w:bCs/>
          <w:color w:val="000000"/>
          <w:lang w:eastAsia="es-MX"/>
        </w:rPr>
        <w:t>ALEGATOS</w:t>
      </w:r>
    </w:p>
    <w:p w14:paraId="0060062A"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
          <w:bCs/>
          <w:lang w:eastAsia="es-MX"/>
        </w:rPr>
      </w:pPr>
      <w:r>
        <w:rPr>
          <w:rFonts w:ascii="ITC Avant Garde" w:eastAsia="Times New Roman" w:hAnsi="ITC Avant Garde"/>
          <w:bCs/>
          <w:color w:val="000000"/>
          <w:lang w:eastAsia="es-MX"/>
        </w:rPr>
        <w:t xml:space="preserve">A través del </w:t>
      </w:r>
      <w:r w:rsidRPr="000614E1">
        <w:rPr>
          <w:rFonts w:ascii="ITC Avant Garde" w:eastAsia="Times New Roman" w:hAnsi="ITC Avant Garde"/>
          <w:bCs/>
          <w:color w:val="000000"/>
          <w:lang w:eastAsia="es-MX"/>
        </w:rPr>
        <w:t xml:space="preserve">acuerdo de </w:t>
      </w:r>
      <w:r w:rsidRPr="008A2C3C">
        <w:rPr>
          <w:rFonts w:ascii="ITC Avant Garde" w:eastAsia="Times New Roman" w:hAnsi="ITC Avant Garde"/>
          <w:bCs/>
          <w:noProof/>
          <w:color w:val="000000"/>
          <w:lang w:eastAsia="es-MX"/>
        </w:rPr>
        <w:t>seis de febrero de dos mil dieciocho</w:t>
      </w:r>
      <w:r w:rsidRPr="000614E1">
        <w:rPr>
          <w:rFonts w:ascii="ITC Avant Garde" w:eastAsia="Times New Roman" w:hAnsi="ITC Avant Garde"/>
          <w:bCs/>
          <w:color w:val="000000"/>
          <w:lang w:eastAsia="es-MX"/>
        </w:rPr>
        <w:t>, notificado</w:t>
      </w:r>
      <w:r>
        <w:rPr>
          <w:rFonts w:ascii="ITC Avant Garde" w:eastAsia="Times New Roman" w:hAnsi="ITC Avant Garde"/>
          <w:bCs/>
          <w:color w:val="000000"/>
          <w:lang w:eastAsia="es-MX"/>
        </w:rPr>
        <w:t xml:space="preserve"> por publicación de lista diaria de notificaciones en la página de este </w:t>
      </w:r>
      <w:r>
        <w:rPr>
          <w:rFonts w:ascii="ITC Avant Garde" w:eastAsia="Times New Roman" w:hAnsi="ITC Avant Garde"/>
          <w:b/>
          <w:bCs/>
          <w:color w:val="000000"/>
          <w:lang w:eastAsia="es-MX"/>
        </w:rPr>
        <w:t>“IFT</w:t>
      </w:r>
      <w:r w:rsidRPr="00F3426A">
        <w:rPr>
          <w:rFonts w:ascii="ITC Avant Garde" w:eastAsia="Times New Roman" w:hAnsi="ITC Avant Garde"/>
          <w:b/>
          <w:bCs/>
          <w:lang w:eastAsia="es-MX"/>
        </w:rPr>
        <w:t>”</w:t>
      </w:r>
      <w:r w:rsidRPr="00F3426A">
        <w:rPr>
          <w:rFonts w:ascii="ITC Avant Garde" w:eastAsia="Times New Roman" w:hAnsi="ITC Avant Garde"/>
          <w:bCs/>
          <w:lang w:eastAsia="es-MX"/>
        </w:rPr>
        <w:t xml:space="preserve"> </w:t>
      </w:r>
      <w:r w:rsidR="007363DA">
        <w:rPr>
          <w:rFonts w:ascii="ITC Avant Garde" w:eastAsia="Times New Roman" w:hAnsi="ITC Avant Garde"/>
          <w:bCs/>
          <w:lang w:eastAsia="es-MX"/>
        </w:rPr>
        <w:t>ese mismo día</w:t>
      </w:r>
      <w:r w:rsidRPr="00F3426A">
        <w:rPr>
          <w:rFonts w:ascii="ITC Avant Garde" w:eastAsia="Times New Roman" w:hAnsi="ITC Avant Garde"/>
          <w:bCs/>
          <w:lang w:eastAsia="es-MX"/>
        </w:rPr>
        <w:t xml:space="preserve">, se concedió </w:t>
      </w:r>
      <w:r w:rsidRPr="008A2C3C">
        <w:rPr>
          <w:rFonts w:ascii="ITC Avant Garde" w:eastAsia="Times New Roman" w:hAnsi="ITC Avant Garde"/>
          <w:bCs/>
          <w:noProof/>
          <w:lang w:eastAsia="es-MX"/>
        </w:rPr>
        <w:t>a</w:t>
      </w:r>
      <w:r w:rsidRPr="00F3426A">
        <w:rPr>
          <w:rFonts w:ascii="ITC Avant Garde" w:eastAsia="Times New Roman" w:hAnsi="ITC Avant Garde"/>
          <w:bCs/>
          <w:lang w:eastAsia="es-MX"/>
        </w:rPr>
        <w:t xml:space="preserve"> </w:t>
      </w:r>
      <w:r w:rsidRPr="008A2C3C">
        <w:rPr>
          <w:rFonts w:ascii="ITC Avant Garde" w:hAnsi="ITC Avant Garde"/>
          <w:b/>
          <w:noProof/>
          <w:lang w:eastAsia="es-MX"/>
        </w:rPr>
        <w:t>PORFIRIO TORRES PERALTA</w:t>
      </w:r>
      <w:r w:rsidRPr="00F3426A">
        <w:rPr>
          <w:rFonts w:ascii="ITC Avant Garde" w:hAnsi="ITC Avant Garde"/>
          <w:b/>
          <w:lang w:eastAsia="es-MX"/>
        </w:rPr>
        <w:t xml:space="preserve"> </w:t>
      </w:r>
      <w:r w:rsidRPr="00F3426A">
        <w:rPr>
          <w:rFonts w:ascii="ITC Avant Garde" w:eastAsia="Times New Roman" w:hAnsi="ITC Avant Garde"/>
          <w:bCs/>
          <w:lang w:eastAsia="es-MX"/>
        </w:rPr>
        <w:t xml:space="preserve">un plazo de diez días hábiles para formular alegatos, el cual </w:t>
      </w:r>
      <w:r>
        <w:rPr>
          <w:rFonts w:ascii="ITC Avant Garde" w:eastAsia="Times New Roman" w:hAnsi="ITC Avant Garde"/>
          <w:bCs/>
          <w:lang w:eastAsia="es-MX"/>
        </w:rPr>
        <w:t>corrió</w:t>
      </w:r>
      <w:r w:rsidRPr="00F3426A">
        <w:rPr>
          <w:rFonts w:ascii="ITC Avant Garde" w:eastAsia="Times New Roman" w:hAnsi="ITC Avant Garde"/>
          <w:bCs/>
          <w:lang w:eastAsia="es-MX"/>
        </w:rPr>
        <w:t xml:space="preserve"> </w:t>
      </w:r>
      <w:r w:rsidRPr="008A2C3C">
        <w:rPr>
          <w:rFonts w:ascii="ITC Avant Garde" w:eastAsia="Times New Roman" w:hAnsi="ITC Avant Garde"/>
          <w:bCs/>
          <w:noProof/>
          <w:lang w:eastAsia="es-MX"/>
        </w:rPr>
        <w:t>del ocho al veintiuno de febrero de dos mil dieciocho, sin considerar los días diez, once, diecisiete y dieciocho de febrero de dos mil dieciocho, por haber sido sábados y domingos, en términos del artículo 28 de la "</w:t>
      </w:r>
      <w:r w:rsidRPr="007363DA">
        <w:rPr>
          <w:rFonts w:ascii="ITC Avant Garde" w:eastAsia="Times New Roman" w:hAnsi="ITC Avant Garde"/>
          <w:b/>
          <w:bCs/>
          <w:noProof/>
          <w:lang w:eastAsia="es-MX"/>
        </w:rPr>
        <w:t>LFPA</w:t>
      </w:r>
      <w:r w:rsidRPr="008A2C3C">
        <w:rPr>
          <w:rFonts w:ascii="ITC Avant Garde" w:eastAsia="Times New Roman" w:hAnsi="ITC Avant Garde"/>
          <w:bCs/>
          <w:noProof/>
          <w:lang w:eastAsia="es-MX"/>
        </w:rPr>
        <w:t>"</w:t>
      </w:r>
    </w:p>
    <w:p w14:paraId="698DDCE3"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las constancias que forman parte del presente expediente, se observa </w:t>
      </w:r>
      <w:proofErr w:type="gramStart"/>
      <w:r>
        <w:rPr>
          <w:rFonts w:ascii="ITC Avant Garde" w:eastAsia="Times New Roman" w:hAnsi="ITC Avant Garde"/>
          <w:bCs/>
          <w:color w:val="000000"/>
          <w:lang w:eastAsia="es-MX"/>
        </w:rPr>
        <w:t>que</w:t>
      </w:r>
      <w:proofErr w:type="gramEnd"/>
      <w:r>
        <w:rPr>
          <w:rFonts w:ascii="ITC Avant Garde" w:eastAsia="Times New Roman" w:hAnsi="ITC Avant Garde"/>
          <w:bCs/>
          <w:color w:val="000000"/>
          <w:lang w:eastAsia="es-MX"/>
        </w:rPr>
        <w:t xml:space="preserve"> para tal efecto, </w:t>
      </w:r>
      <w:r w:rsidRPr="008A2C3C">
        <w:rPr>
          <w:rFonts w:ascii="ITC Avant Garde" w:hAnsi="ITC Avant Garde"/>
          <w:b/>
          <w:noProof/>
          <w:color w:val="000000"/>
          <w:lang w:eastAsia="es-MX"/>
        </w:rPr>
        <w:t>PORFIRIO TORRES PERALTA</w:t>
      </w:r>
      <w:r>
        <w:rPr>
          <w:rFonts w:ascii="ITC Avant Garde" w:hAnsi="ITC Avant Garde"/>
          <w:color w:val="000000"/>
          <w:lang w:eastAsia="es-MX"/>
        </w:rPr>
        <w:t xml:space="preserve"> </w:t>
      </w:r>
      <w:r>
        <w:rPr>
          <w:rFonts w:ascii="ITC Avant Garde" w:eastAsia="Times New Roman" w:hAnsi="ITC Avant Garde"/>
          <w:bCs/>
          <w:color w:val="000000"/>
          <w:lang w:eastAsia="es-MX"/>
        </w:rPr>
        <w:t xml:space="preserve">no presentó alegatos ante éste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w:t>
      </w:r>
    </w:p>
    <w:p w14:paraId="31FD4BB2"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De acuerdo a lo señalado en el </w:t>
      </w:r>
      <w:r w:rsidR="007363DA">
        <w:rPr>
          <w:rFonts w:ascii="ITC Avant Garde" w:eastAsia="Times New Roman" w:hAnsi="ITC Avant Garde"/>
          <w:bCs/>
          <w:color w:val="000000"/>
          <w:lang w:eastAsia="es-MX"/>
        </w:rPr>
        <w:t xml:space="preserve">Resultando </w:t>
      </w:r>
      <w:r w:rsidR="007363DA">
        <w:rPr>
          <w:rFonts w:ascii="ITC Avant Garde" w:eastAsia="Times New Roman" w:hAnsi="ITC Avant Garde"/>
          <w:b/>
          <w:bCs/>
          <w:color w:val="000000"/>
          <w:lang w:eastAsia="es-MX"/>
        </w:rPr>
        <w:t>Noveno</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de la presente Resolución, por proveído de </w:t>
      </w:r>
      <w:r w:rsidRPr="008A2C3C">
        <w:rPr>
          <w:rFonts w:ascii="ITC Avant Garde" w:eastAsia="Times New Roman" w:hAnsi="ITC Avant Garde"/>
          <w:bCs/>
          <w:noProof/>
          <w:color w:val="000000"/>
          <w:lang w:eastAsia="es-MX"/>
        </w:rPr>
        <w:t>veintiocho de febrero de dos mil dieciocho</w:t>
      </w:r>
      <w:r>
        <w:rPr>
          <w:rFonts w:ascii="ITC Avant Garde" w:eastAsia="Times New Roman" w:hAnsi="ITC Avant Garde"/>
          <w:bCs/>
          <w:color w:val="000000"/>
          <w:lang w:eastAsia="es-MX"/>
        </w:rPr>
        <w:t xml:space="preserve">, publicado en la página del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en la lista diaria de notificaciones de la misma fecha, se tuvo por perdido el derecho </w:t>
      </w:r>
      <w:r w:rsidRPr="0004662C">
        <w:rPr>
          <w:rFonts w:ascii="ITC Avant Garde" w:hAnsi="ITC Avant Garde"/>
          <w:noProof/>
          <w:color w:val="000000"/>
          <w:lang w:eastAsia="es-MX"/>
        </w:rPr>
        <w:t>de</w:t>
      </w:r>
      <w:r w:rsidRPr="008A2C3C">
        <w:rPr>
          <w:rFonts w:ascii="ITC Avant Garde" w:hAnsi="ITC Avant Garde"/>
          <w:b/>
          <w:noProof/>
          <w:color w:val="000000"/>
          <w:lang w:eastAsia="es-MX"/>
        </w:rPr>
        <w:t xml:space="preserve"> PORFIRIO TORRES PERALTA</w:t>
      </w:r>
      <w:r>
        <w:rPr>
          <w:rFonts w:ascii="ITC Avant Garde" w:hAnsi="ITC Avant Garde"/>
          <w:b/>
          <w:color w:val="000000"/>
          <w:lang w:eastAsia="es-MX"/>
        </w:rPr>
        <w:t xml:space="preserve"> </w:t>
      </w:r>
      <w:r>
        <w:rPr>
          <w:rFonts w:ascii="ITC Avant Garde" w:eastAsia="Times New Roman" w:hAnsi="ITC Avant Garde"/>
          <w:bCs/>
          <w:color w:val="000000"/>
          <w:lang w:eastAsia="es-MX"/>
        </w:rPr>
        <w:t xml:space="preserve">para formular alegatos de su parte con fundamento en los artículos 56 de la </w:t>
      </w:r>
      <w:r w:rsidRPr="009B2BFD">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xml:space="preserve"> y 288 del </w:t>
      </w:r>
      <w:r>
        <w:rPr>
          <w:rFonts w:ascii="ITC Avant Garde" w:eastAsia="Times New Roman" w:hAnsi="ITC Avant Garde"/>
          <w:b/>
          <w:bCs/>
          <w:color w:val="000000"/>
          <w:lang w:eastAsia="es-MX"/>
        </w:rPr>
        <w:t>“CFPC”</w:t>
      </w:r>
      <w:r>
        <w:rPr>
          <w:rFonts w:ascii="ITC Avant Garde" w:eastAsia="Times New Roman" w:hAnsi="ITC Avant Garde"/>
          <w:bCs/>
          <w:color w:val="000000"/>
          <w:lang w:eastAsia="es-MX"/>
        </w:rPr>
        <w:t>.</w:t>
      </w:r>
    </w:p>
    <w:p w14:paraId="0A6E1C40" w14:textId="77777777" w:rsidR="00327D0C" w:rsidRDefault="00CB7F8D" w:rsidP="00327D0C">
      <w:pPr>
        <w:tabs>
          <w:tab w:val="left" w:pos="709"/>
          <w:tab w:val="left" w:pos="851"/>
        </w:tabs>
        <w:spacing w:after="240" w:line="360" w:lineRule="auto"/>
        <w:jc w:val="both"/>
        <w:rPr>
          <w:lang w:eastAsia="es-MX"/>
        </w:rPr>
      </w:pPr>
      <w:r>
        <w:rPr>
          <w:rFonts w:ascii="ITC Avant Garde" w:hAnsi="ITC Avant Garde" w:cs="Tahoma"/>
          <w:bCs/>
          <w:color w:val="222222"/>
          <w:shd w:val="clear" w:color="auto" w:fill="FFFFFF"/>
        </w:rPr>
        <w:t xml:space="preserve">Por lo anterior, al no existir análisis pendiente por realizar se procede a emitir la resolución al procedimiento administrativo de revocación sustanciado en la Unidad de Cumplimiento, atendiendo a los elementos que causan plenitud </w:t>
      </w:r>
      <w:proofErr w:type="spellStart"/>
      <w:r>
        <w:rPr>
          <w:rFonts w:ascii="ITC Avant Garde" w:hAnsi="ITC Avant Garde" w:cs="Tahoma"/>
          <w:bCs/>
          <w:color w:val="222222"/>
          <w:shd w:val="clear" w:color="auto" w:fill="FFFFFF"/>
        </w:rPr>
        <w:t>convictiva</w:t>
      </w:r>
      <w:proofErr w:type="spellEnd"/>
      <w:r>
        <w:rPr>
          <w:rFonts w:ascii="ITC Avant Garde" w:hAnsi="ITC Avant Garde" w:cs="Tahoma"/>
          <w:bCs/>
          <w:color w:val="222222"/>
          <w:shd w:val="clear" w:color="auto" w:fill="FFFFFF"/>
        </w:rPr>
        <w:t xml:space="preserve"> en esta autoridad, cumpliendo los principios procesales que rigen todo procedimiento.</w:t>
      </w:r>
      <w:r>
        <w:rPr>
          <w:lang w:eastAsia="es-MX"/>
        </w:rPr>
        <w:t xml:space="preserve"> </w:t>
      </w:r>
    </w:p>
    <w:p w14:paraId="2129A610" w14:textId="77777777" w:rsidR="00327D0C" w:rsidRDefault="00CB7F8D" w:rsidP="00327D0C">
      <w:pPr>
        <w:pStyle w:val="Textoindependiente"/>
        <w:tabs>
          <w:tab w:val="left" w:pos="851"/>
        </w:tabs>
        <w:spacing w:after="24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14:paraId="529F1BA1" w14:textId="77777777" w:rsidR="00327D0C" w:rsidRDefault="00CB7F8D" w:rsidP="00327D0C">
      <w:pPr>
        <w:pStyle w:val="Textoindependiente"/>
        <w:tabs>
          <w:tab w:val="left" w:pos="851"/>
        </w:tabs>
        <w:spacing w:after="240" w:line="360" w:lineRule="auto"/>
        <w:ind w:left="567" w:right="567"/>
        <w:jc w:val="both"/>
        <w:rPr>
          <w:rFonts w:ascii="ITC Avant Garde" w:hAnsi="ITC Avant Garde"/>
          <w:i/>
          <w:color w:val="000000"/>
          <w:sz w:val="20"/>
          <w:szCs w:val="20"/>
        </w:rPr>
      </w:pPr>
      <w:r>
        <w:rPr>
          <w:rFonts w:ascii="ITC Avant Garde" w:hAnsi="ITC Avant Garde"/>
          <w:i/>
          <w:color w:val="000000"/>
          <w:sz w:val="20"/>
        </w:rPr>
        <w:t>“</w:t>
      </w:r>
      <w:r>
        <w:rPr>
          <w:rFonts w:ascii="ITC Avant Garde" w:hAnsi="ITC Avant Garde"/>
          <w:b/>
          <w:i/>
          <w:color w:val="000000"/>
          <w:sz w:val="20"/>
          <w:szCs w:val="20"/>
        </w:rPr>
        <w:t>DERECHO AL DEBIDO PROCESO. SU CONTENIDO.</w:t>
      </w:r>
      <w:r>
        <w:rPr>
          <w:rFonts w:ascii="ITC Avant Garde" w:hAnsi="ITC Avant Garde"/>
          <w:i/>
          <w:color w:val="000000"/>
          <w:sz w:val="20"/>
        </w:rPr>
        <w:t xml:space="preserve"> </w:t>
      </w:r>
      <w:r>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w:t>
      </w:r>
      <w:r>
        <w:rPr>
          <w:rFonts w:ascii="ITC Avant Garde" w:hAnsi="ITC Avant Garde"/>
          <w:i/>
          <w:color w:val="000000"/>
          <w:sz w:val="20"/>
          <w:szCs w:val="20"/>
        </w:rPr>
        <w:lastRenderedPageBreak/>
        <w:t>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7029058E" w14:textId="77777777" w:rsidR="00327D0C" w:rsidRDefault="00CB7F8D" w:rsidP="00327D0C">
      <w:pPr>
        <w:pStyle w:val="Textoindependiente"/>
        <w:tabs>
          <w:tab w:val="left" w:pos="851"/>
        </w:tabs>
        <w:spacing w:after="240" w:line="360" w:lineRule="auto"/>
        <w:ind w:left="567" w:right="567"/>
        <w:jc w:val="both"/>
        <w:rPr>
          <w:rFonts w:ascii="ITC Avant Garde" w:hAnsi="ITC Avant Garde"/>
          <w:i/>
          <w:color w:val="000000"/>
          <w:sz w:val="18"/>
        </w:rPr>
      </w:pPr>
      <w:r w:rsidRPr="00D00469">
        <w:rPr>
          <w:rFonts w:ascii="ITC Avant Garde" w:eastAsia="Times New Roman" w:hAnsi="ITC Avant Garde"/>
          <w:bCs/>
          <w:i/>
          <w:color w:val="000000"/>
          <w:sz w:val="18"/>
          <w:szCs w:val="20"/>
          <w:lang w:eastAsia="es-MX"/>
        </w:rPr>
        <w:t xml:space="preserve">Época: Décima Época, Registro: 2005716, Instancia: Primera Sala, Tipo de Tesis: Jurisprudencia, Fuente: Gaceta del Semanario Judicial de la Federación, Libro 3, </w:t>
      </w:r>
      <w:proofErr w:type="gramStart"/>
      <w:r w:rsidRPr="00D00469">
        <w:rPr>
          <w:rFonts w:ascii="ITC Avant Garde" w:eastAsia="Times New Roman" w:hAnsi="ITC Avant Garde"/>
          <w:bCs/>
          <w:i/>
          <w:color w:val="000000"/>
          <w:sz w:val="18"/>
          <w:szCs w:val="20"/>
          <w:lang w:eastAsia="es-MX"/>
        </w:rPr>
        <w:t>Febrero</w:t>
      </w:r>
      <w:proofErr w:type="gramEnd"/>
      <w:r w:rsidRPr="00D00469">
        <w:rPr>
          <w:rFonts w:ascii="ITC Avant Garde" w:eastAsia="Times New Roman" w:hAnsi="ITC Avant Garde"/>
          <w:bCs/>
          <w:i/>
          <w:color w:val="000000"/>
          <w:sz w:val="18"/>
          <w:szCs w:val="20"/>
          <w:lang w:eastAsia="es-MX"/>
        </w:rPr>
        <w:t xml:space="preserve"> de 2014, Tomo I, Materia(s): Constitucional, Tesis: 1a./J. 11/2014 (10a.), Página: 396.”</w:t>
      </w:r>
    </w:p>
    <w:p w14:paraId="1F0C4635" w14:textId="77777777" w:rsidR="00327D0C" w:rsidRDefault="00CB7F8D" w:rsidP="00327D0C">
      <w:pPr>
        <w:tabs>
          <w:tab w:val="left" w:pos="993"/>
        </w:tabs>
        <w:spacing w:after="240" w:line="360" w:lineRule="auto"/>
        <w:jc w:val="both"/>
        <w:rPr>
          <w:rFonts w:ascii="ITC Avant Garde" w:eastAsia="Times New Roman" w:hAnsi="ITC Avant Garde"/>
          <w:b/>
          <w:bCs/>
          <w:smallCaps/>
          <w:color w:val="000000"/>
          <w:lang w:eastAsia="es-MX"/>
        </w:rPr>
      </w:pPr>
      <w:r w:rsidRPr="00B5087E">
        <w:rPr>
          <w:rFonts w:ascii="ITC Avant Garde" w:eastAsia="Times New Roman" w:hAnsi="ITC Avant Garde"/>
          <w:b/>
          <w:bCs/>
          <w:smallCaps/>
          <w:color w:val="000000"/>
          <w:lang w:eastAsia="es-MX"/>
        </w:rPr>
        <w:t>SEXTO. Análisis de la conducta y consecuencias jurídicas</w:t>
      </w:r>
    </w:p>
    <w:p w14:paraId="2D93531F" w14:textId="77777777" w:rsidR="00327D0C" w:rsidRDefault="00CB7F8D" w:rsidP="00327D0C">
      <w:pPr>
        <w:tabs>
          <w:tab w:val="left" w:pos="993"/>
        </w:tabs>
        <w:spacing w:after="240" w:line="360" w:lineRule="auto"/>
        <w:jc w:val="both"/>
        <w:rPr>
          <w:rFonts w:ascii="ITC Avant Garde" w:hAnsi="ITC Avant Garde"/>
        </w:rPr>
      </w:pPr>
      <w:r>
        <w:rPr>
          <w:rFonts w:ascii="ITC Avant Garde" w:eastAsia="Times New Roman" w:hAnsi="ITC Avant Garde"/>
          <w:bCs/>
          <w:color w:val="000000"/>
          <w:lang w:eastAsia="es-MX"/>
        </w:rPr>
        <w:t xml:space="preserve">Derivado de lo expuesto, se considera que existen elementos probatorios suficientes y determinantes para acreditar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color w:val="000000"/>
          <w:lang w:eastAsia="es-MX"/>
        </w:rPr>
        <w:t xml:space="preserve"> </w:t>
      </w:r>
      <w:r w:rsidRPr="002C56FB">
        <w:rPr>
          <w:rFonts w:ascii="ITC Avant Garde" w:hAnsi="ITC Avant Garde"/>
        </w:rPr>
        <w:t>al momento de iniciar</w:t>
      </w:r>
      <w:r>
        <w:rPr>
          <w:rFonts w:ascii="ITC Avant Garde" w:hAnsi="ITC Avant Garde"/>
        </w:rPr>
        <w:t xml:space="preserve">se el </w:t>
      </w:r>
      <w:r w:rsidRPr="002C56FB">
        <w:rPr>
          <w:rFonts w:ascii="ITC Avant Garde" w:hAnsi="ITC Avant Garde"/>
        </w:rPr>
        <w:t xml:space="preserve">procedimiento </w:t>
      </w:r>
      <w:r>
        <w:rPr>
          <w:rFonts w:ascii="ITC Avant Garde" w:hAnsi="ITC Avant Garde"/>
        </w:rPr>
        <w:t xml:space="preserve">administrativo de revocación </w:t>
      </w:r>
      <w:r w:rsidRPr="002C56FB">
        <w:rPr>
          <w:rFonts w:ascii="ITC Avant Garde" w:hAnsi="ITC Avant Garde"/>
        </w:rPr>
        <w:t xml:space="preserve">se encontraba en incumplimiento de </w:t>
      </w:r>
      <w:r>
        <w:rPr>
          <w:rFonts w:ascii="ITC Avant Garde" w:hAnsi="ITC Avant Garde"/>
        </w:rPr>
        <w:t xml:space="preserve">la obligación de pago establecida en la condición </w:t>
      </w:r>
      <w:r w:rsidRPr="008A2C3C">
        <w:rPr>
          <w:rFonts w:ascii="ITC Avant Garde" w:hAnsi="ITC Avant Garde"/>
          <w:b/>
          <w:noProof/>
        </w:rPr>
        <w:t>DÉCIMA TERCERA</w:t>
      </w:r>
      <w:r>
        <w:rPr>
          <w:rFonts w:ascii="ITC Avant Garde" w:hAnsi="ITC Avant Garde"/>
        </w:rPr>
        <w:t xml:space="preserve"> de </w:t>
      </w:r>
      <w:r w:rsidRPr="008A2C3C">
        <w:rPr>
          <w:rFonts w:ascii="ITC Avant Garde" w:hAnsi="ITC Avant Garde"/>
          <w:b/>
          <w:noProof/>
        </w:rPr>
        <w:t>"EL PERMISO"</w:t>
      </w:r>
      <w:r>
        <w:rPr>
          <w:rFonts w:ascii="ITC Avant Garde" w:hAnsi="ITC Avant Garde"/>
          <w:b/>
        </w:rPr>
        <w:t xml:space="preserve"> </w:t>
      </w:r>
      <w:r>
        <w:rPr>
          <w:rFonts w:ascii="ITC Avant Garde" w:hAnsi="ITC Avant Garde"/>
        </w:rPr>
        <w:t xml:space="preserve">en relación con </w:t>
      </w:r>
      <w:r>
        <w:rPr>
          <w:rFonts w:ascii="ITC Avant Garde" w:hAnsi="ITC Avant Garde"/>
          <w:color w:val="000000"/>
          <w:lang w:eastAsia="es-MX"/>
        </w:rPr>
        <w:t>el artículo 239 de la Ley Federal de Derechos</w:t>
      </w:r>
      <w:r>
        <w:rPr>
          <w:rFonts w:ascii="ITC Avant Garde" w:hAnsi="ITC Avant Garde"/>
        </w:rPr>
        <w:t xml:space="preserve"> tal y como se desprende de lo siguiente:</w:t>
      </w:r>
    </w:p>
    <w:p w14:paraId="30822E62" w14:textId="34EE1B1F" w:rsidR="00CB7F8D" w:rsidRDefault="00CB7F8D" w:rsidP="00327D0C">
      <w:pPr>
        <w:numPr>
          <w:ilvl w:val="0"/>
          <w:numId w:val="5"/>
        </w:numPr>
        <w:tabs>
          <w:tab w:val="left" w:pos="993"/>
        </w:tabs>
        <w:spacing w:after="240" w:line="360" w:lineRule="auto"/>
        <w:jc w:val="both"/>
        <w:rPr>
          <w:rFonts w:ascii="ITC Avant Garde" w:hAnsi="ITC Avant Garde" w:cs="Arial"/>
        </w:rPr>
      </w:pPr>
      <w:r>
        <w:rPr>
          <w:rFonts w:ascii="ITC Avant Garde" w:hAnsi="ITC Avant Garde" w:cs="Arial"/>
        </w:rPr>
        <w:t xml:space="preserve">La obligación de pago de la cuota anual se encuentra establecida en la condición </w:t>
      </w:r>
      <w:r w:rsidRPr="008A2C3C">
        <w:rPr>
          <w:rFonts w:ascii="ITC Avant Garde" w:hAnsi="ITC Avant Garde" w:cs="Arial"/>
          <w:b/>
          <w:noProof/>
        </w:rPr>
        <w:t>DÉCIMA TERCERA</w:t>
      </w:r>
      <w:r>
        <w:rPr>
          <w:rFonts w:ascii="ITC Avant Garde" w:hAnsi="ITC Avant Garde" w:cs="Arial"/>
        </w:rPr>
        <w:t xml:space="preserve"> de </w:t>
      </w:r>
      <w:r w:rsidRPr="008A2C3C">
        <w:rPr>
          <w:rFonts w:ascii="ITC Avant Garde" w:hAnsi="ITC Avant Garde" w:cs="Arial"/>
          <w:b/>
          <w:noProof/>
        </w:rPr>
        <w:t>"EL PERMISO"</w:t>
      </w:r>
      <w:r>
        <w:rPr>
          <w:rFonts w:ascii="ITC Avant Garde" w:hAnsi="ITC Avant Garde" w:cs="Arial"/>
        </w:rPr>
        <w:t>, la cual señala en la parte que interesa lo siguiente:</w:t>
      </w:r>
    </w:p>
    <w:p w14:paraId="02F9C7F7"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
          <w:bCs/>
          <w:i/>
          <w:noProof/>
          <w:color w:val="000000"/>
          <w:sz w:val="20"/>
          <w:szCs w:val="20"/>
          <w:lang w:eastAsia="es-MX"/>
        </w:rPr>
        <w:lastRenderedPageBreak/>
        <w:t>"DÉCIMA TERCERA.- LA PERMISIONARIA deberá cubrir  las cuotas establecidas en la Ley Federal de Derechos, por concepto de: estudio técnico, otorgamiento del permiso, visitas de inspección, cuota anual por el uso del espectro radioeléctrico, correspondiente al sistema de radiocomunicación privada."</w:t>
      </w:r>
    </w:p>
    <w:p w14:paraId="165BE5A7" w14:textId="77777777" w:rsidR="00327D0C" w:rsidRDefault="00CB7F8D" w:rsidP="00327D0C">
      <w:pPr>
        <w:numPr>
          <w:ilvl w:val="0"/>
          <w:numId w:val="5"/>
        </w:numPr>
        <w:tabs>
          <w:tab w:val="left" w:pos="993"/>
        </w:tabs>
        <w:spacing w:after="240" w:line="360" w:lineRule="auto"/>
        <w:jc w:val="both"/>
        <w:rPr>
          <w:rFonts w:ascii="ITC Avant Garde" w:hAnsi="ITC Avant Garde" w:cs="Arial"/>
        </w:rPr>
      </w:pPr>
      <w:r>
        <w:rPr>
          <w:rFonts w:ascii="ITC Avant Garde" w:hAnsi="ITC Avant Garde" w:cs="Arial"/>
        </w:rPr>
        <w:t xml:space="preserve">Por su parte, la causal de revocación se encuentra señalada en la condición </w:t>
      </w:r>
      <w:r w:rsidRPr="008A2C3C">
        <w:rPr>
          <w:rFonts w:ascii="ITC Avant Garde" w:hAnsi="ITC Avant Garde" w:cs="Arial"/>
          <w:b/>
          <w:noProof/>
        </w:rPr>
        <w:t>DÉCIMA QUINTA</w:t>
      </w:r>
      <w:r>
        <w:rPr>
          <w:rFonts w:ascii="ITC Avant Garde" w:hAnsi="ITC Avant Garde" w:cs="Arial"/>
        </w:rPr>
        <w:t xml:space="preserve"> de </w:t>
      </w:r>
      <w:r w:rsidRPr="008A2C3C">
        <w:rPr>
          <w:rFonts w:ascii="ITC Avant Garde" w:hAnsi="ITC Avant Garde" w:cs="Arial"/>
          <w:b/>
          <w:noProof/>
        </w:rPr>
        <w:t>"EL PERMISO"</w:t>
      </w:r>
      <w:r>
        <w:rPr>
          <w:rFonts w:ascii="ITC Avant Garde" w:hAnsi="ITC Avant Garde" w:cs="Arial"/>
        </w:rPr>
        <w:t>, la cual establece lo siguiente:</w:t>
      </w:r>
    </w:p>
    <w:p w14:paraId="540D8B6E" w14:textId="77777777" w:rsidR="00327D0C" w:rsidRDefault="00CB7F8D" w:rsidP="00327D0C">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
          <w:bCs/>
          <w:i/>
          <w:noProof/>
          <w:color w:val="000000"/>
          <w:sz w:val="20"/>
          <w:szCs w:val="20"/>
          <w:lang w:eastAsia="es-MX"/>
        </w:rPr>
        <w:t>"DÉCIMA QUINTA.- Este permiso estará vigente hasta que LA PERMISIONARIA deje de operar el sistema autorizado y podrá ser revocado por incumplimiento de las condiciones establecidas en el mismo o por razones de interés público, siguiendo el procedimiento que establece el Artículo 34 de la Ley de Vías Generales de Comunicación."</w:t>
      </w:r>
    </w:p>
    <w:p w14:paraId="3CBFEE4B" w14:textId="77777777" w:rsidR="00327D0C" w:rsidRPr="00327D0C" w:rsidRDefault="00CB7F8D" w:rsidP="00327D0C">
      <w:pPr>
        <w:numPr>
          <w:ilvl w:val="0"/>
          <w:numId w:val="5"/>
        </w:numPr>
        <w:tabs>
          <w:tab w:val="left" w:pos="993"/>
        </w:tabs>
        <w:spacing w:after="240" w:line="360" w:lineRule="auto"/>
        <w:ind w:right="616"/>
        <w:jc w:val="both"/>
        <w:rPr>
          <w:rFonts w:ascii="ITC Avant Garde" w:hAnsi="ITC Avant Garde"/>
          <w:b/>
          <w:i/>
          <w:sz w:val="20"/>
          <w:szCs w:val="20"/>
        </w:rPr>
      </w:pPr>
      <w:r w:rsidRPr="00327D0C">
        <w:rPr>
          <w:rFonts w:ascii="ITC Avant Garde" w:hAnsi="ITC Avant Garde" w:cs="Arial"/>
        </w:rPr>
        <w:t xml:space="preserve">Asimismo, la causal de revocación se desprende de la interpretación sistemática de amabas condiciones en relación con lo previsto en el artículo 303, fracción III, de la </w:t>
      </w:r>
      <w:r w:rsidRPr="00327D0C">
        <w:rPr>
          <w:rFonts w:ascii="ITC Avant Garde" w:hAnsi="ITC Avant Garde" w:cs="Arial"/>
          <w:b/>
        </w:rPr>
        <w:t>“</w:t>
      </w:r>
      <w:proofErr w:type="spellStart"/>
      <w:r w:rsidRPr="00327D0C">
        <w:rPr>
          <w:rFonts w:ascii="ITC Avant Garde" w:hAnsi="ITC Avant Garde" w:cs="Arial"/>
          <w:b/>
        </w:rPr>
        <w:t>LFTyR</w:t>
      </w:r>
      <w:proofErr w:type="spellEnd"/>
      <w:r w:rsidRPr="00327D0C">
        <w:rPr>
          <w:rFonts w:ascii="ITC Avant Garde" w:hAnsi="ITC Avant Garde" w:cs="Arial"/>
          <w:b/>
        </w:rPr>
        <w:t>”</w:t>
      </w:r>
      <w:r w:rsidRPr="00327D0C">
        <w:rPr>
          <w:rFonts w:ascii="ITC Avant Garde" w:eastAsia="Times New Roman" w:hAnsi="ITC Avant Garde"/>
          <w:bCs/>
          <w:color w:val="000000"/>
          <w:lang w:eastAsia="es-MX"/>
        </w:rPr>
        <w:t xml:space="preserve"> el cual prevé que será causal de revocación el no cumplir las obligaciones y condiciones establecidas en la concesión, autorización en las que se establezcan expresamente que su incumplimiento será causa de revocación, </w:t>
      </w:r>
      <w:r w:rsidRPr="00327D0C">
        <w:rPr>
          <w:rFonts w:ascii="ITC Avant Garde" w:hAnsi="ITC Avant Garde" w:cs="Arial"/>
        </w:rPr>
        <w:t>tal y como se advierte a continuación:</w:t>
      </w:r>
    </w:p>
    <w:p w14:paraId="57211630" w14:textId="77777777" w:rsidR="00327D0C" w:rsidRDefault="00CB7F8D" w:rsidP="00327D0C">
      <w:pPr>
        <w:tabs>
          <w:tab w:val="left" w:pos="993"/>
        </w:tabs>
        <w:spacing w:after="240" w:line="360" w:lineRule="auto"/>
        <w:ind w:left="720" w:right="616"/>
        <w:jc w:val="both"/>
        <w:rPr>
          <w:rFonts w:ascii="ITC Avant Garde" w:hAnsi="ITC Avant Garde"/>
          <w:b/>
          <w:i/>
          <w:sz w:val="20"/>
          <w:szCs w:val="20"/>
        </w:rPr>
      </w:pPr>
      <w:r w:rsidRPr="00327D0C">
        <w:rPr>
          <w:rFonts w:ascii="ITC Avant Garde" w:hAnsi="ITC Avant Garde"/>
          <w:i/>
          <w:sz w:val="20"/>
          <w:szCs w:val="20"/>
        </w:rPr>
        <w:t xml:space="preserve">  </w:t>
      </w:r>
      <w:r w:rsidRPr="00327D0C">
        <w:rPr>
          <w:rFonts w:ascii="ITC Avant Garde" w:hAnsi="ITC Avant Garde"/>
          <w:b/>
          <w:i/>
          <w:sz w:val="20"/>
          <w:szCs w:val="20"/>
        </w:rPr>
        <w:t>“</w:t>
      </w:r>
      <w:proofErr w:type="spellStart"/>
      <w:r w:rsidRPr="00327D0C">
        <w:rPr>
          <w:rFonts w:ascii="ITC Avant Garde" w:hAnsi="ITC Avant Garde"/>
          <w:b/>
          <w:i/>
          <w:sz w:val="20"/>
          <w:szCs w:val="20"/>
        </w:rPr>
        <w:t>LFTyR</w:t>
      </w:r>
      <w:proofErr w:type="spellEnd"/>
      <w:r w:rsidRPr="00327D0C">
        <w:rPr>
          <w:rFonts w:ascii="ITC Avant Garde" w:hAnsi="ITC Avant Garde"/>
          <w:b/>
          <w:i/>
          <w:sz w:val="20"/>
          <w:szCs w:val="20"/>
        </w:rPr>
        <w:t>”</w:t>
      </w:r>
    </w:p>
    <w:p w14:paraId="6BB38930" w14:textId="7E0B106F" w:rsidR="00327D0C" w:rsidRDefault="00CB7F8D" w:rsidP="00327D0C">
      <w:pPr>
        <w:tabs>
          <w:tab w:val="left" w:pos="993"/>
        </w:tabs>
        <w:spacing w:after="240" w:line="360" w:lineRule="auto"/>
        <w:ind w:left="1276" w:right="616" w:hanging="142"/>
        <w:jc w:val="both"/>
        <w:rPr>
          <w:rFonts w:ascii="ITC Avant Garde" w:hAnsi="ITC Avant Garde"/>
          <w:b/>
          <w:i/>
          <w:sz w:val="20"/>
          <w:szCs w:val="20"/>
        </w:rPr>
      </w:pPr>
      <w:r>
        <w:rPr>
          <w:rFonts w:ascii="ITC Avant Garde" w:hAnsi="ITC Avant Garde"/>
          <w:b/>
          <w:i/>
          <w:sz w:val="20"/>
          <w:szCs w:val="20"/>
        </w:rPr>
        <w:tab/>
      </w:r>
      <w:r w:rsidR="00D00469">
        <w:rPr>
          <w:rFonts w:ascii="ITC Avant Garde" w:hAnsi="ITC Avant Garde"/>
          <w:b/>
          <w:i/>
          <w:sz w:val="20"/>
          <w:szCs w:val="20"/>
        </w:rPr>
        <w:t xml:space="preserve"> </w:t>
      </w:r>
      <w:r>
        <w:rPr>
          <w:rFonts w:ascii="ITC Avant Garde" w:hAnsi="ITC Avant Garde"/>
          <w:b/>
          <w:i/>
          <w:sz w:val="20"/>
          <w:szCs w:val="20"/>
        </w:rPr>
        <w:t>(…)</w:t>
      </w:r>
    </w:p>
    <w:p w14:paraId="30822E70" w14:textId="7371B181" w:rsidR="00CB7F8D" w:rsidRPr="00E70EAF" w:rsidRDefault="00CB7F8D" w:rsidP="00327D0C">
      <w:pPr>
        <w:pStyle w:val="Prrafodelista"/>
        <w:spacing w:after="240" w:line="360" w:lineRule="auto"/>
        <w:ind w:left="1134" w:right="616"/>
        <w:contextualSpacing w:val="0"/>
        <w:jc w:val="both"/>
        <w:rPr>
          <w:rFonts w:ascii="ITC Avant Garde" w:hAnsi="ITC Avant Garde"/>
          <w:i/>
          <w:sz w:val="20"/>
          <w:szCs w:val="20"/>
        </w:rPr>
      </w:pPr>
      <w:r>
        <w:rPr>
          <w:rFonts w:ascii="ITC Avant Garde" w:hAnsi="ITC Avant Garde"/>
          <w:i/>
          <w:sz w:val="20"/>
          <w:szCs w:val="20"/>
        </w:rPr>
        <w:t>“</w:t>
      </w:r>
      <w:r w:rsidRPr="00E70EAF">
        <w:rPr>
          <w:rFonts w:ascii="ITC Avant Garde" w:hAnsi="ITC Avant Garde"/>
          <w:b/>
          <w:i/>
          <w:sz w:val="20"/>
          <w:szCs w:val="20"/>
        </w:rPr>
        <w:t>Artículo 303</w:t>
      </w:r>
      <w:r w:rsidRPr="00E70EAF">
        <w:rPr>
          <w:rFonts w:ascii="ITC Avant Garde" w:hAnsi="ITC Avant Garde"/>
          <w:i/>
          <w:sz w:val="20"/>
          <w:szCs w:val="20"/>
        </w:rPr>
        <w:t>. Las concesiones y las autorizaciones se podrán revocar por cualquiera de las causas</w:t>
      </w:r>
      <w:r>
        <w:rPr>
          <w:rFonts w:ascii="ITC Avant Garde" w:hAnsi="ITC Avant Garde"/>
          <w:i/>
          <w:sz w:val="20"/>
          <w:szCs w:val="20"/>
        </w:rPr>
        <w:t xml:space="preserve"> </w:t>
      </w:r>
      <w:r w:rsidRPr="00E70EAF">
        <w:rPr>
          <w:rFonts w:ascii="ITC Avant Garde" w:hAnsi="ITC Avant Garde"/>
          <w:i/>
          <w:sz w:val="20"/>
          <w:szCs w:val="20"/>
        </w:rPr>
        <w:t>siguientes:</w:t>
      </w:r>
    </w:p>
    <w:p w14:paraId="40E5E578" w14:textId="77777777" w:rsidR="00327D0C" w:rsidRDefault="00CB7F8D" w:rsidP="00327D0C">
      <w:pPr>
        <w:pStyle w:val="Prrafodelista"/>
        <w:spacing w:after="240" w:line="360" w:lineRule="auto"/>
        <w:ind w:left="1134" w:right="616"/>
        <w:contextualSpacing w:val="0"/>
        <w:jc w:val="both"/>
        <w:rPr>
          <w:rFonts w:ascii="ITC Avant Garde" w:hAnsi="ITC Avant Garde"/>
          <w:i/>
          <w:sz w:val="20"/>
          <w:szCs w:val="20"/>
        </w:rPr>
      </w:pPr>
      <w:r>
        <w:rPr>
          <w:rFonts w:ascii="ITC Avant Garde" w:hAnsi="ITC Avant Garde"/>
          <w:i/>
          <w:sz w:val="20"/>
          <w:szCs w:val="20"/>
        </w:rPr>
        <w:t>…</w:t>
      </w:r>
    </w:p>
    <w:p w14:paraId="30822E73" w14:textId="61A2E2DB" w:rsidR="00CB7F8D" w:rsidRDefault="00CB7F8D" w:rsidP="00327D0C">
      <w:pPr>
        <w:pStyle w:val="Prrafodelista"/>
        <w:spacing w:after="240" w:line="360" w:lineRule="auto"/>
        <w:ind w:left="1134" w:right="616"/>
        <w:contextualSpacing w:val="0"/>
        <w:jc w:val="both"/>
        <w:rPr>
          <w:rFonts w:ascii="ITC Avant Garde" w:hAnsi="ITC Avant Garde"/>
          <w:i/>
          <w:sz w:val="20"/>
          <w:szCs w:val="20"/>
        </w:rPr>
      </w:pPr>
      <w:r w:rsidRPr="00E70EAF">
        <w:rPr>
          <w:rFonts w:ascii="ITC Avant Garde" w:hAnsi="ITC Avant Garde"/>
          <w:i/>
          <w:sz w:val="20"/>
          <w:szCs w:val="20"/>
        </w:rPr>
        <w:t>III. No cumplir las obligaciones o condiciones establecidas en la concesión o autorización en las</w:t>
      </w:r>
      <w:r>
        <w:rPr>
          <w:rFonts w:ascii="ITC Avant Garde" w:hAnsi="ITC Avant Garde"/>
          <w:i/>
          <w:sz w:val="20"/>
          <w:szCs w:val="20"/>
        </w:rPr>
        <w:t xml:space="preserve"> </w:t>
      </w:r>
      <w:r w:rsidRPr="00E70EAF">
        <w:rPr>
          <w:rFonts w:ascii="ITC Avant Garde" w:hAnsi="ITC Avant Garde"/>
          <w:i/>
          <w:sz w:val="20"/>
          <w:szCs w:val="20"/>
        </w:rPr>
        <w:t>que se establezcan expresamente que su incumplimiento será causa de revocación;</w:t>
      </w:r>
      <w:r w:rsidRPr="00E70EAF">
        <w:rPr>
          <w:rFonts w:ascii="ITC Avant Garde" w:hAnsi="ITC Avant Garde"/>
          <w:i/>
          <w:sz w:val="20"/>
          <w:szCs w:val="20"/>
        </w:rPr>
        <w:cr/>
      </w:r>
    </w:p>
    <w:p w14:paraId="0FCBE12B" w14:textId="77777777" w:rsidR="00327D0C" w:rsidRDefault="00CB7F8D" w:rsidP="00327D0C">
      <w:pPr>
        <w:pStyle w:val="Prrafodelista"/>
        <w:spacing w:after="240" w:line="360" w:lineRule="auto"/>
        <w:ind w:left="1134" w:right="616"/>
        <w:contextualSpacing w:val="0"/>
        <w:jc w:val="both"/>
        <w:rPr>
          <w:rFonts w:ascii="ITC Avant Garde" w:hAnsi="ITC Avant Garde"/>
          <w:i/>
          <w:sz w:val="20"/>
          <w:szCs w:val="20"/>
        </w:rPr>
      </w:pPr>
      <w:r>
        <w:rPr>
          <w:rFonts w:ascii="ITC Avant Garde" w:hAnsi="ITC Avant Garde"/>
          <w:i/>
          <w:sz w:val="20"/>
          <w:szCs w:val="20"/>
        </w:rPr>
        <w:lastRenderedPageBreak/>
        <w:t>(…)</w:t>
      </w:r>
    </w:p>
    <w:p w14:paraId="12FE92E8" w14:textId="77777777" w:rsidR="00327D0C" w:rsidRDefault="00CB7F8D" w:rsidP="00327D0C">
      <w:pPr>
        <w:pStyle w:val="Prrafodelista"/>
        <w:numPr>
          <w:ilvl w:val="0"/>
          <w:numId w:val="4"/>
        </w:numPr>
        <w:tabs>
          <w:tab w:val="left" w:pos="993"/>
        </w:tabs>
        <w:spacing w:after="240" w:line="360" w:lineRule="auto"/>
        <w:ind w:left="426"/>
        <w:contextualSpacing w:val="0"/>
        <w:jc w:val="both"/>
        <w:rPr>
          <w:rFonts w:ascii="ITC Avant Garde" w:eastAsiaTheme="minorHAnsi" w:hAnsi="ITC Avant Garde"/>
        </w:rPr>
      </w:pPr>
      <w:r>
        <w:rPr>
          <w:rFonts w:ascii="ITC Avant Garde" w:eastAsiaTheme="minorHAnsi" w:hAnsi="ITC Avant Garde"/>
        </w:rPr>
        <w:t>Por lo que respecta a la obligación que se presume incumplida:</w:t>
      </w:r>
    </w:p>
    <w:p w14:paraId="4F557150" w14:textId="77777777" w:rsidR="00327D0C" w:rsidRDefault="00CB7F8D" w:rsidP="00327D0C">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color w:val="000000" w:themeColor="text1"/>
          <w:lang w:eastAsia="es-MX"/>
        </w:rPr>
        <w:t xml:space="preserve">Derivado de la falta de respuesta a la solicitud a que se refiere el </w:t>
      </w:r>
      <w:r w:rsidRPr="008F2284">
        <w:rPr>
          <w:rFonts w:ascii="ITC Avant Garde" w:eastAsia="Times New Roman" w:hAnsi="ITC Avant Garde"/>
          <w:b/>
          <w:bCs/>
          <w:color w:val="000000" w:themeColor="text1"/>
          <w:lang w:eastAsia="es-MX"/>
        </w:rPr>
        <w:t>RESULTANDO SEGUNDO</w:t>
      </w:r>
      <w:r>
        <w:rPr>
          <w:rFonts w:ascii="ITC Avant Garde" w:eastAsia="Times New Roman" w:hAnsi="ITC Avant Garde"/>
          <w:bCs/>
          <w:color w:val="000000" w:themeColor="text1"/>
          <w:lang w:eastAsia="es-MX"/>
        </w:rPr>
        <w:t xml:space="preserve"> de la presente resolución, </w:t>
      </w:r>
      <w:r>
        <w:rPr>
          <w:rFonts w:ascii="ITC Avant Garde" w:hAnsi="ITC Avant Garde" w:cs="Arial"/>
        </w:rPr>
        <w:t xml:space="preserve">la </w:t>
      </w:r>
      <w:r>
        <w:rPr>
          <w:rFonts w:ascii="ITC Avant Garde" w:hAnsi="ITC Avant Garde" w:cs="Arial"/>
          <w:b/>
        </w:rPr>
        <w:t>“DG-SUV”</w:t>
      </w:r>
      <w:r>
        <w:rPr>
          <w:rFonts w:ascii="ITC Avant Garde" w:hAnsi="ITC Avant Garde" w:cs="Arial"/>
        </w:rPr>
        <w:t xml:space="preserve"> elaboró</w:t>
      </w:r>
      <w:r>
        <w:rPr>
          <w:rFonts w:ascii="ITC Avant Garde" w:eastAsia="Times New Roman" w:hAnsi="ITC Avant Garde"/>
          <w:bCs/>
          <w:color w:val="000000"/>
          <w:lang w:eastAsia="es-MX"/>
        </w:rPr>
        <w:t xml:space="preserve"> una determinación de adeudos en contra </w:t>
      </w:r>
      <w:r w:rsidRPr="0004662C">
        <w:rPr>
          <w:rFonts w:ascii="ITC Avant Garde" w:eastAsia="Times New Roman" w:hAnsi="ITC Avant Garde"/>
          <w:bCs/>
          <w:noProof/>
          <w:color w:val="000000"/>
          <w:lang w:eastAsia="es-MX"/>
        </w:rPr>
        <w:t xml:space="preserve">de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por la omisión en el pago de derechos por el uso o aprovechamiento de </w:t>
      </w:r>
      <w:r>
        <w:rPr>
          <w:rFonts w:ascii="ITC Avant Garde" w:eastAsia="Times New Roman" w:hAnsi="ITC Avant Garde"/>
          <w:bCs/>
          <w:noProof/>
          <w:color w:val="000000"/>
          <w:lang w:eastAsia="es-MX"/>
        </w:rPr>
        <w:t>la frecuencia del espectro radioeléctrico que le fue permisionada y/o autorizada</w:t>
      </w:r>
      <w:r>
        <w:rPr>
          <w:rFonts w:ascii="ITC Avant Garde" w:eastAsia="Times New Roman" w:hAnsi="ITC Avant Garde"/>
          <w:bCs/>
          <w:color w:val="000000"/>
          <w:lang w:eastAsia="es-MX"/>
        </w:rPr>
        <w:t xml:space="preserve"> respecto del periodo que se encontraba en incumplimiento, lo anterior en virtud de que no acreditó con constancia o comprobante el cumplimiento de la obligación del pago de derechos respectivo en el plazo otorgado por la Autoridad.</w:t>
      </w:r>
    </w:p>
    <w:p w14:paraId="52E02B0B" w14:textId="77777777" w:rsidR="00327D0C" w:rsidRDefault="00CB7F8D" w:rsidP="00327D0C">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hAnsi="ITC Avant Garde" w:cs="Arial"/>
        </w:rPr>
        <w:t>Asimismo, se remitió</w:t>
      </w:r>
      <w:r>
        <w:rPr>
          <w:rFonts w:ascii="ITC Avant Garde" w:hAnsi="ITC Avant Garde" w:cs="Arial"/>
          <w:b/>
        </w:rPr>
        <w:t xml:space="preserve"> </w:t>
      </w:r>
      <w:r>
        <w:rPr>
          <w:rFonts w:ascii="ITC Avant Garde" w:hAnsi="ITC Avant Garde" w:cs="Arial"/>
        </w:rPr>
        <w:t xml:space="preserve">a </w:t>
      </w:r>
      <w:r>
        <w:rPr>
          <w:rFonts w:ascii="ITC Avant Garde" w:hAnsi="ITC Avant Garde" w:cs="Arial"/>
          <w:noProof/>
        </w:rPr>
        <w:t xml:space="preserve">la </w:t>
      </w:r>
      <w:r w:rsidRPr="008A2C3C">
        <w:rPr>
          <w:rFonts w:ascii="ITC Avant Garde" w:hAnsi="ITC Avant Garde" w:cs="Arial"/>
          <w:noProof/>
        </w:rPr>
        <w:t>Adminstración Desconcentrada de Recaudación de Morelos "1", del Servicio de Administración Tributaria ("SAT")</w:t>
      </w:r>
      <w:r>
        <w:rPr>
          <w:rFonts w:ascii="ITC Avant Garde" w:hAnsi="ITC Avant Garde" w:cs="Arial"/>
        </w:rPr>
        <w:t xml:space="preserve">, la determinación de adeudos por concepto de pago de derechos a cargo </w:t>
      </w:r>
      <w:r w:rsidRPr="0004662C">
        <w:rPr>
          <w:rFonts w:ascii="ITC Avant Garde" w:hAnsi="ITC Avant Garde" w:cs="Arial"/>
          <w:noProof/>
        </w:rPr>
        <w:t>de</w:t>
      </w:r>
      <w:r w:rsidRPr="008A2C3C">
        <w:rPr>
          <w:rFonts w:ascii="ITC Avant Garde" w:hAnsi="ITC Avant Garde" w:cs="Arial"/>
          <w:b/>
          <w:noProof/>
        </w:rPr>
        <w:t xml:space="preserve"> PORFIRIO TORRES PERALTA</w:t>
      </w:r>
      <w:r>
        <w:rPr>
          <w:rFonts w:ascii="ITC Avant Garde" w:hAnsi="ITC Avant Garde" w:cs="Arial"/>
        </w:rPr>
        <w:t>, a efecto de que se iniciaran y dieran seguimiento hasta su conclusión los procedimientos administrativos de ejecución de créditos fiscales.</w:t>
      </w:r>
    </w:p>
    <w:p w14:paraId="3DA9E24D" w14:textId="77777777" w:rsidR="00327D0C" w:rsidRDefault="00CB7F8D" w:rsidP="00327D0C">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color w:val="000000" w:themeColor="text1"/>
          <w:lang w:eastAsia="es-MX"/>
        </w:rPr>
        <w:t>Mediante acuerdo</w:t>
      </w:r>
      <w:r>
        <w:rPr>
          <w:rFonts w:ascii="ITC Avant Garde" w:eastAsia="Times New Roman" w:hAnsi="ITC Avant Garde"/>
          <w:b/>
          <w:bCs/>
          <w:color w:val="000000" w:themeColor="text1"/>
          <w:lang w:eastAsia="es-MX"/>
        </w:rPr>
        <w:t xml:space="preserve"> </w:t>
      </w:r>
      <w:r>
        <w:rPr>
          <w:rFonts w:ascii="ITC Avant Garde" w:eastAsia="Times New Roman" w:hAnsi="ITC Avant Garde"/>
          <w:bCs/>
          <w:color w:val="000000" w:themeColor="text1"/>
          <w:lang w:eastAsia="es-MX"/>
        </w:rPr>
        <w:t xml:space="preserve">de </w:t>
      </w:r>
      <w:r w:rsidRPr="008A2C3C">
        <w:rPr>
          <w:rFonts w:ascii="ITC Avant Garde" w:eastAsia="Times New Roman" w:hAnsi="ITC Avant Garde"/>
          <w:bCs/>
          <w:noProof/>
          <w:color w:val="000000" w:themeColor="text1"/>
          <w:lang w:eastAsia="es-MX"/>
        </w:rPr>
        <w:t>treinta de noviembre de dos mil diecisiete</w:t>
      </w:r>
      <w:r>
        <w:rPr>
          <w:rFonts w:ascii="ITC Avant Garde" w:eastAsia="Times New Roman" w:hAnsi="ITC Avant Garde"/>
          <w:bCs/>
          <w:color w:val="000000" w:themeColor="text1"/>
          <w:lang w:eastAsia="es-MX"/>
        </w:rPr>
        <w:t xml:space="preserve">, el Titular de la </w:t>
      </w:r>
      <w:r>
        <w:rPr>
          <w:rFonts w:ascii="ITC Avant Garde" w:hAnsi="ITC Avant Garde"/>
          <w:color w:val="000000" w:themeColor="text1"/>
        </w:rPr>
        <w:t>Unidad de Cumplimiento</w:t>
      </w:r>
      <w:r>
        <w:rPr>
          <w:rFonts w:ascii="ITC Avant Garde" w:eastAsia="Times New Roman" w:hAnsi="ITC Avant Garde"/>
          <w:bCs/>
          <w:color w:val="000000" w:themeColor="text1"/>
          <w:lang w:eastAsia="es-MX"/>
        </w:rPr>
        <w:t xml:space="preserve"> del </w:t>
      </w:r>
      <w:r>
        <w:rPr>
          <w:rFonts w:ascii="ITC Avant Garde" w:eastAsia="Times New Roman" w:hAnsi="ITC Avant Garde"/>
          <w:b/>
          <w:bCs/>
          <w:color w:val="000000" w:themeColor="text1"/>
          <w:lang w:eastAsia="es-MX"/>
        </w:rPr>
        <w:t>“IFT”</w:t>
      </w:r>
      <w:r>
        <w:rPr>
          <w:rFonts w:ascii="ITC Avant Garde" w:eastAsia="Times New Roman" w:hAnsi="ITC Avant Garde"/>
          <w:bCs/>
          <w:color w:val="000000" w:themeColor="text1"/>
          <w:lang w:eastAsia="es-MX"/>
        </w:rPr>
        <w:t xml:space="preserve"> inició el procedimiento administrativo de revocación en contra </w:t>
      </w:r>
      <w:r w:rsidRPr="0004662C">
        <w:rPr>
          <w:rFonts w:ascii="ITC Avant Garde" w:hAnsi="ITC Avant Garde"/>
          <w:noProof/>
          <w:color w:val="000000"/>
          <w:lang w:eastAsia="es-MX"/>
        </w:rPr>
        <w:t>de</w:t>
      </w:r>
      <w:r w:rsidRPr="008A2C3C">
        <w:rPr>
          <w:rFonts w:ascii="ITC Avant Garde" w:hAnsi="ITC Avant Garde"/>
          <w:b/>
          <w:noProof/>
          <w:color w:val="000000"/>
          <w:lang w:eastAsia="es-MX"/>
        </w:rPr>
        <w:t xml:space="preserve"> PORFIRIO TORRES PERALTA</w:t>
      </w:r>
      <w:r>
        <w:rPr>
          <w:rFonts w:ascii="ITC Avant Garde" w:eastAsia="Times New Roman" w:hAnsi="ITC Avant Garde"/>
          <w:bCs/>
          <w:color w:val="000000" w:themeColor="text1"/>
          <w:lang w:eastAsia="es-MX"/>
        </w:rPr>
        <w:t>,</w:t>
      </w:r>
      <w:r>
        <w:rPr>
          <w:rFonts w:ascii="ITC Avant Garde" w:eastAsia="Times New Roman" w:hAnsi="ITC Avant Garde"/>
          <w:b/>
          <w:bCs/>
          <w:color w:val="000000" w:themeColor="text1"/>
          <w:lang w:eastAsia="es-MX"/>
        </w:rPr>
        <w:t xml:space="preserve"> </w:t>
      </w:r>
      <w:r>
        <w:rPr>
          <w:rFonts w:ascii="ITC Avant Garde" w:hAnsi="ITC Avant Garde"/>
        </w:rPr>
        <w:t xml:space="preserve">por </w:t>
      </w:r>
      <w:r>
        <w:rPr>
          <w:rFonts w:ascii="ITC Avant Garde" w:eastAsia="Times New Roman" w:hAnsi="ITC Avant Garde"/>
          <w:bCs/>
          <w:color w:val="000000"/>
          <w:lang w:eastAsia="es-MX"/>
        </w:rPr>
        <w:t xml:space="preserve">el presunto incumplimiento de la obligación establecida en </w:t>
      </w:r>
      <w:r w:rsidRPr="008A2C3C">
        <w:rPr>
          <w:rFonts w:ascii="ITC Avant Garde" w:eastAsia="Times New Roman" w:hAnsi="ITC Avant Garde"/>
          <w:b/>
          <w:bCs/>
          <w:noProof/>
          <w:color w:val="000000"/>
          <w:lang w:eastAsia="es-MX"/>
        </w:rPr>
        <w:t>DÉCIMA TERCERA</w:t>
      </w:r>
      <w:r>
        <w:rPr>
          <w:rFonts w:ascii="ITC Avant Garde" w:eastAsia="Times New Roman" w:hAnsi="ITC Avant Garde"/>
          <w:bCs/>
          <w:color w:val="000000"/>
          <w:lang w:eastAsia="es-MX"/>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b/>
        </w:rPr>
        <w:t xml:space="preserve"> </w:t>
      </w:r>
      <w:r>
        <w:rPr>
          <w:rFonts w:ascii="ITC Avant Garde" w:hAnsi="ITC Avant Garde"/>
          <w:color w:val="000000" w:themeColor="text1"/>
        </w:rPr>
        <w:t xml:space="preserve">en </w:t>
      </w:r>
      <w:r>
        <w:rPr>
          <w:rFonts w:ascii="ITC Avant Garde" w:hAnsi="ITC Avant Garde"/>
        </w:rPr>
        <w:t xml:space="preserve">relación con el artículo 239 de la </w:t>
      </w:r>
      <w:r>
        <w:rPr>
          <w:rFonts w:ascii="ITC Avant Garde" w:hAnsi="ITC Avant Garde"/>
          <w:b/>
        </w:rPr>
        <w:t>“LFD”,</w:t>
      </w:r>
      <w:r>
        <w:rPr>
          <w:rFonts w:ascii="ITC Avant Garde" w:hAnsi="ITC Avant Garde"/>
          <w:color w:val="000000" w:themeColor="text1"/>
        </w:rPr>
        <w:t xml:space="preserve"> consistente en el pago de la cuota anual de derechos por el uso o aprovechamiento del espectro radioeléctrico a lo largo de varios ejercicios fiscales, actualizando con ello la causal de revocación establecida en la fracción III del artículo 303 de la </w:t>
      </w:r>
      <w:r>
        <w:rPr>
          <w:rFonts w:ascii="ITC Avant Garde" w:hAnsi="ITC Avant Garde"/>
          <w:b/>
          <w:color w:val="000000" w:themeColor="text1"/>
        </w:rPr>
        <w:t>“</w:t>
      </w:r>
      <w:proofErr w:type="spellStart"/>
      <w:r>
        <w:rPr>
          <w:rFonts w:ascii="ITC Avant Garde" w:hAnsi="ITC Avant Garde"/>
          <w:b/>
          <w:color w:val="000000" w:themeColor="text1"/>
        </w:rPr>
        <w:t>LFTy</w:t>
      </w:r>
      <w:r w:rsidRPr="00860F5A">
        <w:rPr>
          <w:rFonts w:ascii="ITC Avant Garde" w:hAnsi="ITC Avant Garde"/>
          <w:b/>
          <w:color w:val="000000" w:themeColor="text1"/>
        </w:rPr>
        <w:t>R</w:t>
      </w:r>
      <w:proofErr w:type="spellEnd"/>
      <w:r w:rsidRPr="00860F5A">
        <w:rPr>
          <w:rFonts w:ascii="ITC Avant Garde" w:hAnsi="ITC Avant Garde"/>
          <w:b/>
          <w:color w:val="000000" w:themeColor="text1"/>
        </w:rPr>
        <w:t>”</w:t>
      </w:r>
      <w:r>
        <w:rPr>
          <w:rFonts w:ascii="ITC Avant Garde" w:hAnsi="ITC Avant Garde"/>
          <w:color w:val="000000" w:themeColor="text1"/>
        </w:rPr>
        <w:t>.</w:t>
      </w:r>
    </w:p>
    <w:p w14:paraId="066F20CE" w14:textId="77777777" w:rsidR="00327D0C" w:rsidRDefault="00CB7F8D" w:rsidP="00327D0C">
      <w:pPr>
        <w:numPr>
          <w:ilvl w:val="0"/>
          <w:numId w:val="5"/>
        </w:numPr>
        <w:tabs>
          <w:tab w:val="left" w:pos="993"/>
        </w:tabs>
        <w:spacing w:after="240" w:line="360" w:lineRule="auto"/>
        <w:jc w:val="both"/>
        <w:rPr>
          <w:rFonts w:ascii="ITC Avant Garde" w:eastAsia="Times New Roman" w:hAnsi="ITC Avant Garde"/>
          <w:bCs/>
          <w:lang w:eastAsia="es-MX"/>
        </w:rPr>
      </w:pPr>
      <w:r w:rsidRPr="008A2C3C">
        <w:rPr>
          <w:rFonts w:ascii="ITC Avant Garde" w:hAnsi="ITC Avant Garde"/>
          <w:b/>
          <w:noProof/>
          <w:color w:val="000000"/>
          <w:lang w:eastAsia="es-MX"/>
        </w:rPr>
        <w:t>PORFIRIO TORRES PERALTA</w:t>
      </w:r>
      <w:r>
        <w:rPr>
          <w:rFonts w:ascii="ITC Avant Garde" w:hAnsi="ITC Avant Garde"/>
          <w:b/>
          <w:color w:val="000000"/>
          <w:lang w:eastAsia="es-MX"/>
        </w:rPr>
        <w:t xml:space="preserve"> </w:t>
      </w:r>
      <w:r>
        <w:rPr>
          <w:rFonts w:ascii="ITC Avant Garde" w:eastAsia="Times New Roman" w:hAnsi="ITC Avant Garde"/>
          <w:bCs/>
          <w:lang w:eastAsia="es-MX"/>
        </w:rPr>
        <w:t>no se apersonó a defender sus intereses no obstante encontrarse debidamente notificado del procedimiento de revocación sustanciado en su contra.</w:t>
      </w:r>
    </w:p>
    <w:p w14:paraId="30822E80" w14:textId="395B80F6" w:rsidR="00CB7F8D" w:rsidRDefault="00CB7F8D" w:rsidP="00327D0C">
      <w:pPr>
        <w:tabs>
          <w:tab w:val="left" w:pos="993"/>
        </w:tabs>
        <w:spacing w:after="240" w:line="360" w:lineRule="auto"/>
        <w:jc w:val="both"/>
        <w:rPr>
          <w:rFonts w:ascii="ITC Avant Garde" w:eastAsia="Times New Roman" w:hAnsi="ITC Avant Garde"/>
          <w:b/>
          <w:bCs/>
          <w:noProof/>
          <w:color w:val="000000"/>
          <w:lang w:eastAsia="es-MX"/>
        </w:rPr>
      </w:pPr>
      <w:r>
        <w:rPr>
          <w:rFonts w:ascii="ITC Avant Garde" w:hAnsi="ITC Avant Garde"/>
        </w:rPr>
        <w:lastRenderedPageBreak/>
        <w:t xml:space="preserve">Derivado de lo anterior, se acredita de manera fehaciente el incumplimiento reiterado a la obligación de pago consignado en </w:t>
      </w:r>
      <w:r w:rsidRPr="008A2C3C">
        <w:rPr>
          <w:rFonts w:ascii="ITC Avant Garde" w:hAnsi="ITC Avant Garde"/>
          <w:b/>
          <w:noProof/>
        </w:rPr>
        <w:t>"EL PERMISO"</w:t>
      </w:r>
      <w:r>
        <w:rPr>
          <w:rFonts w:ascii="ITC Avant Garde" w:hAnsi="ITC Avant Garde"/>
        </w:rPr>
        <w:t xml:space="preserve"> en relación con el artículo 239 de la </w:t>
      </w:r>
      <w:r>
        <w:rPr>
          <w:rFonts w:ascii="ITC Avant Garde" w:hAnsi="ITC Avant Garde"/>
          <w:b/>
        </w:rPr>
        <w:t>“LFD”</w:t>
      </w:r>
      <w:r>
        <w:rPr>
          <w:rFonts w:ascii="ITC Avant Garde" w:hAnsi="ITC Avant Garde"/>
          <w:color w:val="000000"/>
          <w:lang w:eastAsia="es-MX"/>
        </w:rPr>
        <w:t xml:space="preserve"> toda vez que de las constancias que integran el expediente sustanciado en la Unidad de Cumplimiento se desprende que </w:t>
      </w:r>
      <w:r w:rsidRPr="008A2C3C">
        <w:rPr>
          <w:rFonts w:ascii="ITC Avant Garde" w:hAnsi="ITC Avant Garde"/>
          <w:b/>
          <w:noProof/>
          <w:color w:val="000000"/>
          <w:lang w:eastAsia="es-MX"/>
        </w:rPr>
        <w:t>PORFIRIO TORRES PERALTA</w:t>
      </w:r>
      <w:r>
        <w:rPr>
          <w:rFonts w:ascii="ITC Avant Garde" w:hAnsi="ITC Avant Garde"/>
          <w:b/>
          <w:color w:val="000000"/>
          <w:lang w:eastAsia="es-MX"/>
        </w:rPr>
        <w:t xml:space="preserve"> </w:t>
      </w:r>
      <w:r>
        <w:rPr>
          <w:rFonts w:ascii="ITC Avant Garde" w:eastAsia="Times New Roman" w:hAnsi="ITC Avant Garde"/>
          <w:bCs/>
          <w:noProof/>
          <w:color w:val="000000"/>
          <w:lang w:eastAsia="es-MX"/>
        </w:rPr>
        <w:t xml:space="preserve">se encontraba en incumplimiento de la obligación de pago correspondiente a </w:t>
      </w:r>
      <w:r w:rsidRPr="008A2C3C">
        <w:rPr>
          <w:rFonts w:ascii="ITC Avant Garde" w:eastAsia="Times New Roman" w:hAnsi="ITC Avant Garde"/>
          <w:bCs/>
          <w:noProof/>
          <w:color w:val="000000"/>
          <w:lang w:eastAsia="es-MX"/>
        </w:rPr>
        <w:t>los años dos mil catorce y dos mil quince</w:t>
      </w:r>
      <w:r w:rsidR="007363DA">
        <w:rPr>
          <w:rFonts w:ascii="ITC Avant Garde" w:eastAsia="Times New Roman" w:hAnsi="ITC Avant Garde"/>
          <w:bCs/>
          <w:noProof/>
          <w:color w:val="000000"/>
          <w:lang w:eastAsia="es-MX"/>
        </w:rPr>
        <w:t xml:space="preserve"> e, incluso dos mil dieciséis</w:t>
      </w:r>
      <w:r>
        <w:rPr>
          <w:rFonts w:ascii="ITC Avant Garde" w:eastAsia="Times New Roman" w:hAnsi="ITC Avant Garde"/>
          <w:b/>
          <w:bCs/>
          <w:noProof/>
          <w:color w:val="000000"/>
          <w:lang w:eastAsia="es-MX"/>
        </w:rPr>
        <w:t>.</w:t>
      </w:r>
    </w:p>
    <w:p w14:paraId="6C36592D" w14:textId="77777777" w:rsidR="00327D0C" w:rsidRDefault="00CB7F8D" w:rsidP="00327D0C">
      <w:pPr>
        <w:tabs>
          <w:tab w:val="left" w:pos="993"/>
        </w:tabs>
        <w:spacing w:after="240" w:line="360" w:lineRule="auto"/>
        <w:jc w:val="both"/>
        <w:rPr>
          <w:rFonts w:ascii="ITC Avant Garde" w:eastAsia="Times New Roman" w:hAnsi="ITC Avant Garde"/>
          <w:bCs/>
          <w:noProof/>
          <w:color w:val="000000"/>
          <w:lang w:eastAsia="es-MX"/>
        </w:rPr>
      </w:pPr>
      <w:r>
        <w:rPr>
          <w:rFonts w:ascii="ITC Avant Garde" w:eastAsia="Times New Roman" w:hAnsi="ITC Avant Garde"/>
          <w:bCs/>
          <w:noProof/>
          <w:color w:val="000000"/>
          <w:lang w:eastAsia="es-MX"/>
        </w:rPr>
        <w:t>En efecto, de conformidad con el oficio a través del cual</w:t>
      </w:r>
      <w:r>
        <w:rPr>
          <w:rFonts w:ascii="ITC Avant Garde" w:hAnsi="ITC Avant Garde" w:cs="Arial"/>
        </w:rPr>
        <w:t xml:space="preserve"> la </w:t>
      </w:r>
      <w:r>
        <w:rPr>
          <w:rFonts w:ascii="ITC Avant Garde" w:hAnsi="ITC Avant Garde" w:cs="Arial"/>
          <w:b/>
        </w:rPr>
        <w:t>“DG-SUV”</w:t>
      </w:r>
      <w:r>
        <w:rPr>
          <w:rFonts w:ascii="ITC Avant Garde" w:hAnsi="ITC Avant Garde" w:cs="Arial"/>
        </w:rPr>
        <w:t xml:space="preserve"> formuló la determinación de adeudos en contra </w:t>
      </w:r>
      <w:r w:rsidRPr="0004662C">
        <w:rPr>
          <w:rFonts w:ascii="ITC Avant Garde" w:hAnsi="ITC Avant Garde" w:cs="Arial"/>
          <w:noProof/>
        </w:rPr>
        <w:t>de</w:t>
      </w:r>
      <w:r w:rsidRPr="008A2C3C">
        <w:rPr>
          <w:rFonts w:ascii="ITC Avant Garde" w:hAnsi="ITC Avant Garde" w:cs="Arial"/>
          <w:b/>
          <w:noProof/>
        </w:rPr>
        <w:t xml:space="preserve"> PORFIRIO TORRES PERALTA</w:t>
      </w:r>
      <w:r>
        <w:rPr>
          <w:rFonts w:ascii="ITC Avant Garde" w:hAnsi="ITC Avant Garde" w:cs="Arial"/>
          <w:b/>
        </w:rPr>
        <w:t xml:space="preserve"> </w:t>
      </w:r>
      <w:r>
        <w:rPr>
          <w:rFonts w:ascii="ITC Avant Garde" w:eastAsia="Times New Roman" w:hAnsi="ITC Avant Garde"/>
          <w:bCs/>
          <w:color w:val="000000"/>
          <w:lang w:eastAsia="es-MX"/>
        </w:rPr>
        <w:t xml:space="preserve">por la omisión en el pago de derechos por el uso de </w:t>
      </w:r>
      <w:r>
        <w:rPr>
          <w:rFonts w:ascii="ITC Avant Garde" w:eastAsia="Times New Roman" w:hAnsi="ITC Avant Garde"/>
          <w:bCs/>
          <w:noProof/>
          <w:color w:val="000000"/>
          <w:lang w:eastAsia="es-MX"/>
        </w:rPr>
        <w:t>las frecuencias del espectro radioeléctrico que le fueron asignadas</w:t>
      </w:r>
      <w:r>
        <w:rPr>
          <w:rFonts w:ascii="ITC Avant Garde" w:eastAsia="Times New Roman" w:hAnsi="ITC Avant Garde"/>
          <w:bCs/>
          <w:color w:val="000000"/>
          <w:lang w:eastAsia="es-MX"/>
        </w:rPr>
        <w:t xml:space="preserve">, se aprecia que dicha persona incumplió con la obligación en estudio correspondiente </w:t>
      </w:r>
      <w:r w:rsidRPr="008A2C3C">
        <w:rPr>
          <w:rFonts w:ascii="ITC Avant Garde" w:eastAsia="Times New Roman" w:hAnsi="ITC Avant Garde"/>
          <w:bCs/>
          <w:noProof/>
          <w:color w:val="000000"/>
          <w:lang w:eastAsia="es-MX"/>
        </w:rPr>
        <w:t>los años dos mil catorce y dos mil quince</w:t>
      </w:r>
      <w:r>
        <w:rPr>
          <w:rFonts w:ascii="ITC Avant Garde" w:eastAsia="Times New Roman" w:hAnsi="ITC Avant Garde"/>
          <w:bCs/>
          <w:color w:val="000000"/>
          <w:lang w:eastAsia="es-MX"/>
        </w:rPr>
        <w:t xml:space="preserve">, pues </w:t>
      </w:r>
      <w:r>
        <w:rPr>
          <w:rFonts w:ascii="ITC Avant Garde" w:eastAsia="Times New Roman" w:hAnsi="ITC Avant Garde"/>
          <w:bCs/>
          <w:noProof/>
          <w:color w:val="000000"/>
          <w:lang w:eastAsia="es-MX"/>
        </w:rPr>
        <w:t xml:space="preserve">no existe evidencia de que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noProof/>
          <w:color w:val="000000"/>
          <w:lang w:eastAsia="es-MX"/>
        </w:rPr>
        <w:t xml:space="preserve"> hubiera efectuados dichos pagos. </w:t>
      </w:r>
    </w:p>
    <w:p w14:paraId="5BA0E874" w14:textId="77777777" w:rsidR="00327D0C" w:rsidRDefault="00CB7F8D" w:rsidP="00327D0C">
      <w:pPr>
        <w:tabs>
          <w:tab w:val="left" w:pos="993"/>
        </w:tabs>
        <w:spacing w:after="240" w:line="360" w:lineRule="auto"/>
        <w:jc w:val="both"/>
        <w:rPr>
          <w:rFonts w:ascii="ITC Avant Garde" w:hAnsi="ITC Avant Garde"/>
        </w:rPr>
      </w:pPr>
      <w:r>
        <w:rPr>
          <w:rFonts w:ascii="ITC Avant Garde" w:hAnsi="ITC Avant Garde"/>
        </w:rPr>
        <w:t xml:space="preserve">En este sentido, de conformidad con el numeral </w:t>
      </w:r>
      <w:r w:rsidRPr="002D7053">
        <w:rPr>
          <w:rFonts w:ascii="ITC Avant Garde" w:hAnsi="ITC Avant Garde"/>
        </w:rPr>
        <w:t xml:space="preserve">31 fracción IV </w:t>
      </w:r>
      <w:r>
        <w:rPr>
          <w:rFonts w:ascii="ITC Avant Garde" w:hAnsi="ITC Avant Garde"/>
        </w:rPr>
        <w:t xml:space="preserve">de la </w:t>
      </w:r>
      <w:r>
        <w:rPr>
          <w:rFonts w:ascii="ITC Avant Garde" w:hAnsi="ITC Avant Garde"/>
          <w:b/>
        </w:rPr>
        <w:t>“</w:t>
      </w:r>
      <w:r w:rsidRPr="002D7053">
        <w:rPr>
          <w:rFonts w:ascii="ITC Avant Garde" w:hAnsi="ITC Avant Garde"/>
          <w:b/>
        </w:rPr>
        <w:t>CPEUM</w:t>
      </w:r>
      <w:r>
        <w:rPr>
          <w:rFonts w:ascii="ITC Avant Garde" w:hAnsi="ITC Avant Garde"/>
          <w:b/>
        </w:rPr>
        <w:t>”</w:t>
      </w:r>
      <w:r>
        <w:rPr>
          <w:rFonts w:ascii="ITC Avant Garde" w:hAnsi="ITC Avant Garde"/>
        </w:rPr>
        <w:t xml:space="preserve">, </w:t>
      </w:r>
      <w:r w:rsidRPr="002D7053">
        <w:rPr>
          <w:rFonts w:ascii="ITC Avant Garde" w:hAnsi="ITC Avant Garde"/>
        </w:rPr>
        <w:t>es obligación de los mexicanos contribuir para los gastos públicos entre otros de la Federación, según dispongan las leyes</w:t>
      </w:r>
      <w:r>
        <w:rPr>
          <w:rFonts w:ascii="ITC Avant Garde" w:hAnsi="ITC Avant Garde"/>
        </w:rPr>
        <w:t xml:space="preserve"> aplicables</w:t>
      </w:r>
      <w:r w:rsidRPr="002D7053">
        <w:rPr>
          <w:rFonts w:ascii="ITC Avant Garde" w:hAnsi="ITC Avant Garde"/>
        </w:rPr>
        <w:t>.</w:t>
      </w:r>
      <w:r>
        <w:rPr>
          <w:rFonts w:ascii="ITC Avant Garde" w:hAnsi="ITC Avant Garde"/>
        </w:rPr>
        <w:t xml:space="preserve"> En este sentido, el artículo 2 del Código Fiscal de la Federación (</w:t>
      </w:r>
      <w:r w:rsidRPr="002D7053">
        <w:rPr>
          <w:rFonts w:ascii="ITC Avant Garde" w:hAnsi="ITC Avant Garde"/>
          <w:b/>
        </w:rPr>
        <w:t>“CFF”</w:t>
      </w:r>
      <w:r>
        <w:rPr>
          <w:rFonts w:ascii="ITC Avant Garde" w:hAnsi="ITC Avant Garde"/>
        </w:rPr>
        <w:t>) señala los diferentes tipos de ingresos que puede percibir el Estado Mexicano, estableciendo al efecto lo siguiente:</w:t>
      </w:r>
    </w:p>
    <w:p w14:paraId="47B8F868"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Pr>
          <w:rFonts w:ascii="ITC Avant Garde" w:hAnsi="ITC Avant Garde"/>
          <w:i/>
          <w:sz w:val="20"/>
          <w:szCs w:val="20"/>
        </w:rPr>
        <w:t>“</w:t>
      </w:r>
      <w:r w:rsidRPr="00C62AA5">
        <w:rPr>
          <w:rFonts w:ascii="ITC Avant Garde" w:hAnsi="ITC Avant Garde"/>
          <w:i/>
          <w:sz w:val="20"/>
          <w:szCs w:val="20"/>
        </w:rPr>
        <w:t>Artículo 2.- Las contribuciones se clasifican en impuestos, aportaciones de seguridad social, contribuciones de mejoras y derechos, las que se definen de la siguiente manera:</w:t>
      </w:r>
    </w:p>
    <w:p w14:paraId="13377C98"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Impuestos son las contribuciones establecidas en ley que deben pagar las personas físicas y morales que se encuentran en la situación jurídica o de hecho prevista por la misma y que sean distintas de las señaladas en las fracciones II, III y IV de este Artículo.</w:t>
      </w:r>
    </w:p>
    <w:p w14:paraId="4CC1A6A5"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 xml:space="preserve">Aportaciones de seguridad social son las contribuciones establecidas en ley a cargo de personas que son sustituidas por el Estado en el cumplimiento de obligaciones fijadas por la ley en materia de seguridad social o a las personas que </w:t>
      </w:r>
      <w:r w:rsidRPr="00C62AA5">
        <w:rPr>
          <w:rFonts w:ascii="ITC Avant Garde" w:hAnsi="ITC Avant Garde"/>
          <w:i/>
          <w:sz w:val="20"/>
          <w:szCs w:val="20"/>
        </w:rPr>
        <w:lastRenderedPageBreak/>
        <w:t>se beneficien en forma especial por servicios de seguridad social proporcionados por el mismo Estado.</w:t>
      </w:r>
    </w:p>
    <w:p w14:paraId="22BDB600"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Contribuciones de mejoras son las establecidas en Ley a cargo de las personas físicas y morales que se beneficien de manera directa por obras públicas.</w:t>
      </w:r>
    </w:p>
    <w:p w14:paraId="7509DFAD"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b/>
          <w:i/>
          <w:sz w:val="20"/>
          <w:szCs w:val="20"/>
          <w:u w:val="single"/>
        </w:rPr>
        <w:t>Derechos son las contribuciones establecidas en Ley por el uso o aprovechamiento de los bienes del dominio público de la Nación</w:t>
      </w:r>
      <w:r w:rsidRPr="00C62AA5">
        <w:rPr>
          <w:rFonts w:ascii="ITC Avant Garde" w:hAnsi="ITC Avant Garde"/>
          <w:i/>
          <w:sz w:val="20"/>
          <w:szCs w:val="20"/>
        </w:rPr>
        <w:t>,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También son derechos las contribuciones a cargo de los organismos públicos descentralizados por prestar servicios exclusivos del Estado.</w:t>
      </w:r>
    </w:p>
    <w:p w14:paraId="4AECE0B3"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Cuando sean organismos descentralizados los que proporcionen la seguridad social a que hace mención la fracción II, las contribuciones correspondientes tendrán la naturaleza de aportaciones de seguridad social.</w:t>
      </w:r>
    </w:p>
    <w:p w14:paraId="30F45866" w14:textId="77777777" w:rsidR="00327D0C" w:rsidRDefault="00CB7F8D" w:rsidP="00327D0C">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Los recargos, las sanciones, los gastos de ejecución y la indemnización a que se refiere el séptimo párrafo del Artículo 21 de este Código son accesorios de las contribuciones y participan de la naturaleza de éstas. Siempre que en este Código se haga referencia únicamente a contribuciones no se entenderán incluidos los accesorios, con excepción de lo dispuesto en el Artículo 1o.</w:t>
      </w:r>
      <w:r>
        <w:rPr>
          <w:rFonts w:ascii="ITC Avant Garde" w:hAnsi="ITC Avant Garde"/>
          <w:i/>
          <w:sz w:val="20"/>
          <w:szCs w:val="20"/>
        </w:rPr>
        <w:t>”</w:t>
      </w:r>
    </w:p>
    <w:p w14:paraId="1E7E1247" w14:textId="77777777" w:rsidR="00327D0C" w:rsidRDefault="00CB7F8D" w:rsidP="00327D0C">
      <w:pPr>
        <w:pStyle w:val="Prrafodelista"/>
        <w:spacing w:after="240" w:line="360" w:lineRule="auto"/>
        <w:ind w:left="0"/>
        <w:contextualSpacing w:val="0"/>
        <w:jc w:val="both"/>
        <w:rPr>
          <w:rFonts w:ascii="ITC Avant Garde" w:hAnsi="ITC Avant Garde"/>
        </w:rPr>
      </w:pPr>
      <w:r>
        <w:rPr>
          <w:rFonts w:ascii="ITC Avant Garde" w:hAnsi="ITC Avant Garde"/>
        </w:rPr>
        <w:t>De conformidad con el artículo arriba citado, los d</w:t>
      </w:r>
      <w:r w:rsidRPr="002D7053">
        <w:rPr>
          <w:rFonts w:ascii="ITC Avant Garde" w:hAnsi="ITC Avant Garde"/>
        </w:rPr>
        <w:t xml:space="preserve">erechos son las contribuciones establecidas en ley por el uso o aprovechamiento de los bienes de dominio público de la Nación, </w:t>
      </w:r>
      <w:r>
        <w:rPr>
          <w:rFonts w:ascii="ITC Avant Garde" w:hAnsi="ITC Avant Garde"/>
        </w:rPr>
        <w:t xml:space="preserve">como lo es para el caso que nos interesa el espectro radioeléctrico, el cual </w:t>
      </w:r>
      <w:r w:rsidRPr="00542CE8">
        <w:rPr>
          <w:rFonts w:ascii="ITC Avant Garde" w:hAnsi="ITC Avant Garde"/>
        </w:rPr>
        <w:t>en términos de la Ley General de Bienes Nacionales</w:t>
      </w:r>
      <w:r>
        <w:rPr>
          <w:rFonts w:ascii="ITC Avant Garde" w:hAnsi="ITC Avant Garde"/>
        </w:rPr>
        <w:t xml:space="preserve"> se encuentra </w:t>
      </w:r>
      <w:r w:rsidRPr="00542CE8">
        <w:rPr>
          <w:rFonts w:ascii="ITC Avant Garde" w:hAnsi="ITC Avant Garde"/>
        </w:rPr>
        <w:t xml:space="preserve">sujeto al régimen de dominio público de la Federación, pudiendo hacer uso de él todos los habitantes de la República Mexicana con las restricciones establecidas en las leyes y reglamentos administrativos aplicables, </w:t>
      </w:r>
      <w:r>
        <w:rPr>
          <w:rFonts w:ascii="ITC Avant Garde" w:hAnsi="ITC Avant Garde"/>
        </w:rPr>
        <w:t xml:space="preserve">es decir, </w:t>
      </w:r>
      <w:r w:rsidRPr="00542CE8">
        <w:rPr>
          <w:rFonts w:ascii="ITC Avant Garde" w:hAnsi="ITC Avant Garde"/>
        </w:rPr>
        <w:t>para su aprovechamiento especial se requiere concesión, autorización o permiso otorgados conforme a las condiciones y req</w:t>
      </w:r>
      <w:r>
        <w:rPr>
          <w:rFonts w:ascii="ITC Avant Garde" w:hAnsi="ITC Avant Garde"/>
        </w:rPr>
        <w:t>uisitos legalmente establecidos,</w:t>
      </w:r>
      <w:r w:rsidRPr="00621B03">
        <w:rPr>
          <w:rFonts w:ascii="ITC Avant Garde" w:hAnsi="ITC Avant Garde"/>
        </w:rPr>
        <w:t xml:space="preserve"> </w:t>
      </w:r>
      <w:r>
        <w:rPr>
          <w:rFonts w:ascii="ITC Avant Garde" w:hAnsi="ITC Avant Garde"/>
        </w:rPr>
        <w:t xml:space="preserve">los que no crean derechos reales, pues solo otorgan frente a </w:t>
      </w:r>
      <w:r>
        <w:rPr>
          <w:rFonts w:ascii="ITC Avant Garde" w:hAnsi="ITC Avant Garde"/>
        </w:rPr>
        <w:lastRenderedPageBreak/>
        <w:t>la administración y sin perjuicio de terceros, el derecho al uso, aprovechamiento o explotación conforme a las leyes y al documento habilitante correspondiente.</w:t>
      </w:r>
    </w:p>
    <w:p w14:paraId="6095EE20" w14:textId="77777777" w:rsidR="00327D0C" w:rsidRDefault="00CB7F8D" w:rsidP="00327D0C">
      <w:pPr>
        <w:tabs>
          <w:tab w:val="left" w:pos="993"/>
        </w:tabs>
        <w:spacing w:after="240" w:line="360" w:lineRule="auto"/>
        <w:jc w:val="both"/>
        <w:rPr>
          <w:rFonts w:ascii="ITC Avant Garde" w:eastAsia="Times New Roman" w:hAnsi="ITC Avant Garde"/>
          <w:lang w:eastAsia="es-ES"/>
        </w:rPr>
      </w:pPr>
      <w:r>
        <w:rPr>
          <w:rFonts w:ascii="ITC Avant Garde" w:eastAsia="Times New Roman" w:hAnsi="ITC Avant Garde"/>
          <w:lang w:eastAsia="es-ES"/>
        </w:rPr>
        <w:t xml:space="preserve">Corrobora lo anterior la tesis de jurisprudencia P./J. 65/2007 emitida por el Pleno de la Suprema Corte de Justicia de la Nación, visible en el Semanario Judicial de la Federación y su Gaceta, Tomo XXVI, </w:t>
      </w:r>
      <w:proofErr w:type="gramStart"/>
      <w:r>
        <w:rPr>
          <w:rFonts w:ascii="ITC Avant Garde" w:eastAsia="Times New Roman" w:hAnsi="ITC Avant Garde"/>
          <w:lang w:eastAsia="es-ES"/>
        </w:rPr>
        <w:t>Diciembre</w:t>
      </w:r>
      <w:proofErr w:type="gramEnd"/>
      <w:r>
        <w:rPr>
          <w:rFonts w:ascii="ITC Avant Garde" w:eastAsia="Times New Roman" w:hAnsi="ITC Avant Garde"/>
          <w:lang w:eastAsia="es-ES"/>
        </w:rPr>
        <w:t xml:space="preserve"> de 2007, página 987, Materia Constitucional, Novena Época, que en la parte que nos interesa señala:</w:t>
      </w:r>
    </w:p>
    <w:p w14:paraId="2C084124" w14:textId="77777777" w:rsidR="00327D0C" w:rsidRDefault="00CB7F8D" w:rsidP="00327D0C">
      <w:pPr>
        <w:tabs>
          <w:tab w:val="left" w:pos="993"/>
        </w:tabs>
        <w:spacing w:after="240" w:line="360" w:lineRule="auto"/>
        <w:ind w:left="851" w:right="616"/>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Pr>
          <w:rFonts w:ascii="ITC Avant Garde" w:hAnsi="ITC Avant Garde"/>
          <w:b/>
          <w:i/>
          <w:color w:val="000000"/>
          <w:sz w:val="20"/>
          <w:szCs w:val="20"/>
          <w:u w:val="single"/>
        </w:rPr>
        <w:t>el espectro radioeléctrico constituye un bien de uso común que, como tal, en términos de la Ley General de Bienes Nacionales, está sujeto al régimen de dominio público de la Federación</w:t>
      </w:r>
      <w:r>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Pr>
          <w:rFonts w:ascii="ITC Avant Garde" w:hAnsi="ITC Avant Garde"/>
          <w:i/>
          <w:color w:val="000000"/>
          <w:sz w:val="20"/>
          <w:szCs w:val="20"/>
        </w:rPr>
        <w:t xml:space="preserve"> los que no crean derechos reales, pues sólo </w:t>
      </w:r>
      <w:r>
        <w:rPr>
          <w:rFonts w:ascii="ITC Avant Garde" w:hAnsi="ITC Avant Garde"/>
          <w:i/>
          <w:color w:val="000000"/>
          <w:sz w:val="20"/>
          <w:szCs w:val="20"/>
        </w:rPr>
        <w:lastRenderedPageBreak/>
        <w:t>otorgan frente a la administración y sin perjuicio de terceros, el derecho al uso, aprovechamiento o explotación conforme a las leyes y al título correspondiente.</w:t>
      </w:r>
    </w:p>
    <w:p w14:paraId="4AAE4F65" w14:textId="77777777" w:rsidR="00327D0C" w:rsidRDefault="00CB7F8D" w:rsidP="00327D0C">
      <w:pPr>
        <w:tabs>
          <w:tab w:val="left" w:pos="993"/>
        </w:tabs>
        <w:spacing w:after="240" w:line="360" w:lineRule="auto"/>
        <w:jc w:val="both"/>
        <w:rPr>
          <w:rFonts w:ascii="ITC Avant Garde" w:hAnsi="ITC Avant Garde"/>
        </w:rPr>
      </w:pPr>
      <w:r>
        <w:rPr>
          <w:rFonts w:ascii="ITC Avant Garde" w:hAnsi="ITC Avant Garde"/>
        </w:rPr>
        <w:t xml:space="preserve">En este sentido, corresponde a la Nación el dominio directo del espacio situado sobre el territorio nacional, que es el medio en que se propagan las ondas electromagnéticas de señales de bandas de frecuencias del espectro radioeléctrico, mediante la instalación, funcionamiento y operación de sistemas de telecomunicaciones, bien en su modalidad de </w:t>
      </w:r>
      <w:r w:rsidRPr="00804223">
        <w:rPr>
          <w:rFonts w:ascii="ITC Avant Garde" w:hAnsi="ITC Avant Garde"/>
        </w:rPr>
        <w:t>radiocomunicación privada</w:t>
      </w:r>
      <w:r>
        <w:rPr>
          <w:rFonts w:ascii="ITC Avant Garde" w:hAnsi="ITC Avant Garde"/>
        </w:rPr>
        <w:t>,</w:t>
      </w:r>
      <w:r w:rsidRPr="00804223">
        <w:rPr>
          <w:rFonts w:ascii="ITC Avant Garde" w:hAnsi="ITC Avant Garde"/>
        </w:rPr>
        <w:t xml:space="preserve"> enlaces </w:t>
      </w:r>
      <w:r>
        <w:rPr>
          <w:rFonts w:ascii="ITC Avant Garde" w:hAnsi="ITC Avant Garde"/>
        </w:rPr>
        <w:t>privados o transmisión de datos</w:t>
      </w:r>
      <w:r w:rsidRPr="00B12FCA">
        <w:rPr>
          <w:rFonts w:ascii="ITC Avant Garde" w:hAnsi="ITC Avant Garde"/>
        </w:rPr>
        <w:t>,</w:t>
      </w:r>
      <w:r>
        <w:rPr>
          <w:rFonts w:ascii="ITC Avant Garde" w:hAnsi="ITC Avant Garde"/>
        </w:rPr>
        <w:t xml:space="preserve"> entre otros, siendo este dominio inalienable e imprescriptible.</w:t>
      </w:r>
    </w:p>
    <w:p w14:paraId="5FAF0868" w14:textId="77777777" w:rsidR="00327D0C" w:rsidRDefault="00CB7F8D" w:rsidP="00327D0C">
      <w:pPr>
        <w:pStyle w:val="Prrafodelista"/>
        <w:spacing w:after="240" w:line="360" w:lineRule="auto"/>
        <w:ind w:left="0"/>
        <w:contextualSpacing w:val="0"/>
        <w:jc w:val="both"/>
        <w:rPr>
          <w:rFonts w:ascii="ITC Avant Garde" w:hAnsi="ITC Avant Garde"/>
        </w:rPr>
      </w:pPr>
      <w:r>
        <w:rPr>
          <w:rFonts w:ascii="ITC Avant Garde" w:hAnsi="ITC Avant Garde"/>
        </w:rPr>
        <w:t xml:space="preserve">En términos de los ordenamientos legales invocados, </w:t>
      </w:r>
      <w:r>
        <w:rPr>
          <w:rFonts w:ascii="ITC Avant Garde" w:hAnsi="ITC Avant Garde"/>
          <w:u w:val="single"/>
        </w:rPr>
        <w:t>el uso, aprovechamiento o explotación por parte de los particulares de las bandas de frecuencias de uso determinado del espectro radioeléctrico para prestar servicios de telecomunicaciones</w:t>
      </w:r>
      <w:r>
        <w:rPr>
          <w:rFonts w:ascii="ITC Avant Garde" w:hAnsi="ITC Avant Garde"/>
        </w:rPr>
        <w:t xml:space="preserve">, </w:t>
      </w:r>
      <w:r>
        <w:rPr>
          <w:rFonts w:ascii="ITC Avant Garde" w:hAnsi="ITC Avant Garde"/>
          <w:b/>
          <w:u w:val="single"/>
        </w:rPr>
        <w:t xml:space="preserve">sólo podrá realizarse previa concesión o permiso que se le otorgue por la autoridad competente. </w:t>
      </w:r>
    </w:p>
    <w:p w14:paraId="7DD5459A" w14:textId="77777777" w:rsidR="00327D0C" w:rsidRDefault="00CB7F8D" w:rsidP="00327D0C">
      <w:pPr>
        <w:spacing w:after="240" w:line="360" w:lineRule="auto"/>
        <w:jc w:val="both"/>
        <w:rPr>
          <w:rFonts w:ascii="ITC Avant Garde" w:eastAsia="Times New Roman" w:hAnsi="ITC Avant Garde"/>
          <w:bCs/>
          <w:noProof/>
          <w:color w:val="000000"/>
          <w:lang w:eastAsia="es-MX"/>
        </w:rPr>
      </w:pPr>
      <w:r>
        <w:rPr>
          <w:rFonts w:ascii="ITC Avant Garde" w:hAnsi="ITC Avant Garde"/>
        </w:rPr>
        <w:t xml:space="preserve">En este sentido, si bien es cierto que </w:t>
      </w:r>
      <w:r w:rsidRPr="008A2C3C">
        <w:rPr>
          <w:rFonts w:ascii="ITC Avant Garde" w:hAnsi="ITC Avant Garde"/>
          <w:b/>
          <w:noProof/>
        </w:rPr>
        <w:t>PORFIRIO TORRES PERALTA</w:t>
      </w:r>
      <w:r w:rsidRPr="00804223">
        <w:rPr>
          <w:rFonts w:ascii="ITC Avant Garde" w:hAnsi="ITC Avant Garde"/>
          <w:b/>
        </w:rPr>
        <w:t xml:space="preserve"> </w:t>
      </w:r>
      <w:r>
        <w:rPr>
          <w:rFonts w:ascii="ITC Avant Garde" w:hAnsi="ITC Avant Garde"/>
        </w:rPr>
        <w:t xml:space="preserve">cuenta con </w:t>
      </w:r>
      <w:r w:rsidRPr="008A2C3C">
        <w:rPr>
          <w:rFonts w:ascii="ITC Avant Garde" w:hAnsi="ITC Avant Garde"/>
          <w:b/>
          <w:noProof/>
        </w:rPr>
        <w:t>un permiso para instalar y operar un sistema de radiocomunicación privada</w:t>
      </w:r>
      <w:r>
        <w:rPr>
          <w:rFonts w:ascii="ITC Avant Garde" w:hAnsi="ITC Avant Garde"/>
        </w:rPr>
        <w:t xml:space="preserve"> otorgado a su favor </w:t>
      </w:r>
      <w:r>
        <w:rPr>
          <w:rFonts w:ascii="ITC Avant Garde" w:eastAsia="Times New Roman" w:hAnsi="ITC Avant Garde"/>
          <w:bCs/>
          <w:noProof/>
          <w:color w:val="000000"/>
          <w:lang w:eastAsia="es-MX"/>
        </w:rPr>
        <w:t xml:space="preserve">por la </w:t>
      </w:r>
      <w:r>
        <w:rPr>
          <w:rFonts w:ascii="ITC Avant Garde" w:eastAsia="Times New Roman" w:hAnsi="ITC Avant Garde"/>
          <w:bCs/>
          <w:color w:val="000000"/>
          <w:lang w:eastAsia="es-MX"/>
        </w:rPr>
        <w:t xml:space="preserve">Secretaría de Comunicaciones y Transportes, </w:t>
      </w:r>
      <w:r w:rsidRPr="00E5375A">
        <w:rPr>
          <w:rFonts w:ascii="ITC Avant Garde" w:eastAsia="Times New Roman" w:hAnsi="ITC Avant Garde"/>
          <w:bCs/>
          <w:noProof/>
          <w:color w:val="000000"/>
          <w:lang w:eastAsia="es-MX"/>
        </w:rPr>
        <w:t xml:space="preserve">también lo es que </w:t>
      </w:r>
      <w:r>
        <w:rPr>
          <w:rFonts w:ascii="ITC Avant Garde" w:eastAsia="Times New Roman" w:hAnsi="ITC Avant Garde"/>
          <w:bCs/>
          <w:noProof/>
          <w:color w:val="000000"/>
          <w:lang w:eastAsia="es-MX"/>
        </w:rPr>
        <w:t xml:space="preserve">en dicho documento se establece la obligación de pago anual de derechos por el uso del espectro radioeléctrico, así como la causal de </w:t>
      </w:r>
      <w:r w:rsidRPr="00C92512">
        <w:rPr>
          <w:rFonts w:ascii="ITC Avant Garde" w:eastAsia="Times New Roman" w:hAnsi="ITC Avant Garde"/>
          <w:b/>
          <w:bCs/>
          <w:noProof/>
          <w:color w:val="000000"/>
          <w:lang w:eastAsia="es-MX"/>
        </w:rPr>
        <w:t>revocación</w:t>
      </w:r>
      <w:r>
        <w:rPr>
          <w:rFonts w:ascii="ITC Avant Garde" w:eastAsia="Times New Roman" w:hAnsi="ITC Avant Garde"/>
          <w:bCs/>
          <w:noProof/>
          <w:color w:val="000000"/>
          <w:lang w:eastAsia="es-MX"/>
        </w:rPr>
        <w:t xml:space="preserve"> al señalar que dicho título habilitante</w:t>
      </w:r>
      <w:r w:rsidRPr="00E5375A">
        <w:rPr>
          <w:rFonts w:ascii="ITC Avant Garde" w:eastAsia="Times New Roman" w:hAnsi="ITC Avant Garde"/>
          <w:bCs/>
          <w:noProof/>
          <w:color w:val="000000"/>
          <w:lang w:eastAsia="es-MX"/>
        </w:rPr>
        <w:t xml:space="preserve"> puede ser revocado en cualquier</w:t>
      </w:r>
      <w:r>
        <w:rPr>
          <w:rFonts w:ascii="ITC Avant Garde" w:eastAsia="Times New Roman" w:hAnsi="ITC Avant Garde"/>
          <w:bCs/>
          <w:noProof/>
          <w:color w:val="000000"/>
          <w:lang w:eastAsia="es-MX"/>
        </w:rPr>
        <w:t xml:space="preserve"> tiempo a juicio de la Secretarí</w:t>
      </w:r>
      <w:r w:rsidRPr="00E5375A">
        <w:rPr>
          <w:rFonts w:ascii="ITC Avant Garde" w:eastAsia="Times New Roman" w:hAnsi="ITC Avant Garde"/>
          <w:bCs/>
          <w:noProof/>
          <w:color w:val="000000"/>
          <w:lang w:eastAsia="es-MX"/>
        </w:rPr>
        <w:t>a, actualme</w:t>
      </w:r>
      <w:r>
        <w:rPr>
          <w:rFonts w:ascii="ITC Avant Garde" w:eastAsia="Times New Roman" w:hAnsi="ITC Avant Garde"/>
          <w:bCs/>
          <w:noProof/>
          <w:color w:val="000000"/>
          <w:lang w:eastAsia="es-MX"/>
        </w:rPr>
        <w:t xml:space="preserve">nte el </w:t>
      </w:r>
      <w:r w:rsidRPr="00BA7FB0">
        <w:rPr>
          <w:rFonts w:ascii="ITC Avant Garde" w:eastAsia="Times New Roman" w:hAnsi="ITC Avant Garde"/>
          <w:b/>
          <w:bCs/>
          <w:noProof/>
          <w:color w:val="000000"/>
          <w:lang w:eastAsia="es-MX"/>
        </w:rPr>
        <w:t>“</w:t>
      </w:r>
      <w:r w:rsidRPr="00221981">
        <w:rPr>
          <w:rFonts w:ascii="ITC Avant Garde" w:eastAsia="Times New Roman" w:hAnsi="ITC Avant Garde"/>
          <w:b/>
          <w:bCs/>
          <w:noProof/>
          <w:color w:val="000000"/>
          <w:lang w:eastAsia="es-MX"/>
        </w:rPr>
        <w:t>IFT</w:t>
      </w:r>
      <w:r>
        <w:rPr>
          <w:rFonts w:ascii="ITC Avant Garde" w:eastAsia="Times New Roman" w:hAnsi="ITC Avant Garde"/>
          <w:b/>
          <w:bCs/>
          <w:noProof/>
          <w:color w:val="000000"/>
          <w:lang w:eastAsia="es-MX"/>
        </w:rPr>
        <w:t>”,</w:t>
      </w:r>
      <w:r>
        <w:rPr>
          <w:rFonts w:ascii="ITC Avant Garde" w:eastAsia="Times New Roman" w:hAnsi="ITC Avant Garde"/>
          <w:bCs/>
          <w:noProof/>
          <w:color w:val="000000"/>
          <w:lang w:eastAsia="es-MX"/>
        </w:rPr>
        <w:t xml:space="preserve"> o bien, señala de forma expresa que el mismo será revocable por el incumplimiento de las condiciones establecidas en dicho documento o por causas de interés público.</w:t>
      </w:r>
    </w:p>
    <w:p w14:paraId="0F2DA1AC" w14:textId="77777777" w:rsidR="00327D0C" w:rsidRDefault="00CB7F8D" w:rsidP="00327D0C">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se considera que en el presente procedimiento se encuentran plenamente acreditados los elementos de la conducta que se estima </w:t>
      </w:r>
      <w:r w:rsidRPr="00017B78">
        <w:rPr>
          <w:rFonts w:ascii="ITC Avant Garde" w:eastAsia="Times New Roman" w:hAnsi="ITC Avant Garde"/>
          <w:bCs/>
          <w:color w:val="000000"/>
          <w:lang w:eastAsia="es-MX"/>
        </w:rPr>
        <w:t xml:space="preserve">actualiza el supuesto de revocación establecido en la fracción III del numeral 303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sidRPr="00017B78">
        <w:rPr>
          <w:rFonts w:ascii="ITC Avant Garde" w:eastAsia="Times New Roman" w:hAnsi="ITC Avant Garde"/>
          <w:bCs/>
          <w:color w:val="000000"/>
          <w:lang w:eastAsia="es-MX"/>
        </w:rPr>
        <w:t>, el cual señala que las concesiones y las autorizaciones se podrán revoc</w:t>
      </w:r>
      <w:r w:rsidRPr="0084683D">
        <w:rPr>
          <w:rFonts w:ascii="ITC Avant Garde" w:eastAsia="Times New Roman" w:hAnsi="ITC Avant Garde"/>
          <w:bCs/>
          <w:color w:val="000000"/>
          <w:lang w:eastAsia="es-MX"/>
        </w:rPr>
        <w:t>ar</w:t>
      </w:r>
      <w:r>
        <w:rPr>
          <w:rFonts w:ascii="ITC Avant Garde" w:eastAsia="Times New Roman" w:hAnsi="ITC Avant Garde"/>
          <w:bCs/>
          <w:color w:val="000000"/>
          <w:lang w:eastAsia="es-MX"/>
        </w:rPr>
        <w:t xml:space="preserve">, entre otros supuestos, </w:t>
      </w:r>
      <w:r w:rsidRPr="00804223">
        <w:rPr>
          <w:rFonts w:ascii="ITC Avant Garde" w:eastAsia="Times New Roman" w:hAnsi="ITC Avant Garde"/>
          <w:bCs/>
          <w:color w:val="000000"/>
          <w:u w:val="single"/>
          <w:lang w:eastAsia="es-MX"/>
        </w:rPr>
        <w:t>por no cumplir</w:t>
      </w:r>
      <w:r>
        <w:rPr>
          <w:rFonts w:ascii="ITC Avant Garde" w:eastAsia="Times New Roman" w:hAnsi="ITC Avant Garde"/>
          <w:bCs/>
          <w:color w:val="000000"/>
          <w:u w:val="single"/>
          <w:lang w:eastAsia="es-MX"/>
        </w:rPr>
        <w:t xml:space="preserve"> con</w:t>
      </w:r>
      <w:r w:rsidRPr="00804223">
        <w:rPr>
          <w:rFonts w:ascii="ITC Avant Garde" w:eastAsia="Times New Roman" w:hAnsi="ITC Avant Garde"/>
          <w:bCs/>
          <w:color w:val="000000"/>
          <w:u w:val="single"/>
          <w:lang w:eastAsia="es-MX"/>
        </w:rPr>
        <w:t xml:space="preserve"> las obligaciones o condiciones establecidas en </w:t>
      </w:r>
      <w:r>
        <w:rPr>
          <w:rFonts w:ascii="ITC Avant Garde" w:eastAsia="Times New Roman" w:hAnsi="ITC Avant Garde"/>
          <w:bCs/>
          <w:color w:val="000000"/>
          <w:u w:val="single"/>
          <w:lang w:eastAsia="es-MX"/>
        </w:rPr>
        <w:t>el propio título habilitante</w:t>
      </w:r>
      <w:r w:rsidRPr="00804223">
        <w:rPr>
          <w:rFonts w:ascii="ITC Avant Garde" w:eastAsia="Times New Roman" w:hAnsi="ITC Avant Garde"/>
          <w:bCs/>
          <w:color w:val="000000"/>
          <w:u w:val="single"/>
          <w:lang w:eastAsia="es-MX"/>
        </w:rPr>
        <w:t xml:space="preserve"> en las que se establezcan expresamente que su incumplimiento será causa de revocación</w:t>
      </w:r>
      <w:r>
        <w:rPr>
          <w:rFonts w:ascii="ITC Avant Garde" w:eastAsia="Times New Roman" w:hAnsi="ITC Avant Garde"/>
          <w:bCs/>
          <w:color w:val="000000"/>
          <w:lang w:eastAsia="es-MX"/>
        </w:rPr>
        <w:t>.</w:t>
      </w:r>
    </w:p>
    <w:p w14:paraId="6AA0ACB5" w14:textId="77777777" w:rsidR="00327D0C" w:rsidRDefault="00CB7F8D" w:rsidP="00327D0C">
      <w:pPr>
        <w:tabs>
          <w:tab w:val="left" w:pos="993"/>
        </w:tabs>
        <w:spacing w:after="240" w:line="360" w:lineRule="auto"/>
        <w:jc w:val="both"/>
        <w:rPr>
          <w:rFonts w:ascii="ITC Avant Garde" w:eastAsia="Times New Roman" w:hAnsi="ITC Avant Garde"/>
          <w:bCs/>
          <w:lang w:eastAsia="es-MX"/>
        </w:rPr>
      </w:pPr>
      <w:r>
        <w:rPr>
          <w:rFonts w:ascii="ITC Avant Garde" w:hAnsi="ITC Avant Garde"/>
        </w:rPr>
        <w:lastRenderedPageBreak/>
        <w:t xml:space="preserve">Derivado de lo anterior, se advierte que </w:t>
      </w:r>
      <w:r>
        <w:rPr>
          <w:rFonts w:ascii="ITC Avant Garde" w:eastAsia="Times New Roman" w:hAnsi="ITC Avant Garde"/>
          <w:bCs/>
          <w:lang w:eastAsia="es-MX"/>
        </w:rPr>
        <w:t xml:space="preserve">existen incumplimientos respecto de los cuales las conductas sancionables se actualizaron en diferentes años, por lo que se considera que existe una unidad en el propósito </w:t>
      </w:r>
      <w:proofErr w:type="spellStart"/>
      <w:r>
        <w:rPr>
          <w:rFonts w:ascii="ITC Avant Garde" w:eastAsia="Times New Roman" w:hAnsi="ITC Avant Garde"/>
          <w:bCs/>
          <w:lang w:eastAsia="es-MX"/>
        </w:rPr>
        <w:t>infraccionario</w:t>
      </w:r>
      <w:proofErr w:type="spellEnd"/>
      <w:r>
        <w:rPr>
          <w:rFonts w:ascii="ITC Avant Garde" w:eastAsia="Times New Roman" w:hAnsi="ITC Avant Garde"/>
          <w:bCs/>
          <w:lang w:eastAsia="es-MX"/>
        </w:rPr>
        <w:t xml:space="preserve"> e identidad de lesión jurídica, toda vez que la pluralidad de omisiones trasgredió la misma porción normativa, razón por la cual puede estimarse como una conducta continuada ya que la pluralidad de omisiones integra una única infracción. </w:t>
      </w:r>
    </w:p>
    <w:p w14:paraId="13859119"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Sirve de sustento a lo anterior, la siguiente tesis:</w:t>
      </w:r>
    </w:p>
    <w:p w14:paraId="03E1955C" w14:textId="77777777" w:rsidR="00327D0C" w:rsidRDefault="00CB7F8D" w:rsidP="00327D0C">
      <w:pPr>
        <w:pStyle w:val="Textoindependiente"/>
        <w:tabs>
          <w:tab w:val="left" w:pos="993"/>
        </w:tabs>
        <w:spacing w:after="240" w:line="360" w:lineRule="auto"/>
        <w:ind w:left="851" w:right="758"/>
        <w:jc w:val="both"/>
        <w:rPr>
          <w:rFonts w:ascii="ITC Avant Garde" w:eastAsia="Times New Roman" w:hAnsi="ITC Avant Garde"/>
          <w:b/>
          <w:bCs/>
          <w:i/>
          <w:sz w:val="20"/>
          <w:u w:val="single"/>
          <w:lang w:eastAsia="es-MX"/>
        </w:rPr>
      </w:pPr>
      <w:r w:rsidRPr="00017B78">
        <w:rPr>
          <w:rFonts w:ascii="ITC Avant Garde" w:eastAsia="Times New Roman" w:hAnsi="ITC Avant Garde"/>
          <w:b/>
          <w:bCs/>
          <w:i/>
          <w:sz w:val="20"/>
          <w:lang w:eastAsia="es-MX"/>
        </w:rPr>
        <w:t>INFRACCIONES ADMINISTRATIVAS. SUS MODALIDADES.</w:t>
      </w:r>
      <w:r w:rsidRPr="00017B78">
        <w:rPr>
          <w:rFonts w:ascii="ITC Avant Garde" w:eastAsia="Times New Roman" w:hAnsi="ITC Avant Garde"/>
          <w:bCs/>
          <w:i/>
          <w:sz w:val="20"/>
          <w:lang w:eastAsia="es-MX"/>
        </w:rPr>
        <w:t xml:space="preserve"> Las modalidades de las infracciones tributarias a que se refiere el artículo 67, fracción III, del Código Fiscal de la Federación, no aparecen definidas en dicho cuerpo normativo. Es en materia penal, tratándose de delitos, donde mejor se han perfilado estos conceptos, motivo por el cual analógicamente debe acudirse a los mismos. Tratándose del delito instantáneo, el derecho positivo mexicano, la doctrina y la jurisprudencia, son acordes al conceptuarlo como: "Aquel que se consuma en un solo acto, agotando el tipo", cuyos efectos pueden o no prolongarse en el tiempo; en cambio, tratándose de las modalidades de "continuo" y "continuado", existe diversidad de criterios. El artículo 99 del referido Código Fiscal da el concepto al que debe atenderse en esta materia respecto al delito continuado al establecer que: "El delito es continuado, cuando se ejecuta con pluralidad de conductas o hechos con unidad de intención delictuosa e identidad de disposición legal, incluso de diversa gravedad". Respecto del delito continuo, sus notas características, extraídas sustancialmente de la jurisprudencia, consisten en las siguientes: "Es la acción u omisión que se prolonga sin interrupción por más o menos tiempo". </w:t>
      </w:r>
      <w:r w:rsidRPr="00017B78">
        <w:rPr>
          <w:rFonts w:ascii="ITC Avant Garde" w:eastAsia="Times New Roman" w:hAnsi="ITC Avant Garde"/>
          <w:b/>
          <w:bCs/>
          <w:i/>
          <w:sz w:val="20"/>
          <w:u w:val="single"/>
          <w:lang w:eastAsia="es-MX"/>
        </w:rPr>
        <w:t>Con base en lo anterior; las infracciones administrativas podrán ser:</w:t>
      </w:r>
      <w:r w:rsidRPr="00017B78">
        <w:rPr>
          <w:rFonts w:ascii="ITC Avant Garde" w:eastAsia="Times New Roman" w:hAnsi="ITC Avant Garde"/>
          <w:bCs/>
          <w:i/>
          <w:sz w:val="20"/>
          <w:lang w:eastAsia="es-MX"/>
        </w:rPr>
        <w:t xml:space="preserve"> instantáneas, cuando se consuman en un solo acto, agotando todos los elementos de la infracción, cuyos efectos pueden o no prolongarse en el tiempo; continuas, si la acción u omisión se prolonga sin interrupción por más o menos tiempo; o, </w:t>
      </w:r>
      <w:r w:rsidRPr="00017B78">
        <w:rPr>
          <w:rFonts w:ascii="ITC Avant Garde" w:eastAsia="Times New Roman" w:hAnsi="ITC Avant Garde"/>
          <w:b/>
          <w:bCs/>
          <w:i/>
          <w:sz w:val="20"/>
          <w:u w:val="single"/>
          <w:lang w:eastAsia="es-MX"/>
        </w:rPr>
        <w:t>continuadas, en la hipótesis de pluralidad de acciones que integran una sola infracción en razón de la unidad de propósito inflacionario e identidad de lesión jurídica.</w:t>
      </w:r>
    </w:p>
    <w:p w14:paraId="2694385D" w14:textId="77777777" w:rsidR="00327D0C" w:rsidRDefault="00CB7F8D" w:rsidP="00327D0C">
      <w:pPr>
        <w:pStyle w:val="Textoindependiente"/>
        <w:tabs>
          <w:tab w:val="left" w:pos="993"/>
        </w:tabs>
        <w:spacing w:after="240" w:line="360" w:lineRule="auto"/>
        <w:ind w:left="851" w:right="758"/>
        <w:jc w:val="both"/>
        <w:rPr>
          <w:rFonts w:ascii="ITC Avant Garde" w:eastAsia="Times New Roman" w:hAnsi="ITC Avant Garde"/>
          <w:bCs/>
          <w:i/>
          <w:sz w:val="20"/>
          <w:lang w:eastAsia="es-MX"/>
        </w:rPr>
      </w:pPr>
      <w:r w:rsidRPr="00D00469">
        <w:rPr>
          <w:rFonts w:ascii="ITC Avant Garde" w:eastAsia="Times New Roman" w:hAnsi="ITC Avant Garde"/>
          <w:bCs/>
          <w:i/>
          <w:sz w:val="18"/>
          <w:lang w:eastAsia="es-MX"/>
        </w:rPr>
        <w:lastRenderedPageBreak/>
        <w:t xml:space="preserve">(Época: Novena Época, Registro: 193926, Instancia: Segunda Sala, Tipo de Tesis: Aislada, Fuente: Semanario Judicial de la Federación y su Gaceta, Tomo IX, </w:t>
      </w:r>
      <w:proofErr w:type="gramStart"/>
      <w:r w:rsidRPr="00D00469">
        <w:rPr>
          <w:rFonts w:ascii="ITC Avant Garde" w:eastAsia="Times New Roman" w:hAnsi="ITC Avant Garde"/>
          <w:bCs/>
          <w:i/>
          <w:sz w:val="18"/>
          <w:lang w:eastAsia="es-MX"/>
        </w:rPr>
        <w:t>Mayo</w:t>
      </w:r>
      <w:proofErr w:type="gramEnd"/>
      <w:r w:rsidRPr="00D00469">
        <w:rPr>
          <w:rFonts w:ascii="ITC Avant Garde" w:eastAsia="Times New Roman" w:hAnsi="ITC Avant Garde"/>
          <w:bCs/>
          <w:i/>
          <w:sz w:val="18"/>
          <w:lang w:eastAsia="es-MX"/>
        </w:rPr>
        <w:t xml:space="preserve"> de 1999, Materia(s): Administrativa, Tesis: 2a. LIX/99, Página: 505)</w:t>
      </w:r>
    </w:p>
    <w:p w14:paraId="6A93B808"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A partir de lo anterior, se considera que cuando existe una pluralidad de acciones u omisiones como en el caso que nos ocupa, que integran una sola infracción y existe identidad de lesión jurídica, nos encontramos ante una infracción continuada, </w:t>
      </w:r>
      <w:r w:rsidRPr="007363DA">
        <w:rPr>
          <w:rFonts w:ascii="ITC Avant Garde" w:eastAsia="Times New Roman" w:hAnsi="ITC Avant Garde"/>
          <w:bCs/>
          <w:u w:val="single"/>
          <w:lang w:eastAsia="es-MX"/>
        </w:rPr>
        <w:t>la cual se actualizó incluso hasta que se inició el procedimiento administrativo de revocación</w:t>
      </w:r>
      <w:r>
        <w:rPr>
          <w:rFonts w:ascii="ITC Avant Garde" w:eastAsia="Times New Roman" w:hAnsi="ITC Avant Garde"/>
          <w:bCs/>
          <w:lang w:eastAsia="es-MX"/>
        </w:rPr>
        <w:t>, toda vez que dicha conducta persiste de manera continua a lo largo de varios ejercicios fiscales incluso hasta la fecha de emisión de la presente Resolución, por lo que debe ser sancionada una sola vez, aún y cuando las diferentes acciones se fueron consumando en distintos periodos.</w:t>
      </w:r>
    </w:p>
    <w:p w14:paraId="0AB9BB3C"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Resulta aplicable por analogía, la siguiente tesis:</w:t>
      </w:r>
    </w:p>
    <w:p w14:paraId="391EBABE" w14:textId="77777777" w:rsidR="00327D0C" w:rsidRDefault="00CB7F8D" w:rsidP="00327D0C">
      <w:pPr>
        <w:pStyle w:val="Textoindependiente"/>
        <w:tabs>
          <w:tab w:val="left" w:pos="993"/>
        </w:tabs>
        <w:spacing w:after="240" w:line="360" w:lineRule="auto"/>
        <w:ind w:left="851" w:right="758"/>
        <w:jc w:val="both"/>
        <w:rPr>
          <w:rFonts w:ascii="ITC Avant Garde" w:eastAsia="Times New Roman" w:hAnsi="ITC Avant Garde"/>
          <w:bCs/>
          <w:i/>
          <w:color w:val="000000"/>
          <w:sz w:val="20"/>
          <w:szCs w:val="20"/>
          <w:lang w:eastAsia="es-MX"/>
        </w:rPr>
      </w:pPr>
      <w:r w:rsidRPr="00AB51BA">
        <w:rPr>
          <w:rFonts w:ascii="ITC Avant Garde" w:eastAsia="Times New Roman" w:hAnsi="ITC Avant Garde"/>
          <w:b/>
          <w:bCs/>
          <w:i/>
          <w:color w:val="000000"/>
          <w:sz w:val="20"/>
          <w:szCs w:val="20"/>
          <w:lang w:eastAsia="es-MX"/>
        </w:rPr>
        <w:t xml:space="preserve">MULTA A UN AGENTE ECONÓMICO POR COADYUVAR, PROPICIAR Y PARTICIPAR EN UNA PRÁCTICA MONOPÓLICA ABSOLUTA DURANTE PERIODOS DISTINTOS. NO DEBE IMPONERSE POR CADA UNO DE ESTOS (LEGISLACIÓN VIGENTE HASTA EL 6 DE JULIO DE 2014). </w:t>
      </w:r>
      <w:r w:rsidRPr="00AB51BA">
        <w:rPr>
          <w:rFonts w:ascii="ITC Avant Garde" w:eastAsia="Times New Roman" w:hAnsi="ITC Avant Garde"/>
          <w:bCs/>
          <w:i/>
          <w:color w:val="000000"/>
          <w:sz w:val="20"/>
          <w:szCs w:val="20"/>
          <w:lang w:eastAsia="es-MX"/>
        </w:rPr>
        <w:t xml:space="preserve">El principio de derecho sancionatorio que contiene el artículo 23 </w:t>
      </w:r>
      <w:r w:rsidRPr="00017B78">
        <w:rPr>
          <w:rFonts w:ascii="ITC Avant Garde" w:eastAsia="Times New Roman" w:hAnsi="ITC Avant Garde"/>
          <w:bCs/>
          <w:i/>
          <w:sz w:val="20"/>
          <w:lang w:eastAsia="es-MX"/>
        </w:rPr>
        <w:t>de</w:t>
      </w:r>
      <w:r w:rsidRPr="00AB51BA">
        <w:rPr>
          <w:rFonts w:ascii="ITC Avant Garde" w:eastAsia="Times New Roman" w:hAnsi="ITC Avant Garde"/>
          <w:bCs/>
          <w:i/>
          <w:color w:val="000000"/>
          <w:sz w:val="20"/>
          <w:szCs w:val="20"/>
          <w:lang w:eastAsia="es-MX"/>
        </w:rPr>
        <w:t xml:space="preserve"> la Constitución Política de los Estados Unidos Mexicanos, orientado a la seguridad jurídica del individuo, conocido como non bis in </w:t>
      </w:r>
      <w:proofErr w:type="spellStart"/>
      <w:r w:rsidRPr="00AB51BA">
        <w:rPr>
          <w:rFonts w:ascii="ITC Avant Garde" w:eastAsia="Times New Roman" w:hAnsi="ITC Avant Garde"/>
          <w:bCs/>
          <w:i/>
          <w:color w:val="000000"/>
          <w:sz w:val="20"/>
          <w:szCs w:val="20"/>
          <w:lang w:eastAsia="es-MX"/>
        </w:rPr>
        <w:t>idem</w:t>
      </w:r>
      <w:proofErr w:type="spellEnd"/>
      <w:r w:rsidRPr="00AB51BA">
        <w:rPr>
          <w:rFonts w:ascii="ITC Avant Garde" w:eastAsia="Times New Roman" w:hAnsi="ITC Avant Garde"/>
          <w:bCs/>
          <w:i/>
          <w:color w:val="000000"/>
          <w:sz w:val="20"/>
          <w:szCs w:val="20"/>
          <w:lang w:eastAsia="es-MX"/>
        </w:rPr>
        <w:t xml:space="preserve">, significa que ninguna persona puede ser juzgada dos veces por el mismo hecho. Esta prevención nace del sistema de absorción de penas y sanciones, en el que pretende aplicarse sólo el castigo que corresponda al ilícito o infracción más grave, a fin de evitar que el gobernado sea sancionado dos o más veces por una misma conducta ilícita. En estas condiciones, </w:t>
      </w:r>
      <w:r w:rsidRPr="00AB51BA">
        <w:rPr>
          <w:rFonts w:ascii="ITC Avant Garde" w:eastAsia="Times New Roman" w:hAnsi="ITC Avant Garde"/>
          <w:bCs/>
          <w:i/>
          <w:color w:val="000000"/>
          <w:sz w:val="20"/>
          <w:szCs w:val="20"/>
          <w:u w:val="single"/>
          <w:lang w:eastAsia="es-MX"/>
        </w:rPr>
        <w:t xml:space="preserve">si dentro del procedimiento administrativo seguido en forma de juicio, la extinta Comisión Federal de Competencia resolvió que un agente económico incurrió, durante periodos distintos, en la conducta consistente en coadyuvar, propiciar y participar en una práctica monopólica absoluta, que sanciona el artículo 35, fracción X, de la Ley Federal de Competencia Económica, vigente hasta el 6 de julio de 2014, fecha en que se abrogó, no debió imponerle una multa por cada uno de esos periodos, ya que, </w:t>
      </w:r>
      <w:r w:rsidRPr="00AB51BA">
        <w:rPr>
          <w:rFonts w:ascii="ITC Avant Garde" w:eastAsia="Times New Roman" w:hAnsi="ITC Avant Garde"/>
          <w:b/>
          <w:bCs/>
          <w:i/>
          <w:color w:val="000000"/>
          <w:sz w:val="20"/>
          <w:szCs w:val="20"/>
          <w:u w:val="single"/>
          <w:lang w:eastAsia="es-MX"/>
        </w:rPr>
        <w:t xml:space="preserve">en realidad, se trata de una sola conducta continuada, en la que si bien hubo pluralidad de acciones, éstas sólo integraron una única infracción, prevista </w:t>
      </w:r>
      <w:r w:rsidRPr="00AB51BA">
        <w:rPr>
          <w:rFonts w:ascii="ITC Avant Garde" w:eastAsia="Times New Roman" w:hAnsi="ITC Avant Garde"/>
          <w:b/>
          <w:bCs/>
          <w:i/>
          <w:color w:val="000000"/>
          <w:sz w:val="20"/>
          <w:szCs w:val="20"/>
          <w:u w:val="single"/>
          <w:lang w:eastAsia="es-MX"/>
        </w:rPr>
        <w:lastRenderedPageBreak/>
        <w:t xml:space="preserve">en la porción normativa citada, en razón de la unidad de propósito </w:t>
      </w:r>
      <w:proofErr w:type="spellStart"/>
      <w:r w:rsidRPr="00AB51BA">
        <w:rPr>
          <w:rFonts w:ascii="ITC Avant Garde" w:eastAsia="Times New Roman" w:hAnsi="ITC Avant Garde"/>
          <w:b/>
          <w:bCs/>
          <w:i/>
          <w:color w:val="000000"/>
          <w:sz w:val="20"/>
          <w:szCs w:val="20"/>
          <w:u w:val="single"/>
          <w:lang w:eastAsia="es-MX"/>
        </w:rPr>
        <w:t>infraccionario</w:t>
      </w:r>
      <w:proofErr w:type="spellEnd"/>
      <w:r w:rsidRPr="00AB51BA">
        <w:rPr>
          <w:rFonts w:ascii="ITC Avant Garde" w:eastAsia="Times New Roman" w:hAnsi="ITC Avant Garde"/>
          <w:b/>
          <w:bCs/>
          <w:i/>
          <w:color w:val="000000"/>
          <w:sz w:val="20"/>
          <w:szCs w:val="20"/>
          <w:u w:val="single"/>
          <w:lang w:eastAsia="es-MX"/>
        </w:rPr>
        <w:t xml:space="preserve"> e identidad de lesión jurídica</w:t>
      </w:r>
      <w:r w:rsidRPr="00AB51BA">
        <w:rPr>
          <w:rFonts w:ascii="ITC Avant Garde" w:eastAsia="Times New Roman" w:hAnsi="ITC Avant Garde"/>
          <w:bCs/>
          <w:i/>
          <w:color w:val="000000"/>
          <w:sz w:val="20"/>
          <w:szCs w:val="20"/>
          <w:lang w:eastAsia="es-MX"/>
        </w:rPr>
        <w:t>.</w:t>
      </w:r>
    </w:p>
    <w:p w14:paraId="67D4DAB7" w14:textId="77777777" w:rsidR="00327D0C" w:rsidRDefault="00CB7F8D" w:rsidP="00327D0C">
      <w:pPr>
        <w:pStyle w:val="Textoindependiente"/>
        <w:tabs>
          <w:tab w:val="left" w:pos="993"/>
        </w:tabs>
        <w:spacing w:after="240" w:line="360" w:lineRule="auto"/>
        <w:ind w:left="851" w:right="758"/>
        <w:jc w:val="both"/>
        <w:rPr>
          <w:rFonts w:ascii="ITC Avant Garde" w:eastAsia="Times New Roman" w:hAnsi="ITC Avant Garde"/>
          <w:b/>
          <w:bCs/>
          <w:i/>
          <w:color w:val="000000"/>
          <w:sz w:val="20"/>
          <w:szCs w:val="20"/>
          <w:lang w:eastAsia="es-MX"/>
        </w:rPr>
      </w:pPr>
      <w:r w:rsidRPr="00D00469">
        <w:rPr>
          <w:rFonts w:ascii="ITC Avant Garde" w:eastAsia="Times New Roman" w:hAnsi="ITC Avant Garde"/>
          <w:bCs/>
          <w:i/>
          <w:color w:val="000000"/>
          <w:sz w:val="18"/>
          <w:szCs w:val="20"/>
          <w:lang w:eastAsia="es-MX"/>
        </w:rPr>
        <w:t xml:space="preserve">(Época: Décima Época, </w:t>
      </w:r>
      <w:r w:rsidRPr="00D00469">
        <w:rPr>
          <w:rFonts w:ascii="ITC Avant Garde" w:eastAsia="Times New Roman" w:hAnsi="ITC Avant Garde"/>
          <w:bCs/>
          <w:i/>
          <w:color w:val="000000"/>
          <w:sz w:val="18"/>
          <w:szCs w:val="20"/>
          <w:u w:val="single"/>
          <w:lang w:eastAsia="es-MX"/>
        </w:rPr>
        <w:t>Registro</w:t>
      </w:r>
      <w:r w:rsidRPr="00D00469">
        <w:rPr>
          <w:rFonts w:ascii="ITC Avant Garde" w:eastAsia="Times New Roman" w:hAnsi="ITC Avant Garde"/>
          <w:bCs/>
          <w:i/>
          <w:color w:val="000000"/>
          <w:sz w:val="18"/>
          <w:szCs w:val="20"/>
          <w:lang w:eastAsia="es-MX"/>
        </w:rPr>
        <w:t xml:space="preserve">: 2013110, Instancia: Tribunales Colegiados de Circuito, Tipo de Tesis: Aislada, Fuente: Gaceta del Semanario Judicial de la Federación, Libro 36, </w:t>
      </w:r>
      <w:proofErr w:type="gramStart"/>
      <w:r w:rsidRPr="00D00469">
        <w:rPr>
          <w:rFonts w:ascii="ITC Avant Garde" w:eastAsia="Times New Roman" w:hAnsi="ITC Avant Garde"/>
          <w:bCs/>
          <w:i/>
          <w:color w:val="000000"/>
          <w:sz w:val="18"/>
          <w:szCs w:val="20"/>
          <w:lang w:eastAsia="es-MX"/>
        </w:rPr>
        <w:t>Noviembre</w:t>
      </w:r>
      <w:proofErr w:type="gramEnd"/>
      <w:r w:rsidRPr="00D00469">
        <w:rPr>
          <w:rFonts w:ascii="ITC Avant Garde" w:eastAsia="Times New Roman" w:hAnsi="ITC Avant Garde"/>
          <w:bCs/>
          <w:i/>
          <w:color w:val="000000"/>
          <w:sz w:val="18"/>
          <w:szCs w:val="20"/>
          <w:lang w:eastAsia="es-MX"/>
        </w:rPr>
        <w:t xml:space="preserve"> de 2016, Tomo IV, Materia(s): Administrativa, Tesis: I.1o.A.E.186 A (10a.), Página: 2396)</w:t>
      </w:r>
    </w:p>
    <w:p w14:paraId="4959F7F9"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Ahora bien, el Código Penal Federal en su artículo 29, establece lo siguiente:</w:t>
      </w:r>
    </w:p>
    <w:p w14:paraId="381E8237" w14:textId="77777777" w:rsidR="00327D0C" w:rsidRDefault="00CB7F8D" w:rsidP="00327D0C">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w:t>
      </w:r>
      <w:r w:rsidRPr="00017B78">
        <w:rPr>
          <w:rFonts w:ascii="ITC Avant Garde" w:hAnsi="ITC Avant Garde"/>
          <w:b/>
          <w:bCs/>
          <w:i/>
          <w:sz w:val="20"/>
          <w:szCs w:val="20"/>
          <w:lang w:eastAsia="es-MX"/>
        </w:rPr>
        <w:t xml:space="preserve">Artículo 29.- </w:t>
      </w:r>
      <w:r w:rsidRPr="00017B78">
        <w:rPr>
          <w:rFonts w:ascii="ITC Avant Garde" w:hAnsi="ITC Avant Garde"/>
          <w:i/>
          <w:sz w:val="20"/>
          <w:szCs w:val="20"/>
          <w:lang w:eastAsia="es-MX"/>
        </w:rPr>
        <w:t>La sanción pecuniaria comprende la multa y la reparación del daño.</w:t>
      </w:r>
    </w:p>
    <w:p w14:paraId="28476A4A" w14:textId="77777777" w:rsidR="00327D0C" w:rsidRDefault="00CB7F8D" w:rsidP="00327D0C">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La multa consiste en el pago de una cantidad de dinero al Estado, que se fijará por días multa, los cuales no podrán exceder de mil, salvo los casos que la propia ley señale. El día multa equivale a la percepción neta diaria del sentenciado en el momento de consumar el delito, tomando en cuenta todos sus ingresos.</w:t>
      </w:r>
    </w:p>
    <w:p w14:paraId="6CB59892" w14:textId="77777777" w:rsidR="00327D0C" w:rsidRDefault="00CB7F8D" w:rsidP="00327D0C">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 xml:space="preserve">Para los efectos de este Código, el límite inferior del día multa será el equivalente al salario mínimo diario vigente en el lugar donde se consumó el delito. </w:t>
      </w:r>
      <w:r w:rsidRPr="00017B78">
        <w:rPr>
          <w:rFonts w:ascii="ITC Avant Garde" w:hAnsi="ITC Avant Garde"/>
          <w:b/>
          <w:i/>
          <w:sz w:val="20"/>
          <w:szCs w:val="20"/>
          <w:u w:val="single"/>
          <w:lang w:eastAsia="es-MX"/>
        </w:rPr>
        <w:t>Por lo que toca al delito continuado, se atenderá al salario mínimo vigente en el momento consumativo de la última conducta.</w:t>
      </w:r>
      <w:r w:rsidRPr="00017B78">
        <w:rPr>
          <w:rFonts w:ascii="ITC Avant Garde" w:hAnsi="ITC Avant Garde"/>
          <w:i/>
          <w:sz w:val="20"/>
          <w:szCs w:val="20"/>
          <w:lang w:eastAsia="es-MX"/>
        </w:rPr>
        <w:t xml:space="preserve"> Para el permanente, se considerará el salario mínimo en vigor en el momento en que cesó la consumación.”</w:t>
      </w:r>
    </w:p>
    <w:p w14:paraId="75DD8952"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De lo señalado por la legislación penal se advierte que, tratándose de conductas de naturaleza continuada, la disposición que debe tomarse en consideración es la vigente al momento en que se consumó la última conducta, lo cual es aplicado también por la interpretación del Poder Judicial de la Federación para el cómputo de la prescripción en los delitos de naturaleza continuada, tal y como se advierte de las siguientes tesis:</w:t>
      </w:r>
    </w:p>
    <w:p w14:paraId="30822EBC" w14:textId="0DAB0B4F" w:rsidR="00CB7F8D" w:rsidRPr="00017B78" w:rsidRDefault="00CB7F8D" w:rsidP="00327D0C">
      <w:pPr>
        <w:pStyle w:val="Textoindependiente"/>
        <w:spacing w:after="240" w:line="360" w:lineRule="auto"/>
        <w:ind w:left="851" w:right="900"/>
        <w:jc w:val="both"/>
        <w:rPr>
          <w:rFonts w:ascii="ITC Avant Garde" w:eastAsia="Times New Roman" w:hAnsi="ITC Avant Garde"/>
          <w:bCs/>
          <w:i/>
          <w:sz w:val="20"/>
          <w:lang w:eastAsia="es-MX"/>
        </w:rPr>
      </w:pPr>
      <w:r w:rsidRPr="00017B78">
        <w:rPr>
          <w:rFonts w:ascii="ITC Avant Garde" w:eastAsia="Times New Roman" w:hAnsi="ITC Avant Garde"/>
          <w:b/>
          <w:bCs/>
          <w:i/>
          <w:sz w:val="20"/>
          <w:lang w:eastAsia="es-MX"/>
        </w:rPr>
        <w:t xml:space="preserve">VIOLENCIA FAMILIAR. AL SER UN DELITO CONTINUO, EL CÓMPUTO DEL PLAZO PARA QUE OPERE LA PRESCRIPCIÓN DE LA </w:t>
      </w:r>
      <w:r w:rsidRPr="00017B78">
        <w:rPr>
          <w:rFonts w:ascii="ITC Avant Garde" w:hAnsi="ITC Avant Garde"/>
          <w:b/>
          <w:i/>
          <w:sz w:val="20"/>
          <w:szCs w:val="20"/>
          <w:lang w:eastAsia="es-MX"/>
        </w:rPr>
        <w:t>ACCIÓN</w:t>
      </w:r>
      <w:r w:rsidRPr="00017B78">
        <w:rPr>
          <w:rFonts w:ascii="ITC Avant Garde" w:eastAsia="Times New Roman" w:hAnsi="ITC Avant Garde"/>
          <w:b/>
          <w:bCs/>
          <w:i/>
          <w:sz w:val="20"/>
          <w:lang w:eastAsia="es-MX"/>
        </w:rPr>
        <w:t xml:space="preserve"> PENAL INICIA A PARTIR DEL DÍA SIGUIENTE AL EN QUE SE COMETIÓ LA ÚLTIMA CONDUCTA DELICTIVA (LEGISLACIÓN DEL ESTADO DE CHIHUAHUA).</w:t>
      </w:r>
      <w:r w:rsidRPr="00017B78">
        <w:rPr>
          <w:rFonts w:ascii="ITC Avant Garde" w:eastAsia="Times New Roman" w:hAnsi="ITC Avant Garde"/>
          <w:bCs/>
          <w:i/>
          <w:sz w:val="20"/>
          <w:lang w:eastAsia="es-MX"/>
        </w:rPr>
        <w:t xml:space="preserve"> El artículo 93, fracción III, del </w:t>
      </w:r>
      <w:r w:rsidRPr="00017B78">
        <w:rPr>
          <w:rFonts w:ascii="ITC Avant Garde" w:eastAsia="Times New Roman" w:hAnsi="ITC Avant Garde"/>
          <w:bCs/>
          <w:i/>
          <w:sz w:val="20"/>
          <w:lang w:eastAsia="es-MX"/>
        </w:rPr>
        <w:lastRenderedPageBreak/>
        <w:t xml:space="preserve">Código Penal para el Estado de Chihuahua, vigente hasta el treinta y uno de diciembre de dos mil seis, establecía que el cómputo del plazo para que opere la prescripción de la acción penal, </w:t>
      </w:r>
      <w:r w:rsidRPr="00017B78">
        <w:rPr>
          <w:rFonts w:ascii="ITC Avant Garde" w:eastAsia="Times New Roman" w:hAnsi="ITC Avant Garde"/>
          <w:b/>
          <w:bCs/>
          <w:i/>
          <w:sz w:val="20"/>
          <w:u w:val="single"/>
          <w:lang w:eastAsia="es-MX"/>
        </w:rPr>
        <w:t>tratándose de delitos continuados, se contará desde el día en que se cometió la última conducta delictiva</w:t>
      </w:r>
      <w:r w:rsidRPr="00017B78">
        <w:rPr>
          <w:rFonts w:ascii="ITC Avant Garde" w:eastAsia="Times New Roman" w:hAnsi="ITC Avant Garde"/>
          <w:bCs/>
          <w:i/>
          <w:sz w:val="20"/>
          <w:lang w:eastAsia="es-MX"/>
        </w:rPr>
        <w:t xml:space="preserve">; por tanto, si el delito de violencia familiar tiene la característica de ser continuo, </w:t>
      </w:r>
      <w:r w:rsidRPr="00017B78">
        <w:rPr>
          <w:rFonts w:ascii="ITC Avant Garde" w:eastAsia="Times New Roman" w:hAnsi="ITC Avant Garde"/>
          <w:b/>
          <w:bCs/>
          <w:i/>
          <w:sz w:val="20"/>
          <w:u w:val="single"/>
          <w:lang w:eastAsia="es-MX"/>
        </w:rPr>
        <w:t>la prescripción necesariamente empezaría a computarse a partir del día siguiente al en que se cometió la última conducta</w:t>
      </w:r>
      <w:r w:rsidRPr="00017B78">
        <w:rPr>
          <w:rFonts w:ascii="ITC Avant Garde" w:eastAsia="Times New Roman" w:hAnsi="ITC Avant Garde"/>
          <w:bCs/>
          <w:i/>
          <w:sz w:val="20"/>
          <w:lang w:eastAsia="es-MX"/>
        </w:rPr>
        <w:t>, cuyo lapso sería igual al término medio aritmético de la pena privativa de libertad de dicho delito, pero nunca inferior a un año, de conformidad con el artículo 94 de dicho ordenamiento legal.</w:t>
      </w:r>
    </w:p>
    <w:p w14:paraId="052B4DFE" w14:textId="77777777" w:rsidR="00327D0C" w:rsidRDefault="00CB7F8D" w:rsidP="00327D0C">
      <w:pPr>
        <w:pStyle w:val="Textoindependiente"/>
        <w:spacing w:after="240" w:line="360" w:lineRule="auto"/>
        <w:ind w:left="851" w:right="900"/>
        <w:jc w:val="both"/>
        <w:rPr>
          <w:rFonts w:ascii="ITC Avant Garde" w:eastAsia="Times New Roman" w:hAnsi="ITC Avant Garde"/>
          <w:bCs/>
          <w:i/>
          <w:sz w:val="18"/>
          <w:lang w:eastAsia="es-MX"/>
        </w:rPr>
      </w:pPr>
      <w:r w:rsidRPr="00D00469">
        <w:rPr>
          <w:rFonts w:ascii="ITC Avant Garde" w:eastAsia="Times New Roman" w:hAnsi="ITC Avant Garde"/>
          <w:bCs/>
          <w:i/>
          <w:sz w:val="18"/>
          <w:lang w:eastAsia="es-MX"/>
        </w:rPr>
        <w:t xml:space="preserve">(Época: Novena Época, Registro: 171563, Instancia: Tribunales Colegiados de Circuito, Tipo de Tesis: Aislada, Fuente: Semanario Judicial de la Federación y su Gaceta, Tomo XXVI, </w:t>
      </w:r>
      <w:proofErr w:type="gramStart"/>
      <w:r w:rsidRPr="00D00469">
        <w:rPr>
          <w:rFonts w:ascii="ITC Avant Garde" w:eastAsia="Times New Roman" w:hAnsi="ITC Avant Garde"/>
          <w:bCs/>
          <w:i/>
          <w:sz w:val="18"/>
          <w:lang w:eastAsia="es-MX"/>
        </w:rPr>
        <w:t>Agosto</w:t>
      </w:r>
      <w:proofErr w:type="gramEnd"/>
      <w:r w:rsidRPr="00D00469">
        <w:rPr>
          <w:rFonts w:ascii="ITC Avant Garde" w:eastAsia="Times New Roman" w:hAnsi="ITC Avant Garde"/>
          <w:bCs/>
          <w:i/>
          <w:sz w:val="18"/>
          <w:lang w:eastAsia="es-MX"/>
        </w:rPr>
        <w:t xml:space="preserve"> de 2007, Materia(s): Penal, Tesis: XVII.2o.P.A.32 P, Página: 1895)</w:t>
      </w:r>
    </w:p>
    <w:p w14:paraId="7DC4162C" w14:textId="77777777" w:rsidR="00327D0C" w:rsidRDefault="00CB7F8D" w:rsidP="00327D0C">
      <w:pPr>
        <w:pStyle w:val="Textoindependiente"/>
        <w:spacing w:after="240" w:line="360" w:lineRule="auto"/>
        <w:ind w:left="851" w:right="900"/>
        <w:jc w:val="both"/>
        <w:rPr>
          <w:rFonts w:ascii="ITC Avant Garde" w:eastAsia="Times New Roman" w:hAnsi="ITC Avant Garde"/>
          <w:bCs/>
          <w:i/>
          <w:sz w:val="20"/>
          <w:lang w:eastAsia="es-MX"/>
        </w:rPr>
      </w:pPr>
      <w:r w:rsidRPr="00017B78">
        <w:rPr>
          <w:rFonts w:ascii="ITC Avant Garde" w:eastAsia="Times New Roman" w:hAnsi="ITC Avant Garde"/>
          <w:b/>
          <w:bCs/>
          <w:i/>
          <w:sz w:val="20"/>
          <w:lang w:eastAsia="es-MX"/>
        </w:rPr>
        <w:t>DELITOS CONTINUADOS. EL PLAZO PARA QUE OPERE LA PRESCRIPCIÓN DE LA ACCIÓN PENAL DEBE COMPUTARSE A PARTIR DE LA ÚLTIMA ACCIÓN U OMISIÓN DELICTIVA QUE LOS CONFORMAN (LEGISLACIÓN DEL ESTADO DE NUEVO LEÓN).</w:t>
      </w:r>
      <w:r w:rsidRPr="00017B78">
        <w:rPr>
          <w:rFonts w:ascii="ITC Avant Garde" w:eastAsia="Times New Roman" w:hAnsi="ITC Avant Garde"/>
          <w:bCs/>
          <w:i/>
          <w:sz w:val="20"/>
          <w:lang w:eastAsia="es-MX"/>
        </w:rPr>
        <w:t xml:space="preserve"> Conforme al artículo 14 del Código Penal de Nuevo León, es delito continuado aquel que se integra por una unidad de propósito, pluralidad de acciones, identidad de lesión jurídica y el mismo sujeto pasivo. Luego, el delito continuado, a diferencia del permanente, es discontinuo, </w:t>
      </w:r>
      <w:r w:rsidRPr="00017B78">
        <w:rPr>
          <w:rFonts w:ascii="ITC Avant Garde" w:eastAsia="Times New Roman" w:hAnsi="ITC Avant Garde"/>
          <w:b/>
          <w:bCs/>
          <w:i/>
          <w:sz w:val="20"/>
          <w:u w:val="single"/>
          <w:lang w:eastAsia="es-MX"/>
        </w:rPr>
        <w:t>y si bien pudiera considerarse que existen varios delitos, en cuanto cada conducta origina un antijurídico, sin embargo, dada su especial estructura, su periodo consumativo es más o menos prolongado en el tiempo, su resultado es producido como consecuencia de todas y cada una de las conductas realizadas y, por una ficción legal, debe considerarse un solo delito</w:t>
      </w:r>
      <w:r w:rsidRPr="00017B78">
        <w:rPr>
          <w:rFonts w:ascii="ITC Avant Garde" w:eastAsia="Times New Roman" w:hAnsi="ITC Avant Garde"/>
          <w:bCs/>
          <w:i/>
          <w:sz w:val="20"/>
          <w:lang w:eastAsia="es-MX"/>
        </w:rPr>
        <w:t xml:space="preserve">, lo que encuentra apoyo en el artículo 38 del citado código, que expresamente dispone que tratándose de delitos continuados no existe concurso o acumulación de delitos. Entonces, el plazo para que opere la prescripción de estos delitos inicia </w:t>
      </w:r>
      <w:r w:rsidRPr="00017B78">
        <w:rPr>
          <w:rFonts w:ascii="ITC Avant Garde" w:eastAsia="Times New Roman" w:hAnsi="ITC Avant Garde"/>
          <w:b/>
          <w:bCs/>
          <w:i/>
          <w:sz w:val="20"/>
          <w:u w:val="single"/>
          <w:lang w:eastAsia="es-MX"/>
        </w:rPr>
        <w:t>al realizarse la última de las acciones u omisiones delictivas que los conforman</w:t>
      </w:r>
      <w:r w:rsidRPr="00017B78">
        <w:rPr>
          <w:rFonts w:ascii="ITC Avant Garde" w:eastAsia="Times New Roman" w:hAnsi="ITC Avant Garde"/>
          <w:bCs/>
          <w:i/>
          <w:sz w:val="20"/>
          <w:lang w:eastAsia="es-MX"/>
        </w:rPr>
        <w:t>, ya que el artículo 124 del propio código establece que los términos para la prescripción de la acción penal comenzarán a contar desde el último acto de ejecución u omisión.</w:t>
      </w:r>
    </w:p>
    <w:p w14:paraId="44747DF3" w14:textId="77777777" w:rsidR="00327D0C" w:rsidRDefault="00CB7F8D" w:rsidP="00327D0C">
      <w:pPr>
        <w:pStyle w:val="Textoindependiente"/>
        <w:spacing w:after="240" w:line="360" w:lineRule="auto"/>
        <w:ind w:left="851" w:right="900"/>
        <w:jc w:val="both"/>
        <w:rPr>
          <w:rFonts w:ascii="ITC Avant Garde" w:eastAsia="Times New Roman" w:hAnsi="ITC Avant Garde"/>
          <w:bCs/>
          <w:i/>
          <w:sz w:val="18"/>
          <w:szCs w:val="18"/>
          <w:lang w:eastAsia="es-MX"/>
        </w:rPr>
      </w:pPr>
      <w:r w:rsidRPr="00517C03">
        <w:rPr>
          <w:rFonts w:ascii="ITC Avant Garde" w:eastAsia="Times New Roman" w:hAnsi="ITC Avant Garde"/>
          <w:bCs/>
          <w:i/>
          <w:sz w:val="18"/>
          <w:szCs w:val="18"/>
          <w:lang w:eastAsia="es-MX"/>
        </w:rPr>
        <w:lastRenderedPageBreak/>
        <w:t xml:space="preserve">(Época: Novena Época, Registro: 179938, Instancia: Tribunales Colegiados de Circuito, Tipo de Tesis: Aislada, Fuente: Semanario Judicial de la Federación y su Gaceta, Tomo XX, </w:t>
      </w:r>
      <w:proofErr w:type="gramStart"/>
      <w:r w:rsidRPr="00517C03">
        <w:rPr>
          <w:rFonts w:ascii="ITC Avant Garde" w:eastAsia="Times New Roman" w:hAnsi="ITC Avant Garde"/>
          <w:bCs/>
          <w:i/>
          <w:sz w:val="18"/>
          <w:szCs w:val="18"/>
          <w:lang w:eastAsia="es-MX"/>
        </w:rPr>
        <w:t>Diciembre</w:t>
      </w:r>
      <w:proofErr w:type="gramEnd"/>
      <w:r w:rsidRPr="00517C03">
        <w:rPr>
          <w:rFonts w:ascii="ITC Avant Garde" w:eastAsia="Times New Roman" w:hAnsi="ITC Avant Garde"/>
          <w:bCs/>
          <w:i/>
          <w:sz w:val="18"/>
          <w:szCs w:val="18"/>
          <w:lang w:eastAsia="es-MX"/>
        </w:rPr>
        <w:t xml:space="preserve"> de 2004, Materia(s): Penal, Tesis: IV.2o.P.21 P, Página: 1326)</w:t>
      </w:r>
    </w:p>
    <w:p w14:paraId="4E7ACD52" w14:textId="77777777" w:rsidR="00327D0C" w:rsidRDefault="00CB7F8D" w:rsidP="00327D0C">
      <w:pPr>
        <w:tabs>
          <w:tab w:val="left" w:pos="851"/>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A partir de todo lo anterior se concluye que las consecuencias para las infracciones de naturaleza continuada se generan a partir de que se consumó la última de las conductas que integraron dicha infracción, por lo que en tal sentido se considera que las conductas que se pretenden sancionar con la revocación de </w:t>
      </w:r>
      <w:r w:rsidRPr="008A2C3C">
        <w:rPr>
          <w:rFonts w:ascii="ITC Avant Garde" w:eastAsia="Times New Roman" w:hAnsi="ITC Avant Garde"/>
          <w:b/>
          <w:bCs/>
          <w:noProof/>
          <w:lang w:eastAsia="es-MX"/>
        </w:rPr>
        <w:t>"EL PERMISO"</w:t>
      </w:r>
      <w:r>
        <w:rPr>
          <w:rFonts w:ascii="ITC Avant Garde" w:eastAsia="Times New Roman" w:hAnsi="ITC Avant Garde"/>
          <w:bCs/>
          <w:lang w:eastAsia="es-MX"/>
        </w:rPr>
        <w:t xml:space="preserve"> han subsistido hasta el momento de emitirse la presente resolución. </w:t>
      </w:r>
    </w:p>
    <w:p w14:paraId="69D4F74E" w14:textId="77777777" w:rsidR="00327D0C" w:rsidRDefault="00CB7F8D" w:rsidP="00327D0C">
      <w:pPr>
        <w:tabs>
          <w:tab w:val="left" w:pos="851"/>
        </w:tabs>
        <w:spacing w:after="240" w:line="360" w:lineRule="auto"/>
        <w:jc w:val="both"/>
        <w:rPr>
          <w:rFonts w:ascii="ITC Avant Garde" w:hAnsi="ITC Avant Garde"/>
        </w:rPr>
      </w:pPr>
      <w:r>
        <w:rPr>
          <w:rFonts w:ascii="ITC Avant Garde" w:eastAsia="Times New Roman" w:hAnsi="ITC Avant Garde"/>
          <w:bCs/>
          <w:color w:val="000000"/>
          <w:lang w:eastAsia="es-MX"/>
        </w:rPr>
        <w:t xml:space="preserve">En este sentido, al no existir evidencia documental que acredite que </w:t>
      </w:r>
      <w:r w:rsidRPr="008A2C3C">
        <w:rPr>
          <w:rFonts w:ascii="ITC Avant Garde" w:eastAsia="Times New Roman" w:hAnsi="ITC Avant Garde"/>
          <w:b/>
          <w:bCs/>
          <w:noProof/>
          <w:color w:val="000000"/>
          <w:lang w:eastAsia="es-MX"/>
        </w:rPr>
        <w:t>PORFIRIO TORRES PERALTA</w:t>
      </w:r>
      <w:r>
        <w:rPr>
          <w:rFonts w:ascii="ITC Avant Garde" w:hAnsi="ITC Avant Garde"/>
        </w:rPr>
        <w:t xml:space="preserve"> ha cumplido con la obligación de pago por el uso o aprovechamiento del espectro radioeléctrico correspondiente a </w:t>
      </w:r>
      <w:r w:rsidRPr="008A2C3C">
        <w:rPr>
          <w:rFonts w:ascii="ITC Avant Garde" w:hAnsi="ITC Avant Garde"/>
          <w:noProof/>
        </w:rPr>
        <w:t>los años dos mil catorce y dos mil quince</w:t>
      </w:r>
      <w:r>
        <w:rPr>
          <w:rFonts w:ascii="ITC Avant Garde" w:hAnsi="ITC Avant Garde"/>
        </w:rPr>
        <w:t xml:space="preserve"> e incluso hasta la fecha de emisión de la presente resolución, </w:t>
      </w:r>
      <w:r>
        <w:rPr>
          <w:rFonts w:ascii="ITC Avant Garde" w:hAnsi="ITC Avant Garde"/>
          <w:color w:val="000000"/>
          <w:lang w:eastAsia="es-MX"/>
        </w:rPr>
        <w:t xml:space="preserve">este Órgano Colegiado considera que se actualiza la hipótesis normativa </w:t>
      </w:r>
      <w:r>
        <w:rPr>
          <w:rFonts w:ascii="ITC Avant Garde" w:eastAsia="Times New Roman" w:hAnsi="ITC Avant Garde"/>
          <w:bCs/>
          <w:color w:val="000000"/>
          <w:lang w:eastAsia="es-MX"/>
        </w:rPr>
        <w:t xml:space="preserve">prevista en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consistente en la revocación del </w:t>
      </w:r>
      <w:r w:rsidRPr="008A2C3C">
        <w:rPr>
          <w:rFonts w:ascii="ITC Avant Garde" w:eastAsia="Times New Roman" w:hAnsi="ITC Avant Garde"/>
          <w:b/>
          <w:bCs/>
          <w:noProof/>
          <w:color w:val="000000"/>
          <w:lang w:eastAsia="es-MX"/>
        </w:rPr>
        <w:t>"EL PERMISO"</w:t>
      </w:r>
      <w:r>
        <w:rPr>
          <w:rFonts w:ascii="ITC Avant Garde" w:eastAsia="Times New Roman" w:hAnsi="ITC Avant Garde"/>
          <w:bCs/>
          <w:color w:val="000000"/>
          <w:lang w:eastAsia="es-MX"/>
        </w:rPr>
        <w:t xml:space="preserve"> a que se refiere el apartado de antecedentes de la presente resolución</w:t>
      </w:r>
      <w:r>
        <w:rPr>
          <w:rFonts w:ascii="ITC Avant Garde" w:eastAsia="Times New Roman" w:hAnsi="ITC Avant Garde"/>
          <w:b/>
          <w:bCs/>
          <w:noProof/>
          <w:color w:val="000000"/>
          <w:lang w:eastAsia="es-MX"/>
        </w:rPr>
        <w:t>.</w:t>
      </w:r>
    </w:p>
    <w:p w14:paraId="34BCAD7E" w14:textId="77777777" w:rsidR="00327D0C" w:rsidRDefault="00CB7F8D" w:rsidP="00327D0C">
      <w:pPr>
        <w:tabs>
          <w:tab w:val="left" w:pos="851"/>
        </w:tabs>
        <w:spacing w:after="240" w:line="360" w:lineRule="auto"/>
        <w:jc w:val="both"/>
        <w:rPr>
          <w:rFonts w:ascii="ITC Avant Garde" w:eastAsia="Times New Roman" w:hAnsi="ITC Avant Garde"/>
          <w:lang w:eastAsia="es-ES"/>
        </w:rPr>
      </w:pPr>
      <w:r>
        <w:rPr>
          <w:rFonts w:ascii="ITC Avant Garde" w:eastAsia="Times New Roman" w:hAnsi="ITC Avant Garde"/>
          <w:bCs/>
          <w:color w:val="000000"/>
          <w:lang w:eastAsia="es-MX"/>
        </w:rPr>
        <w:t xml:space="preserve">Lo anterior, </w:t>
      </w:r>
      <w:r>
        <w:rPr>
          <w:rFonts w:ascii="ITC Avant Garde" w:eastAsia="Times New Roman" w:hAnsi="ITC Avant Garde"/>
          <w:lang w:eastAsia="es-ES"/>
        </w:rPr>
        <w:t xml:space="preserve">toda vez que el espectro radioeléctrico es un bien de dominio público, el cual es un recurso limitado, que conforme a lo dispuesto en el artículo 28 de la </w:t>
      </w:r>
      <w:r>
        <w:rPr>
          <w:rFonts w:ascii="ITC Avant Garde" w:eastAsia="Times New Roman" w:hAnsi="ITC Avant Garde"/>
          <w:b/>
          <w:lang w:eastAsia="es-ES"/>
        </w:rPr>
        <w:t>“CPEUM”</w:t>
      </w:r>
      <w:r>
        <w:rPr>
          <w:rFonts w:ascii="ITC Avant Garde" w:eastAsia="Times New Roman" w:hAnsi="ITC Avant Garde"/>
          <w:lang w:eastAsia="es-ES"/>
        </w:rPr>
        <w:t xml:space="preserve">, corresponde al Estado a través del </w:t>
      </w:r>
      <w:r w:rsidRPr="00BE650E">
        <w:rPr>
          <w:rFonts w:ascii="ITC Avant Garde" w:eastAsia="Times New Roman" w:hAnsi="ITC Avant Garde"/>
          <w:b/>
          <w:lang w:eastAsia="es-ES"/>
        </w:rPr>
        <w:t>“</w:t>
      </w:r>
      <w:r>
        <w:rPr>
          <w:rFonts w:ascii="ITC Avant Garde" w:eastAsia="Times New Roman" w:hAnsi="ITC Avant Garde"/>
          <w:b/>
          <w:lang w:eastAsia="es-ES"/>
        </w:rPr>
        <w:t>IFT”</w:t>
      </w:r>
      <w:r>
        <w:rPr>
          <w:rFonts w:ascii="ITC Avant Garde" w:eastAsia="Times New Roman" w:hAnsi="ITC Avant Garde"/>
          <w:lang w:eastAsia="es-ES"/>
        </w:rPr>
        <w:t xml:space="preserve"> salvaguardar su uso, aprovechamiento y explotación en beneficio del interés público. </w:t>
      </w:r>
    </w:p>
    <w:p w14:paraId="70F40C18" w14:textId="77777777" w:rsidR="00327D0C" w:rsidRDefault="00CB7F8D" w:rsidP="00327D0C">
      <w:pPr>
        <w:tabs>
          <w:tab w:val="left" w:pos="993"/>
        </w:tabs>
        <w:spacing w:after="240" w:line="360" w:lineRule="auto"/>
        <w:ind w:left="851" w:right="616"/>
        <w:jc w:val="both"/>
        <w:rPr>
          <w:rFonts w:ascii="ITC Avant Garde" w:hAnsi="ITC Avant Garde"/>
          <w:b/>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 xml:space="preserve">ESPECTRO RADIOELÉCTRICO. SU CONCEPTO Y DISTINCIÓN CON RESPECTO AL ESPECTRO ELECTROMAGNÉTICO. </w:t>
      </w:r>
      <w:r>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w:t>
      </w:r>
      <w:r>
        <w:rPr>
          <w:rFonts w:ascii="ITC Avant Garde" w:hAnsi="ITC Avant Garde"/>
          <w:i/>
          <w:color w:val="000000"/>
          <w:sz w:val="20"/>
          <w:szCs w:val="20"/>
        </w:rPr>
        <w:lastRenderedPageBreak/>
        <w:t xml:space="preserve">exclusividad que impidan su funcionalidad y el beneficio colectivo. Cabe señalar que el espectro radioeléctrico es un recurso natural limitado y las frecuencias que lo componen son las que están en el rango entre los tres </w:t>
      </w:r>
      <w:proofErr w:type="spellStart"/>
      <w:r>
        <w:rPr>
          <w:rFonts w:ascii="ITC Avant Garde" w:hAnsi="ITC Avant Garde"/>
          <w:i/>
          <w:color w:val="000000"/>
          <w:sz w:val="20"/>
          <w:szCs w:val="20"/>
        </w:rPr>
        <w:t>hertz</w:t>
      </w:r>
      <w:proofErr w:type="spellEnd"/>
      <w:r>
        <w:rPr>
          <w:rFonts w:ascii="ITC Avant Garde" w:hAnsi="ITC Avant Garde"/>
          <w:i/>
          <w:color w:val="000000"/>
          <w:sz w:val="20"/>
          <w:szCs w:val="20"/>
        </w:rPr>
        <w:t xml:space="preserve"> y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en esa virtud, su explotación se realiza aprovechándolas directamente o concediendo el aprovechamiento mediante la asignación a través de concesiones.</w:t>
      </w:r>
      <w:r>
        <w:rPr>
          <w:rFonts w:ascii="ITC Avant Garde" w:hAnsi="ITC Avant Garde"/>
          <w:b/>
          <w:i/>
          <w:color w:val="000000"/>
          <w:sz w:val="20"/>
          <w:szCs w:val="20"/>
        </w:rPr>
        <w:t xml:space="preserve"> </w:t>
      </w:r>
    </w:p>
    <w:p w14:paraId="35F082B0" w14:textId="77777777" w:rsidR="00327D0C" w:rsidRDefault="00CB7F8D" w:rsidP="00327D0C">
      <w:pPr>
        <w:tabs>
          <w:tab w:val="left" w:pos="993"/>
        </w:tabs>
        <w:spacing w:after="240" w:line="360" w:lineRule="auto"/>
        <w:ind w:left="851" w:right="616"/>
        <w:jc w:val="both"/>
        <w:rPr>
          <w:rFonts w:ascii="ITC Avant Garde" w:hAnsi="ITC Avant Garde"/>
          <w:i/>
          <w:color w:val="000000"/>
          <w:sz w:val="20"/>
          <w:szCs w:val="20"/>
        </w:rPr>
      </w:pPr>
      <w:r w:rsidRPr="00ED23CD">
        <w:rPr>
          <w:rFonts w:ascii="ITC Avant Garde" w:hAnsi="ITC Avant Garde"/>
          <w:i/>
          <w:color w:val="000000"/>
          <w:sz w:val="18"/>
          <w:szCs w:val="18"/>
        </w:rPr>
        <w:t xml:space="preserve">Época: Décima Época, Registro: 2005184, Instancia: Tribunales Colegiados de Circuito, Tipo de Tesis: Aislada, Fuente: Gaceta del Semanario Judicial de la Federación, Libro 1, </w:t>
      </w:r>
      <w:proofErr w:type="gramStart"/>
      <w:r w:rsidRPr="00ED23CD">
        <w:rPr>
          <w:rFonts w:ascii="ITC Avant Garde" w:hAnsi="ITC Avant Garde"/>
          <w:i/>
          <w:color w:val="000000"/>
          <w:sz w:val="18"/>
          <w:szCs w:val="18"/>
        </w:rPr>
        <w:t>Diciembre</w:t>
      </w:r>
      <w:proofErr w:type="gramEnd"/>
      <w:r w:rsidRPr="00ED23CD">
        <w:rPr>
          <w:rFonts w:ascii="ITC Avant Garde" w:hAnsi="ITC Avant Garde"/>
          <w:i/>
          <w:color w:val="000000"/>
          <w:sz w:val="18"/>
          <w:szCs w:val="18"/>
        </w:rPr>
        <w:t xml:space="preserve"> de 2013, Tomo II, Materia(s): Administrativa, Tesis: I.4o.A.72 A (10a.), Página: 1129</w:t>
      </w:r>
      <w:r>
        <w:rPr>
          <w:rFonts w:ascii="ITC Avant Garde" w:hAnsi="ITC Avant Garde"/>
          <w:i/>
          <w:color w:val="000000"/>
          <w:sz w:val="20"/>
          <w:szCs w:val="20"/>
        </w:rPr>
        <w:t>”</w:t>
      </w:r>
    </w:p>
    <w:p w14:paraId="323A9045"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sidRPr="009566FB">
        <w:rPr>
          <w:rFonts w:ascii="ITC Avant Garde" w:eastAsia="Times New Roman" w:hAnsi="ITC Avant Garde"/>
          <w:lang w:eastAsia="es-MX"/>
        </w:rPr>
        <w:t>Y</w:t>
      </w:r>
      <w:r>
        <w:rPr>
          <w:rFonts w:ascii="ITC Avant Garde" w:eastAsia="Times New Roman" w:hAnsi="ITC Avant Garde"/>
          <w:lang w:eastAsia="es-MX"/>
        </w:rPr>
        <w:t xml:space="preserve"> en tal sentido como lo prevé el propio </w:t>
      </w:r>
      <w:r w:rsidRPr="008A2C3C">
        <w:rPr>
          <w:rFonts w:ascii="ITC Avant Garde" w:eastAsia="Times New Roman" w:hAnsi="ITC Avant Garde"/>
          <w:b/>
          <w:noProof/>
          <w:lang w:eastAsia="es-MX"/>
        </w:rPr>
        <w:t>"PERMISO"</w:t>
      </w:r>
      <w:r w:rsidRPr="009566FB">
        <w:rPr>
          <w:rFonts w:ascii="ITC Avant Garde" w:eastAsia="Times New Roman" w:hAnsi="ITC Avant Garde"/>
          <w:lang w:eastAsia="es-MX"/>
        </w:rPr>
        <w:t xml:space="preserve">, el incumplimiento a cualquiera de sus condiciones (entre ellas la relativa al pago de derechos) será sancionada </w:t>
      </w:r>
      <w:r>
        <w:rPr>
          <w:rFonts w:ascii="ITC Avant Garde" w:eastAsia="Times New Roman" w:hAnsi="ITC Avant Garde"/>
          <w:lang w:eastAsia="es-MX"/>
        </w:rPr>
        <w:t>con la revocación del mismo.</w:t>
      </w:r>
    </w:p>
    <w:p w14:paraId="30822ECF" w14:textId="66D270B4" w:rsidR="00CB7F8D" w:rsidRDefault="00CB7F8D" w:rsidP="00327D0C">
      <w:pPr>
        <w:pStyle w:val="Textoindependiente"/>
        <w:tabs>
          <w:tab w:val="left" w:pos="993"/>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 xml:space="preserve">Lo anterior tiene razón de ser en que </w:t>
      </w:r>
      <w:r w:rsidRPr="008A2C3C">
        <w:rPr>
          <w:rFonts w:ascii="ITC Avant Garde" w:eastAsia="Times New Roman" w:hAnsi="ITC Avant Garde"/>
          <w:b/>
          <w:noProof/>
          <w:lang w:eastAsia="es-MX"/>
        </w:rPr>
        <w:t>PORFIRIO TORRES PERALTA</w:t>
      </w:r>
      <w:r>
        <w:rPr>
          <w:rFonts w:ascii="ITC Avant Garde" w:eastAsia="Times New Roman" w:hAnsi="ITC Avant Garde"/>
          <w:lang w:eastAsia="es-MX"/>
        </w:rPr>
        <w:t xml:space="preserve">, al incumplir con la obligación contenida en la condición </w:t>
      </w:r>
      <w:r w:rsidRPr="008A2C3C">
        <w:rPr>
          <w:rFonts w:ascii="ITC Avant Garde" w:eastAsia="Times New Roman" w:hAnsi="ITC Avant Garde"/>
          <w:b/>
          <w:noProof/>
          <w:lang w:eastAsia="es-MX"/>
        </w:rPr>
        <w:t>DÉCIMA TERCERA</w:t>
      </w:r>
      <w:r>
        <w:rPr>
          <w:rFonts w:ascii="ITC Avant Garde" w:eastAsia="Times New Roman" w:hAnsi="ITC Avant Garde"/>
          <w:b/>
          <w:lang w:eastAsia="es-MX"/>
        </w:rPr>
        <w:t xml:space="preserve"> </w:t>
      </w:r>
      <w:r>
        <w:rPr>
          <w:rFonts w:ascii="ITC Avant Garde" w:eastAsia="Times New Roman" w:hAnsi="ITC Avant Garde"/>
          <w:lang w:eastAsia="es-MX"/>
        </w:rPr>
        <w:t xml:space="preserve">se ubica en el supuesto contemplado en la condición </w:t>
      </w:r>
      <w:r w:rsidRPr="008A2C3C">
        <w:rPr>
          <w:rFonts w:ascii="ITC Avant Garde" w:eastAsia="Times New Roman" w:hAnsi="ITC Avant Garde"/>
          <w:b/>
          <w:noProof/>
          <w:lang w:eastAsia="es-MX"/>
        </w:rPr>
        <w:t>DÉCIMA QUINTA</w:t>
      </w:r>
      <w:r>
        <w:rPr>
          <w:rFonts w:ascii="ITC Avant Garde" w:eastAsia="Times New Roman" w:hAnsi="ITC Avant Garde"/>
          <w:lang w:eastAsia="es-MX"/>
        </w:rPr>
        <w:t xml:space="preserve"> de su título habilitante</w:t>
      </w:r>
      <w:r w:rsidRPr="009566FB">
        <w:rPr>
          <w:rFonts w:ascii="ITC Avant Garde" w:eastAsia="Times New Roman" w:hAnsi="ITC Avant Garde"/>
          <w:lang w:eastAsia="es-MX"/>
        </w:rPr>
        <w:t>, y actualiza</w:t>
      </w:r>
      <w:r>
        <w:rPr>
          <w:rFonts w:ascii="ITC Avant Garde" w:eastAsia="Times New Roman" w:hAnsi="ITC Avant Garde"/>
          <w:lang w:eastAsia="es-MX"/>
        </w:rPr>
        <w:t xml:space="preserve"> la hipótesis </w:t>
      </w:r>
      <w:r>
        <w:rPr>
          <w:rFonts w:ascii="ITC Avant Garde" w:hAnsi="ITC Avant Garde"/>
          <w:color w:val="000000"/>
          <w:lang w:eastAsia="es-MX"/>
        </w:rPr>
        <w:t xml:space="preserve">normativa </w:t>
      </w:r>
      <w:r>
        <w:rPr>
          <w:rFonts w:ascii="ITC Avant Garde" w:eastAsia="Times New Roman" w:hAnsi="ITC Avant Garde"/>
          <w:bCs/>
          <w:color w:val="000000"/>
          <w:lang w:eastAsia="es-MX"/>
        </w:rPr>
        <w:t xml:space="preserve">prevista en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consistente en la revocación del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 xml:space="preserve"> </w:t>
      </w:r>
      <w:r w:rsidRPr="009566FB">
        <w:rPr>
          <w:rFonts w:ascii="ITC Avant Garde" w:eastAsia="Times New Roman" w:hAnsi="ITC Avant Garde"/>
          <w:bCs/>
          <w:color w:val="000000"/>
          <w:lang w:eastAsia="es-MX"/>
        </w:rPr>
        <w:t>que</w:t>
      </w:r>
      <w:r>
        <w:rPr>
          <w:rFonts w:ascii="ITC Avant Garde" w:eastAsia="Times New Roman" w:hAnsi="ITC Avant Garde"/>
          <w:bCs/>
          <w:color w:val="000000"/>
          <w:lang w:eastAsia="es-MX"/>
        </w:rPr>
        <w:t xml:space="preserve"> le fue otorgado.</w:t>
      </w:r>
    </w:p>
    <w:p w14:paraId="7C891E2C" w14:textId="77777777" w:rsidR="00327D0C" w:rsidRDefault="00CB7F8D" w:rsidP="00327D0C">
      <w:pPr>
        <w:pStyle w:val="Textoindependiente"/>
        <w:tabs>
          <w:tab w:val="left" w:pos="993"/>
        </w:tabs>
        <w:spacing w:after="240" w:line="360" w:lineRule="auto"/>
        <w:jc w:val="both"/>
        <w:rPr>
          <w:rFonts w:ascii="ITC Avant Garde" w:eastAsia="Times New Roman" w:hAnsi="ITC Avant Garde"/>
          <w:b/>
          <w:lang w:eastAsia="es-MX"/>
        </w:rPr>
      </w:pPr>
      <w:r w:rsidRPr="00FF3160">
        <w:rPr>
          <w:rFonts w:ascii="ITC Avant Garde" w:eastAsia="Times New Roman" w:hAnsi="ITC Avant Garde"/>
          <w:b/>
          <w:lang w:eastAsia="es-MX"/>
        </w:rPr>
        <w:t xml:space="preserve">SÉPTIMO. </w:t>
      </w:r>
      <w:r>
        <w:rPr>
          <w:rFonts w:ascii="ITC Avant Garde" w:eastAsia="Times New Roman" w:hAnsi="ITC Avant Garde"/>
          <w:b/>
          <w:lang w:eastAsia="es-MX"/>
        </w:rPr>
        <w:t>REVOCACIÓN DE</w:t>
      </w:r>
      <w:r w:rsidR="008B4248">
        <w:rPr>
          <w:rFonts w:ascii="ITC Avant Garde" w:eastAsia="Times New Roman" w:hAnsi="ITC Avant Garde"/>
          <w:b/>
          <w:lang w:eastAsia="es-MX"/>
        </w:rPr>
        <w:t xml:space="preserve">L TÍTULO </w:t>
      </w:r>
      <w:r>
        <w:rPr>
          <w:rFonts w:ascii="ITC Avant Garde" w:eastAsia="Times New Roman" w:hAnsi="ITC Avant Garde"/>
          <w:b/>
          <w:lang w:eastAsia="es-MX"/>
        </w:rPr>
        <w:t>HABILITANTE.</w:t>
      </w:r>
    </w:p>
    <w:p w14:paraId="3B189139"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El ejercicio de la rectoría económica del Estado tiene por objeto y fin buscar el beneficio general para toda la sociedad, lo que se hace más evidente en el presente caso debido a que estamos en presencia del uso y explotación de un bien del dominio de la Nación utilizado para la prestación de servicios de telecomunicaciones en su modalidad de radiocomunicación privada o establecimiento de enlaces privados, según corresponda, en tal sentido </w:t>
      </w:r>
      <w:r w:rsidRPr="00C12364">
        <w:rPr>
          <w:rFonts w:ascii="ITC Avant Garde" w:eastAsia="Times New Roman" w:hAnsi="ITC Avant Garde"/>
          <w:b/>
          <w:u w:val="single"/>
          <w:lang w:eastAsia="es-MX"/>
        </w:rPr>
        <w:t xml:space="preserve">el </w:t>
      </w:r>
      <w:r w:rsidRPr="00393609">
        <w:rPr>
          <w:rFonts w:ascii="ITC Avant Garde" w:eastAsia="Times New Roman" w:hAnsi="ITC Avant Garde"/>
          <w:b/>
          <w:u w:val="single"/>
          <w:lang w:eastAsia="es-MX"/>
        </w:rPr>
        <w:t>“IFT”</w:t>
      </w:r>
      <w:r w:rsidRPr="00C12364">
        <w:rPr>
          <w:rFonts w:ascii="ITC Avant Garde" w:eastAsia="Times New Roman" w:hAnsi="ITC Avant Garde"/>
          <w:b/>
          <w:u w:val="single"/>
          <w:lang w:eastAsia="es-MX"/>
        </w:rPr>
        <w:t xml:space="preserve"> se encuentra en posibilidad de ejercer su facultad de revocar una concesión</w:t>
      </w:r>
      <w:r>
        <w:rPr>
          <w:rFonts w:ascii="ITC Avant Garde" w:eastAsia="Times New Roman" w:hAnsi="ITC Avant Garde"/>
          <w:b/>
          <w:u w:val="single"/>
          <w:lang w:eastAsia="es-MX"/>
        </w:rPr>
        <w:t>, autorización o permiso</w:t>
      </w:r>
      <w:r w:rsidRPr="00C12364">
        <w:rPr>
          <w:rFonts w:ascii="ITC Avant Garde" w:eastAsia="Times New Roman" w:hAnsi="ITC Avant Garde"/>
          <w:b/>
          <w:u w:val="single"/>
          <w:lang w:eastAsia="es-MX"/>
        </w:rPr>
        <w:t xml:space="preserve"> derivado del incumplimiento de las obligaciones o condiciones establecidas en </w:t>
      </w:r>
      <w:r>
        <w:rPr>
          <w:rFonts w:ascii="ITC Avant Garde" w:eastAsia="Times New Roman" w:hAnsi="ITC Avant Garde"/>
          <w:b/>
          <w:u w:val="single"/>
          <w:lang w:eastAsia="es-MX"/>
        </w:rPr>
        <w:t>las mismas</w:t>
      </w:r>
      <w:r w:rsidRPr="00C12364">
        <w:rPr>
          <w:rFonts w:ascii="ITC Avant Garde" w:eastAsia="Times New Roman" w:hAnsi="ITC Avant Garde"/>
          <w:b/>
          <w:u w:val="single"/>
          <w:lang w:eastAsia="es-MX"/>
        </w:rPr>
        <w:t xml:space="preserve">, al haberse </w:t>
      </w:r>
      <w:r>
        <w:rPr>
          <w:rFonts w:ascii="ITC Avant Garde" w:eastAsia="Times New Roman" w:hAnsi="ITC Avant Garde"/>
          <w:b/>
          <w:u w:val="single"/>
          <w:lang w:eastAsia="es-MX"/>
        </w:rPr>
        <w:t xml:space="preserve">establecido </w:t>
      </w:r>
      <w:r w:rsidRPr="00C12364">
        <w:rPr>
          <w:rFonts w:ascii="ITC Avant Garde" w:eastAsia="Times New Roman" w:hAnsi="ITC Avant Garde"/>
          <w:b/>
          <w:u w:val="single"/>
          <w:lang w:eastAsia="es-MX"/>
        </w:rPr>
        <w:t xml:space="preserve">que </w:t>
      </w:r>
      <w:r>
        <w:rPr>
          <w:rFonts w:ascii="ITC Avant Garde" w:eastAsia="Times New Roman" w:hAnsi="ITC Avant Garde"/>
          <w:b/>
          <w:u w:val="single"/>
          <w:lang w:eastAsia="es-MX"/>
        </w:rPr>
        <w:t xml:space="preserve">el </w:t>
      </w:r>
      <w:r w:rsidRPr="00C12364">
        <w:rPr>
          <w:rFonts w:ascii="ITC Avant Garde" w:eastAsia="Times New Roman" w:hAnsi="ITC Avant Garde"/>
          <w:b/>
          <w:u w:val="single"/>
          <w:lang w:eastAsia="es-MX"/>
        </w:rPr>
        <w:t>incumplimiento</w:t>
      </w:r>
      <w:r>
        <w:rPr>
          <w:rFonts w:ascii="ITC Avant Garde" w:eastAsia="Times New Roman" w:hAnsi="ITC Avant Garde"/>
          <w:b/>
          <w:u w:val="single"/>
          <w:lang w:eastAsia="es-MX"/>
        </w:rPr>
        <w:t xml:space="preserve"> de algunas de las obligaciones consignadas en dichos documentos habilitantes </w:t>
      </w:r>
      <w:r w:rsidRPr="00C12364">
        <w:rPr>
          <w:rFonts w:ascii="ITC Avant Garde" w:eastAsia="Times New Roman" w:hAnsi="ITC Avant Garde"/>
          <w:b/>
          <w:u w:val="single"/>
          <w:lang w:eastAsia="es-MX"/>
        </w:rPr>
        <w:t>sería causa de revocación</w:t>
      </w:r>
      <w:r>
        <w:rPr>
          <w:rFonts w:ascii="ITC Avant Garde" w:eastAsia="Times New Roman" w:hAnsi="ITC Avant Garde"/>
          <w:lang w:eastAsia="es-MX"/>
        </w:rPr>
        <w:t xml:space="preserve"> o bien, cuando la causal de revocación se encuentre </w:t>
      </w:r>
      <w:r>
        <w:rPr>
          <w:rFonts w:ascii="ITC Avant Garde" w:eastAsia="Times New Roman" w:hAnsi="ITC Avant Garde"/>
          <w:lang w:eastAsia="es-MX"/>
        </w:rPr>
        <w:lastRenderedPageBreak/>
        <w:t xml:space="preserve">expresamente señalada por la Ley, como en el supuesto de la fracción III del artículo 303 de la </w:t>
      </w:r>
      <w:r>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Pr>
          <w:rFonts w:ascii="ITC Avant Garde" w:eastAsia="Times New Roman" w:hAnsi="ITC Avant Garde"/>
          <w:b/>
          <w:lang w:eastAsia="es-MX"/>
        </w:rPr>
        <w:t>”</w:t>
      </w:r>
      <w:r>
        <w:rPr>
          <w:rFonts w:ascii="ITC Avant Garde" w:eastAsia="Times New Roman" w:hAnsi="ITC Avant Garde"/>
          <w:lang w:eastAsia="es-MX"/>
        </w:rPr>
        <w:t>.</w:t>
      </w:r>
    </w:p>
    <w:p w14:paraId="547837AA"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No obstante lo anterior, debe señalarse que la procedencia de la revocación además de estar </w:t>
      </w:r>
      <w:r w:rsidRPr="00801D08">
        <w:rPr>
          <w:rFonts w:ascii="ITC Avant Garde" w:eastAsia="Times New Roman" w:hAnsi="ITC Avant Garde"/>
          <w:lang w:eastAsia="es-MX"/>
        </w:rPr>
        <w:t>sujeta a razones</w:t>
      </w:r>
      <w:r>
        <w:rPr>
          <w:rFonts w:ascii="ITC Avant Garde" w:eastAsia="Times New Roman" w:hAnsi="ITC Avant Garde"/>
          <w:lang w:eastAsia="es-MX"/>
        </w:rPr>
        <w:t xml:space="preserve"> de legalidad, obedece a </w:t>
      </w:r>
      <w:r w:rsidRPr="00801D08">
        <w:rPr>
          <w:rFonts w:ascii="ITC Avant Garde" w:eastAsia="Times New Roman" w:hAnsi="ITC Avant Garde"/>
          <w:lang w:eastAsia="es-MX"/>
        </w:rPr>
        <w:t>r</w:t>
      </w:r>
      <w:r>
        <w:rPr>
          <w:rFonts w:ascii="ITC Avant Garde" w:eastAsia="Times New Roman" w:hAnsi="ITC Avant Garde"/>
          <w:lang w:eastAsia="es-MX"/>
        </w:rPr>
        <w:t>azones de oportunidad y</w:t>
      </w:r>
      <w:r w:rsidRPr="00801D08">
        <w:rPr>
          <w:rFonts w:ascii="ITC Avant Garde" w:eastAsia="Times New Roman" w:hAnsi="ITC Avant Garde"/>
          <w:lang w:eastAsia="es-MX"/>
        </w:rPr>
        <w:t xml:space="preserve"> de</w:t>
      </w:r>
      <w:r>
        <w:rPr>
          <w:rFonts w:ascii="ITC Avant Garde" w:eastAsia="Times New Roman" w:hAnsi="ITC Avant Garde"/>
          <w:lang w:eastAsia="es-MX"/>
        </w:rPr>
        <w:t xml:space="preserve"> interés público, pues en función de éstos y en</w:t>
      </w:r>
      <w:r w:rsidRPr="00801D08">
        <w:rPr>
          <w:rFonts w:ascii="ITC Avant Garde" w:eastAsia="Times New Roman" w:hAnsi="ITC Avant Garde"/>
          <w:lang w:eastAsia="es-MX"/>
        </w:rPr>
        <w:t xml:space="preserve"> aras de </w:t>
      </w:r>
      <w:r>
        <w:rPr>
          <w:rFonts w:ascii="ITC Avant Garde" w:eastAsia="Times New Roman" w:hAnsi="ITC Avant Garde"/>
          <w:lang w:eastAsia="es-MX"/>
        </w:rPr>
        <w:t>satisfacerlos</w:t>
      </w:r>
      <w:r w:rsidRPr="00801D08">
        <w:rPr>
          <w:rFonts w:ascii="ITC Avant Garde" w:eastAsia="Times New Roman" w:hAnsi="ITC Avant Garde"/>
          <w:lang w:eastAsia="es-MX"/>
        </w:rPr>
        <w:t>, la</w:t>
      </w:r>
      <w:r>
        <w:rPr>
          <w:rFonts w:ascii="ITC Avant Garde" w:eastAsia="Times New Roman" w:hAnsi="ITC Avant Garde"/>
          <w:lang w:eastAsia="es-MX"/>
        </w:rPr>
        <w:t xml:space="preserve"> </w:t>
      </w:r>
      <w:r w:rsidRPr="00801D08">
        <w:rPr>
          <w:rFonts w:ascii="ITC Avant Garde" w:eastAsia="Times New Roman" w:hAnsi="ITC Avant Garde"/>
          <w:lang w:eastAsia="es-MX"/>
        </w:rPr>
        <w:t>revocación como sanción por una infracción a las disposiciones legales, reglamentarias o</w:t>
      </w:r>
      <w:r>
        <w:rPr>
          <w:rFonts w:ascii="ITC Avant Garde" w:eastAsia="Times New Roman" w:hAnsi="ITC Avant Garde"/>
          <w:lang w:eastAsia="es-MX"/>
        </w:rPr>
        <w:t xml:space="preserve"> </w:t>
      </w:r>
      <w:r w:rsidRPr="00801D08">
        <w:rPr>
          <w:rFonts w:ascii="ITC Avant Garde" w:eastAsia="Times New Roman" w:hAnsi="ITC Avant Garde"/>
          <w:lang w:eastAsia="es-MX"/>
        </w:rPr>
        <w:t>administrativas correspondientes</w:t>
      </w:r>
      <w:r>
        <w:rPr>
          <w:rFonts w:ascii="ITC Avant Garde" w:eastAsia="Times New Roman" w:hAnsi="ITC Avant Garde"/>
          <w:lang w:eastAsia="es-MX"/>
        </w:rPr>
        <w:t xml:space="preserve"> o a lo establecido en los títulos de concesión, autorizaciones o permisos, según corresponda, </w:t>
      </w:r>
      <w:r w:rsidRPr="00801D08">
        <w:rPr>
          <w:rFonts w:ascii="ITC Avant Garde" w:eastAsia="Times New Roman" w:hAnsi="ITC Avant Garde"/>
          <w:lang w:eastAsia="es-MX"/>
        </w:rPr>
        <w:t>requiere para su debida materialización y por razones de</w:t>
      </w:r>
      <w:r>
        <w:rPr>
          <w:rFonts w:ascii="ITC Avant Garde" w:eastAsia="Times New Roman" w:hAnsi="ITC Avant Garde"/>
          <w:lang w:eastAsia="es-MX"/>
        </w:rPr>
        <w:t xml:space="preserve"> </w:t>
      </w:r>
      <w:r w:rsidRPr="00801D08">
        <w:rPr>
          <w:rFonts w:ascii="ITC Avant Garde" w:eastAsia="Times New Roman" w:hAnsi="ITC Avant Garde"/>
          <w:lang w:eastAsia="es-MX"/>
        </w:rPr>
        <w:t>conveniencia y oportunidad</w:t>
      </w:r>
      <w:r>
        <w:rPr>
          <w:rFonts w:ascii="ITC Avant Garde" w:eastAsia="Times New Roman" w:hAnsi="ITC Avant Garde"/>
          <w:lang w:eastAsia="es-MX"/>
        </w:rPr>
        <w:t xml:space="preserve">, los elementos de mérito que permitan </w:t>
      </w:r>
      <w:r w:rsidRPr="00801D08">
        <w:rPr>
          <w:rFonts w:ascii="ITC Avant Garde" w:eastAsia="Times New Roman" w:hAnsi="ITC Avant Garde"/>
          <w:lang w:eastAsia="es-MX"/>
        </w:rPr>
        <w:t>la consecución de los</w:t>
      </w:r>
      <w:r>
        <w:rPr>
          <w:rFonts w:ascii="ITC Avant Garde" w:eastAsia="Times New Roman" w:hAnsi="ITC Avant Garde"/>
          <w:lang w:eastAsia="es-MX"/>
        </w:rPr>
        <w:t xml:space="preserve"> </w:t>
      </w:r>
      <w:r w:rsidRPr="00801D08">
        <w:rPr>
          <w:rFonts w:ascii="ITC Avant Garde" w:eastAsia="Times New Roman" w:hAnsi="ITC Avant Garde"/>
          <w:lang w:eastAsia="es-MX"/>
        </w:rPr>
        <w:t>objetivos que demanda el interés público y la reglamentación en la que se circunscribe la</w:t>
      </w:r>
      <w:r>
        <w:rPr>
          <w:rFonts w:ascii="ITC Avant Garde" w:eastAsia="Times New Roman" w:hAnsi="ITC Avant Garde"/>
          <w:lang w:eastAsia="es-MX"/>
        </w:rPr>
        <w:t xml:space="preserve"> </w:t>
      </w:r>
      <w:r w:rsidRPr="00801D08">
        <w:rPr>
          <w:rFonts w:ascii="ITC Avant Garde" w:eastAsia="Times New Roman" w:hAnsi="ITC Avant Garde"/>
          <w:lang w:eastAsia="es-MX"/>
        </w:rPr>
        <w:t>actividad regulada</w:t>
      </w:r>
      <w:r>
        <w:rPr>
          <w:rFonts w:ascii="ITC Avant Garde" w:eastAsia="Times New Roman" w:hAnsi="ITC Avant Garde"/>
          <w:lang w:eastAsia="es-MX"/>
        </w:rPr>
        <w:t>.</w:t>
      </w:r>
    </w:p>
    <w:p w14:paraId="4479F417"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efecto, las telecomunicaciones son un servicio público regulado y protegido por la </w:t>
      </w:r>
      <w:r>
        <w:rPr>
          <w:rFonts w:ascii="ITC Avant Garde" w:eastAsia="Times New Roman" w:hAnsi="ITC Avant Garde"/>
          <w:b/>
          <w:lang w:eastAsia="es-MX"/>
        </w:rPr>
        <w:t>“CPEUM”</w:t>
      </w:r>
      <w:r>
        <w:rPr>
          <w:rFonts w:ascii="ITC Avant Garde" w:eastAsia="Times New Roman" w:hAnsi="ITC Avant Garde"/>
          <w:lang w:eastAsia="es-MX"/>
        </w:rPr>
        <w:t xml:space="preserve"> y diversos ordenamientos específicos que detallan la forma y procedimientos en los que se concesionará el uso, aprovechamiento y explotación de las bandas de frecuencias del espectro radioeléctrico y las redes públicas de telecomunicaciones.</w:t>
      </w:r>
    </w:p>
    <w:p w14:paraId="30822EDA" w14:textId="22FC4F46" w:rsidR="00CB7F8D"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Al respecto, resulta aplicable lo dispuesto por la fracción II del apartado B) del artículo 6o. Constitucional el cual a la letra señala:</w:t>
      </w:r>
    </w:p>
    <w:p w14:paraId="30822EDB" w14:textId="77777777" w:rsidR="00CB7F8D" w:rsidRPr="00F80B0F" w:rsidRDefault="00CB7F8D" w:rsidP="00327D0C">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“Artículo 6o…</w:t>
      </w:r>
    </w:p>
    <w:p w14:paraId="30822EDC" w14:textId="77777777" w:rsidR="00CB7F8D" w:rsidRPr="00F80B0F" w:rsidRDefault="00CB7F8D" w:rsidP="00327D0C">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B) En materia de radiodifusión y telecomunicaciones:</w:t>
      </w:r>
      <w:r>
        <w:rPr>
          <w:rFonts w:ascii="ITC Avant Garde" w:eastAsia="Times New Roman" w:hAnsi="ITC Avant Garde"/>
          <w:i/>
          <w:sz w:val="20"/>
          <w:szCs w:val="20"/>
          <w:lang w:eastAsia="es-MX"/>
        </w:rPr>
        <w:t xml:space="preserve"> (</w:t>
      </w:r>
      <w:r w:rsidRPr="00F80B0F">
        <w:rPr>
          <w:rFonts w:ascii="ITC Avant Garde" w:eastAsia="Times New Roman" w:hAnsi="ITC Avant Garde"/>
          <w:i/>
          <w:sz w:val="20"/>
          <w:szCs w:val="20"/>
          <w:lang w:eastAsia="es-MX"/>
        </w:rPr>
        <w:t>…</w:t>
      </w:r>
      <w:r>
        <w:rPr>
          <w:rFonts w:ascii="ITC Avant Garde" w:eastAsia="Times New Roman" w:hAnsi="ITC Avant Garde"/>
          <w:i/>
          <w:sz w:val="20"/>
          <w:szCs w:val="20"/>
          <w:lang w:eastAsia="es-MX"/>
        </w:rPr>
        <w:t>)</w:t>
      </w:r>
    </w:p>
    <w:p w14:paraId="344C1E6A" w14:textId="77777777" w:rsidR="00327D0C" w:rsidRDefault="00CB7F8D" w:rsidP="00327D0C">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5B3F6ECE"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Del artículo transcrito se desprende que las telecomunicaciones son servicios públicos de interés general. En este sentido un servicio público es aquella actividad que se realiza para satisfacer necesidades básicas de la sociedad cuyas características son las siguientes: </w:t>
      </w:r>
    </w:p>
    <w:p w14:paraId="30822EE1" w14:textId="67379AED" w:rsidR="00CB7F8D" w:rsidRDefault="00CB7F8D" w:rsidP="00327D0C">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lastRenderedPageBreak/>
        <w:t>Continuidad y permanencia, no debe haber rezagos ni interrupciones en la prestación de los servicios.</w:t>
      </w:r>
    </w:p>
    <w:p w14:paraId="30822EE2" w14:textId="77777777" w:rsidR="00CB7F8D" w:rsidRDefault="00CB7F8D" w:rsidP="00327D0C">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t>Uniformidad, se deben prestar en las mismas o mejores condiciones de calidad a medida que va creciendo la demanda.</w:t>
      </w:r>
    </w:p>
    <w:p w14:paraId="05F0EB45" w14:textId="77777777" w:rsidR="00327D0C" w:rsidRDefault="00CB7F8D" w:rsidP="00327D0C">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t>Igualdad, todos deben ser beneficiados por igual.</w:t>
      </w:r>
    </w:p>
    <w:p w14:paraId="3908BDAA"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este sentido, la cualidad del servicio público que la propia </w:t>
      </w:r>
      <w:r>
        <w:rPr>
          <w:rFonts w:ascii="ITC Avant Garde" w:eastAsia="Times New Roman" w:hAnsi="ITC Avant Garde"/>
          <w:b/>
          <w:lang w:eastAsia="es-MX"/>
        </w:rPr>
        <w:t>“CPEUM”</w:t>
      </w:r>
      <w:r>
        <w:rPr>
          <w:rFonts w:ascii="ITC Avant Garde" w:eastAsia="Times New Roman" w:hAnsi="ITC Avant Garde"/>
          <w:lang w:eastAsia="es-MX"/>
        </w:rPr>
        <w:t xml:space="preserve"> le otorga radica en que los servicios de telecomunicaciones son considerados como básicos para el desarrollo del país y coadyuvan a mejorar las condiciones de vida en sociedad. Así se advierte del siguiente criterio jurisprudencial sostenido por nuestro Máximo Tribunal:</w:t>
      </w:r>
    </w:p>
    <w:p w14:paraId="630A1651" w14:textId="77777777" w:rsidR="00327D0C" w:rsidRDefault="00CB7F8D" w:rsidP="00327D0C">
      <w:pPr>
        <w:pStyle w:val="Textoindependiente"/>
        <w:spacing w:after="240" w:line="360" w:lineRule="auto"/>
        <w:ind w:left="851" w:right="616"/>
        <w:jc w:val="both"/>
        <w:rPr>
          <w:rFonts w:ascii="ITC Avant Garde" w:eastAsia="Times New Roman" w:hAnsi="ITC Avant Garde"/>
          <w:i/>
          <w:sz w:val="20"/>
          <w:szCs w:val="20"/>
          <w:lang w:eastAsia="es-MX"/>
        </w:rPr>
      </w:pPr>
      <w:r>
        <w:rPr>
          <w:rFonts w:ascii="ITC Avant Garde" w:eastAsia="Times New Roman" w:hAnsi="ITC Avant Garde"/>
          <w:b/>
          <w:i/>
          <w:sz w:val="20"/>
          <w:szCs w:val="20"/>
          <w:lang w:eastAsia="es-MX"/>
        </w:rPr>
        <w:t>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w:t>
      </w:r>
      <w:r>
        <w:rPr>
          <w:rFonts w:ascii="ITC Avant Garde" w:eastAsia="Times New Roman" w:hAnsi="ITC Avant Garde"/>
          <w:i/>
          <w:sz w:val="20"/>
          <w:szCs w:val="20"/>
          <w:lang w:eastAsia="es-MX"/>
        </w:rPr>
        <w:t xml:space="preserve"> El precepto citado que concede exenciones por la prestación de diversos servicios del sector de telecomunicaciones no viola el principio de equidad tributaria consagrado en la fracción IV del artículo 31 de la Constitución Política de los Estados Unidos Mexicanos, al no incluir en esos beneficios a las empresas que prestan el servicio de televisión por cable, a pesar de que también pertenecen al sector de telecomunicaciones, porque tanto en la exposición de motivos de la reforma a la Ley del Impuesto Especial sobre Producción y Servicios, publicada en el Diario Oficial de la Federación el 1o. de enero de 2002, como en las deliberaciones legislativas, aparece que dicha distinción se halla plenamente justificada, pues obedece a que </w:t>
      </w:r>
      <w:r>
        <w:rPr>
          <w:rFonts w:ascii="ITC Avant Garde" w:eastAsia="Times New Roman" w:hAnsi="ITC Avant Garde"/>
          <w:b/>
          <w:i/>
          <w:sz w:val="20"/>
          <w:szCs w:val="20"/>
          <w:u w:val="single"/>
          <w:lang w:eastAsia="es-MX"/>
        </w:rPr>
        <w:t>los servicios de internet, telefonía e interconexión son considerados como básicos para el desarrollo del país</w:t>
      </w:r>
      <w:r>
        <w:rPr>
          <w:rFonts w:ascii="ITC Avant Garde" w:eastAsia="Times New Roman" w:hAnsi="ITC Avant Garde"/>
          <w:i/>
          <w:sz w:val="20"/>
          <w:szCs w:val="20"/>
          <w:lang w:eastAsia="es-MX"/>
        </w:rPr>
        <w:t>, característica de la que no goza el de televisión por cable que preponderantemente constituye un servicio de entretenimiento.</w:t>
      </w:r>
    </w:p>
    <w:p w14:paraId="4C405F11" w14:textId="77777777" w:rsidR="00327D0C" w:rsidRDefault="00CB7F8D" w:rsidP="00327D0C">
      <w:pPr>
        <w:pStyle w:val="Textoindependiente"/>
        <w:spacing w:after="240" w:line="360" w:lineRule="auto"/>
        <w:ind w:left="851" w:right="616"/>
        <w:jc w:val="both"/>
        <w:rPr>
          <w:rFonts w:ascii="ITC Avant Garde" w:eastAsia="Times New Roman" w:hAnsi="ITC Avant Garde"/>
          <w:i/>
          <w:sz w:val="18"/>
          <w:szCs w:val="20"/>
          <w:lang w:eastAsia="es-MX"/>
        </w:rPr>
      </w:pPr>
      <w:r w:rsidRPr="00D00469">
        <w:rPr>
          <w:rFonts w:ascii="ITC Avant Garde" w:eastAsia="Times New Roman" w:hAnsi="ITC Avant Garde"/>
          <w:i/>
          <w:sz w:val="18"/>
          <w:szCs w:val="20"/>
          <w:lang w:eastAsia="es-MX"/>
        </w:rPr>
        <w:lastRenderedPageBreak/>
        <w:t xml:space="preserve">Época: Novena Época Registro: 180524 Instancia: Segunda Sala Tipo de Tesis: Jurisprudencia Fuente: Semanario Judicial de la Federación y su Gaceta Tomo XX, </w:t>
      </w:r>
      <w:proofErr w:type="gramStart"/>
      <w:r w:rsidRPr="00D00469">
        <w:rPr>
          <w:rFonts w:ascii="ITC Avant Garde" w:eastAsia="Times New Roman" w:hAnsi="ITC Avant Garde"/>
          <w:i/>
          <w:sz w:val="18"/>
          <w:szCs w:val="20"/>
          <w:lang w:eastAsia="es-MX"/>
        </w:rPr>
        <w:t>Septiembre</w:t>
      </w:r>
      <w:proofErr w:type="gramEnd"/>
      <w:r w:rsidRPr="00D00469">
        <w:rPr>
          <w:rFonts w:ascii="ITC Avant Garde" w:eastAsia="Times New Roman" w:hAnsi="ITC Avant Garde"/>
          <w:i/>
          <w:sz w:val="18"/>
          <w:szCs w:val="20"/>
          <w:lang w:eastAsia="es-MX"/>
        </w:rPr>
        <w:t xml:space="preserve"> de 2004 Materia(s): Constitucional, Administrativa Tesis: 2a./J. 112/2004 Página: 230</w:t>
      </w:r>
    </w:p>
    <w:p w14:paraId="7F9F22CD" w14:textId="77777777" w:rsidR="00327D0C" w:rsidRDefault="00CB7F8D" w:rsidP="00327D0C">
      <w:pPr>
        <w:pStyle w:val="Textoindependiente"/>
        <w:tabs>
          <w:tab w:val="left" w:pos="851"/>
        </w:tabs>
        <w:spacing w:after="240" w:line="360" w:lineRule="auto"/>
        <w:jc w:val="both"/>
        <w:rPr>
          <w:rStyle w:val="apple-converted-space"/>
          <w:rFonts w:ascii="ITC Avant Garde" w:hAnsi="ITC Avant Garde"/>
        </w:rPr>
      </w:pPr>
      <w:r>
        <w:rPr>
          <w:rFonts w:ascii="ITC Avant Garde" w:eastAsia="Times New Roman" w:hAnsi="ITC Avant Garde"/>
          <w:lang w:eastAsia="es-MX"/>
        </w:rPr>
        <w:t>En el mismo orden de ideas, l</w:t>
      </w:r>
      <w:r w:rsidRPr="008452B5">
        <w:rPr>
          <w:rFonts w:ascii="ITC Avant Garde" w:eastAsia="Times New Roman" w:hAnsi="ITC Avant Garde"/>
          <w:lang w:eastAsia="es-MX"/>
        </w:rPr>
        <w:t>a prestación de servicios públicos o</w:t>
      </w:r>
      <w:r w:rsidRPr="004624A8">
        <w:rPr>
          <w:rFonts w:ascii="ITC Avant Garde" w:eastAsia="Times New Roman" w:hAnsi="ITC Avant Garde"/>
          <w:b/>
          <w:lang w:eastAsia="es-MX"/>
        </w:rPr>
        <w:t xml:space="preserve"> </w:t>
      </w:r>
      <w:r w:rsidRPr="004624A8">
        <w:rPr>
          <w:rFonts w:ascii="ITC Avant Garde" w:eastAsia="Times New Roman" w:hAnsi="ITC Avant Garde"/>
          <w:b/>
          <w:bCs/>
          <w:lang w:eastAsia="es-MX"/>
        </w:rPr>
        <w:t>la explotación, uso o aprovechamiento de bienes de la Nación</w:t>
      </w:r>
      <w:r w:rsidRPr="008452B5">
        <w:rPr>
          <w:rFonts w:ascii="ITC Avant Garde" w:eastAsia="Times New Roman" w:hAnsi="ITC Avant Garde"/>
          <w:bCs/>
          <w:lang w:eastAsia="es-MX"/>
        </w:rPr>
        <w:t xml:space="preserve">, </w:t>
      </w:r>
      <w:r w:rsidRPr="008452B5">
        <w:rPr>
          <w:rFonts w:ascii="ITC Avant Garde" w:hAnsi="ITC Avant Garde"/>
        </w:rPr>
        <w:t>así como su dominio directo,</w:t>
      </w:r>
      <w:r w:rsidRPr="008452B5">
        <w:rPr>
          <w:rFonts w:ascii="ITC Avant Garde" w:eastAsia="Times New Roman" w:hAnsi="ITC Avant Garde"/>
          <w:bCs/>
          <w:lang w:eastAsia="es-MX"/>
        </w:rPr>
        <w:t xml:space="preserve"> corresponde</w:t>
      </w:r>
      <w:r w:rsidRPr="008452B5">
        <w:rPr>
          <w:rFonts w:ascii="ITC Avant Garde" w:hAnsi="ITC Avant Garde"/>
        </w:rPr>
        <w:t xml:space="preserve"> originariamente a la Federación, sin embargo, en uso de su soberanía autoriza a los gobernados -sin que en estos casos pueda constituirse la propiedad privada-, su explotación y aprovechamiento temporal a través de una</w:t>
      </w:r>
      <w:r>
        <w:rPr>
          <w:rStyle w:val="apple-converted-space"/>
          <w:rFonts w:ascii="ITC Avant Garde" w:hAnsi="ITC Avant Garde"/>
        </w:rPr>
        <w:t xml:space="preserve"> </w:t>
      </w:r>
      <w:r w:rsidRPr="008452B5">
        <w:rPr>
          <w:rStyle w:val="apple-converted-space"/>
          <w:rFonts w:ascii="ITC Avant Garde" w:hAnsi="ITC Avant Garde"/>
        </w:rPr>
        <w:t>concesión</w:t>
      </w:r>
      <w:r>
        <w:rPr>
          <w:rStyle w:val="apple-converted-space"/>
          <w:rFonts w:ascii="ITC Avant Garde" w:hAnsi="ITC Avant Garde"/>
        </w:rPr>
        <w:t xml:space="preserve"> o permiso</w:t>
      </w:r>
      <w:r w:rsidRPr="008452B5">
        <w:rPr>
          <w:rStyle w:val="apple-converted-space"/>
          <w:rFonts w:ascii="ITC Avant Garde" w:hAnsi="ITC Avant Garde"/>
        </w:rPr>
        <w:t>, guardando en todo caso sus facultades para decretar la revocación de la misma o el rescate de los bienes y servicios en cuestión.</w:t>
      </w:r>
    </w:p>
    <w:p w14:paraId="04F42D91" w14:textId="77777777" w:rsidR="00327D0C" w:rsidRDefault="00CB7F8D" w:rsidP="00327D0C">
      <w:pPr>
        <w:pStyle w:val="Textoindependiente"/>
        <w:tabs>
          <w:tab w:val="left" w:pos="851"/>
        </w:tabs>
        <w:spacing w:after="240" w:line="360" w:lineRule="auto"/>
        <w:jc w:val="both"/>
        <w:rPr>
          <w:rStyle w:val="apple-converted-space"/>
          <w:rFonts w:ascii="ITC Avant Garde" w:hAnsi="ITC Avant Garde"/>
        </w:rPr>
      </w:pPr>
      <w:r w:rsidRPr="008452B5">
        <w:rPr>
          <w:rStyle w:val="apple-converted-space"/>
          <w:rFonts w:ascii="ITC Avant Garde" w:hAnsi="ITC Avant Garde"/>
        </w:rPr>
        <w:t>Sirve para ilustrar</w:t>
      </w:r>
      <w:r>
        <w:rPr>
          <w:rStyle w:val="apple-converted-space"/>
          <w:rFonts w:ascii="ITC Avant Garde" w:hAnsi="ITC Avant Garde"/>
        </w:rPr>
        <w:t xml:space="preserve"> lo anterior,</w:t>
      </w:r>
      <w:r w:rsidRPr="008452B5">
        <w:rPr>
          <w:rStyle w:val="apple-converted-space"/>
          <w:rFonts w:ascii="ITC Avant Garde" w:hAnsi="ITC Avant Garde"/>
        </w:rPr>
        <w:t xml:space="preserve"> </w:t>
      </w:r>
      <w:r>
        <w:rPr>
          <w:rStyle w:val="apple-converted-space"/>
          <w:rFonts w:ascii="ITC Avant Garde" w:hAnsi="ITC Avant Garde"/>
        </w:rPr>
        <w:t>el siguiente criterio</w:t>
      </w:r>
      <w:r w:rsidRPr="008452B5">
        <w:rPr>
          <w:rStyle w:val="apple-converted-space"/>
          <w:rFonts w:ascii="ITC Avant Garde" w:hAnsi="ITC Avant Garde"/>
        </w:rPr>
        <w:t xml:space="preserve"> que a su letra señala:</w:t>
      </w:r>
    </w:p>
    <w:p w14:paraId="4FDE8912" w14:textId="77777777" w:rsidR="00327D0C" w:rsidRDefault="00CB7F8D" w:rsidP="00327D0C">
      <w:pPr>
        <w:pStyle w:val="Textoindependiente"/>
        <w:spacing w:after="240" w:line="360" w:lineRule="auto"/>
        <w:ind w:left="851" w:right="616"/>
        <w:jc w:val="both"/>
        <w:rPr>
          <w:rFonts w:ascii="ITC Avant Garde" w:eastAsia="Times New Roman" w:hAnsi="ITC Avant Garde"/>
          <w:b/>
          <w:i/>
          <w:sz w:val="20"/>
          <w:szCs w:val="20"/>
          <w:u w:val="single"/>
          <w:lang w:eastAsia="es-MX"/>
        </w:rPr>
      </w:pPr>
      <w:r w:rsidRPr="007E7ACB">
        <w:rPr>
          <w:rFonts w:ascii="ITC Avant Garde" w:eastAsia="Times New Roman" w:hAnsi="ITC Avant Garde"/>
          <w:b/>
          <w:i/>
          <w:sz w:val="20"/>
          <w:szCs w:val="20"/>
          <w:lang w:eastAsia="es-MX"/>
        </w:rPr>
        <w:t>CONCESIÓN ADMINISTRATIVA. LÍMITES PARA SU OTORGAMIENTO A LOS PARTICULARES.</w:t>
      </w:r>
      <w:r w:rsidRPr="007E7ACB">
        <w:rPr>
          <w:rFonts w:ascii="ITC Avant Garde" w:eastAsia="Times New Roman" w:hAnsi="ITC Avant Garde"/>
          <w:i/>
          <w:sz w:val="20"/>
          <w:szCs w:val="20"/>
          <w:lang w:eastAsia="es-MX"/>
        </w:rPr>
        <w:t xml:space="preserve"> Los particulares no gozan de un derecho preexistente respecto de las concesiones administrativas, esto es, en su esfera jurídica no obra alguna prerrogativa para su otorgamiento ni en relación con los bienes o servicios públicos eventualmente sujetos a alguna, partiendo de que conforme al artículo 27, párrafo primero, de la Constitución Política de los Estados Unidos Mexicanos, </w:t>
      </w:r>
      <w:r w:rsidRPr="007E7ACB">
        <w:rPr>
          <w:rFonts w:ascii="ITC Avant Garde" w:eastAsia="Times New Roman" w:hAnsi="ITC Avant Garde"/>
          <w:b/>
          <w:i/>
          <w:sz w:val="20"/>
          <w:szCs w:val="20"/>
          <w:u w:val="single"/>
          <w:lang w:eastAsia="es-MX"/>
        </w:rPr>
        <w:t>el Estado es el titular originario de esos bienes y servicios, y es sólo por cuestiones de oportunidad, mérito o conveniencia que, eventualmente y en forma temporal, puede decidir facultar a los particulares para su uso, aprovechamiento, explotación o realización, conservando, en todo caso, sus facultades para decretar la revocación de la concesión o el rescate de los bienes y servicios en cuestión.</w:t>
      </w:r>
    </w:p>
    <w:p w14:paraId="77A119CF" w14:textId="77777777" w:rsidR="00327D0C" w:rsidRDefault="00CB7F8D" w:rsidP="00327D0C">
      <w:pPr>
        <w:pStyle w:val="Textoindependiente"/>
        <w:spacing w:after="240" w:line="360" w:lineRule="auto"/>
        <w:ind w:left="851" w:right="616"/>
        <w:jc w:val="both"/>
        <w:rPr>
          <w:rFonts w:ascii="ITC Avant Garde" w:eastAsia="Times New Roman" w:hAnsi="ITC Avant Garde"/>
          <w:i/>
          <w:sz w:val="18"/>
          <w:szCs w:val="18"/>
          <w:lang w:eastAsia="es-MX"/>
        </w:rPr>
      </w:pPr>
      <w:r w:rsidRPr="0071311E">
        <w:rPr>
          <w:rFonts w:ascii="ITC Avant Garde" w:eastAsia="Times New Roman" w:hAnsi="ITC Avant Garde"/>
          <w:i/>
          <w:sz w:val="18"/>
          <w:szCs w:val="18"/>
          <w:lang w:eastAsia="es-MX"/>
        </w:rPr>
        <w:t xml:space="preserve">Época: Décima Época Registro: 2009505 Instancia: Tribunales Colegiados de Circuito Tipo de Tesis: Aislada Fuente: Gaceta del Semanario Judicial de la Federación Libro 19, </w:t>
      </w:r>
      <w:proofErr w:type="gramStart"/>
      <w:r w:rsidRPr="0071311E">
        <w:rPr>
          <w:rFonts w:ascii="ITC Avant Garde" w:eastAsia="Times New Roman" w:hAnsi="ITC Avant Garde"/>
          <w:i/>
          <w:sz w:val="18"/>
          <w:szCs w:val="18"/>
          <w:lang w:eastAsia="es-MX"/>
        </w:rPr>
        <w:t>Junio</w:t>
      </w:r>
      <w:proofErr w:type="gramEnd"/>
      <w:r w:rsidRPr="0071311E">
        <w:rPr>
          <w:rFonts w:ascii="ITC Avant Garde" w:eastAsia="Times New Roman" w:hAnsi="ITC Avant Garde"/>
          <w:i/>
          <w:sz w:val="18"/>
          <w:szCs w:val="18"/>
          <w:lang w:eastAsia="es-MX"/>
        </w:rPr>
        <w:t xml:space="preserve"> de 2015, Tomo III Materia(s): Administrativa Tesis: I.1o.A.105 A (10a.) Página: 1968</w:t>
      </w:r>
    </w:p>
    <w:p w14:paraId="0864C0C0"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En este sentido, e</w:t>
      </w:r>
      <w:r w:rsidRPr="008452B5">
        <w:rPr>
          <w:rFonts w:ascii="ITC Avant Garde" w:eastAsia="Times New Roman" w:hAnsi="ITC Avant Garde"/>
          <w:lang w:eastAsia="es-MX"/>
        </w:rPr>
        <w:t xml:space="preserve">l artículo 115, fracción III,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8452B5">
        <w:rPr>
          <w:rFonts w:ascii="ITC Avant Garde" w:eastAsia="Times New Roman" w:hAnsi="ITC Avant Garde"/>
          <w:b/>
          <w:lang w:eastAsia="es-MX"/>
        </w:rPr>
        <w:t xml:space="preserve"> </w:t>
      </w:r>
      <w:r w:rsidRPr="008452B5">
        <w:rPr>
          <w:rFonts w:ascii="ITC Avant Garde" w:eastAsia="Times New Roman" w:hAnsi="ITC Avant Garde"/>
          <w:lang w:eastAsia="es-MX"/>
        </w:rPr>
        <w:t>establece que una de las formas de terminación de las concesiones es la revocación.</w:t>
      </w:r>
    </w:p>
    <w:p w14:paraId="59EBB842" w14:textId="77777777" w:rsidR="00327D0C" w:rsidRDefault="00CB7F8D" w:rsidP="00327D0C">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lastRenderedPageBreak/>
        <w:t xml:space="preserve">La revocación puede obedecer a cuestiones de razón de interés social, cuando el Estado ya no pretende concesionar la prestación de un servicio público o la explotación de bienes de propiedad pública, o bien, </w:t>
      </w:r>
      <w:r>
        <w:rPr>
          <w:rFonts w:ascii="ITC Avant Garde" w:eastAsia="Times New Roman" w:hAnsi="ITC Avant Garde"/>
          <w:b/>
          <w:u w:val="single"/>
          <w:lang w:eastAsia="es-MX"/>
        </w:rPr>
        <w:t>cuando el concesionario</w:t>
      </w:r>
      <w:r w:rsidR="008B4248">
        <w:rPr>
          <w:rFonts w:ascii="ITC Avant Garde" w:eastAsia="Times New Roman" w:hAnsi="ITC Avant Garde"/>
          <w:b/>
          <w:u w:val="single"/>
          <w:lang w:eastAsia="es-MX"/>
        </w:rPr>
        <w:t>, autorizado</w:t>
      </w:r>
      <w:r>
        <w:rPr>
          <w:rFonts w:ascii="ITC Avant Garde" w:eastAsia="Times New Roman" w:hAnsi="ITC Avant Garde"/>
          <w:b/>
          <w:u w:val="single"/>
          <w:lang w:eastAsia="es-MX"/>
        </w:rPr>
        <w:t xml:space="preserve"> o permisionario no ha cumplido con la ley que regula el uso del bien de dominio público o con las condiciones establecidas en el título habilitante respectivo.</w:t>
      </w:r>
      <w:r>
        <w:rPr>
          <w:rFonts w:ascii="ITC Avant Garde" w:eastAsia="Times New Roman" w:hAnsi="ITC Avant Garde"/>
          <w:lang w:eastAsia="es-MX"/>
        </w:rPr>
        <w:t xml:space="preserve"> lo anterior es un acto que el Estado llevará a cabo en ejercicio de su facultad rectora y en beneficio de la colectividad, a fin de garantizar la continuidad, permanencia y uniformidad de los servicios de telecomunicaciones.</w:t>
      </w:r>
    </w:p>
    <w:p w14:paraId="3DCF68EC" w14:textId="77777777" w:rsidR="00327D0C" w:rsidRDefault="00CB7F8D" w:rsidP="00327D0C">
      <w:pPr>
        <w:pStyle w:val="Textoindependiente"/>
        <w:tabs>
          <w:tab w:val="left" w:pos="851"/>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En tal sentido, el objetivo se pretende es garantizar que la prestación de los servicios de telecomunicaciones que fueron autorizados se realicen cumpliendo con las obligaciones y condiciones establecidas en el respectivo documento habilitante, sin contemplar modalidades diversas o que los concesionarios o permisionarios lleven a cabo actos contrarios a los pretendidos con el otorgamiento de la concesión, autorización o permiso.</w:t>
      </w:r>
    </w:p>
    <w:p w14:paraId="63717C13"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permite al Estado suspender de manera definitiva los efectos de un documento habilitante cuando no se ha cumplido con los fines pretendidos en el mismo o no se ha satisfecho el interés público, entendiendo como tal el conjunto de pretensiones que se encuentran relacionadas con las necesidades colectivas de los miembros de la sociedad y que son protegidas mediante la intervención directa y permanente del Estado.</w:t>
      </w:r>
    </w:p>
    <w:p w14:paraId="30822EF9" w14:textId="58F8FF92" w:rsidR="00CB7F8D"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w:t>
      </w:r>
      <w:r w:rsidRPr="0005563B">
        <w:rPr>
          <w:rFonts w:ascii="ITC Avant Garde" w:eastAsia="Times New Roman" w:hAnsi="ITC Avant Garde"/>
          <w:b/>
          <w:bCs/>
          <w:color w:val="000000"/>
          <w:lang w:eastAsia="es-MX"/>
        </w:rPr>
        <w:t>es imperante que el cumplimien</w:t>
      </w:r>
      <w:r>
        <w:rPr>
          <w:rFonts w:ascii="ITC Avant Garde" w:eastAsia="Times New Roman" w:hAnsi="ITC Avant Garde"/>
          <w:b/>
          <w:bCs/>
          <w:color w:val="000000"/>
          <w:lang w:eastAsia="es-MX"/>
        </w:rPr>
        <w:t xml:space="preserve">to de las obligaciones establecidas en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 incluido</w:t>
      </w:r>
      <w:r w:rsidRPr="0005563B">
        <w:rPr>
          <w:rFonts w:ascii="ITC Avant Garde" w:eastAsia="Times New Roman" w:hAnsi="ITC Avant Garde"/>
          <w:b/>
          <w:bCs/>
          <w:color w:val="000000"/>
          <w:lang w:eastAsia="es-MX"/>
        </w:rPr>
        <w:t xml:space="preserve"> el pago de derechos por el </w:t>
      </w:r>
      <w:r>
        <w:rPr>
          <w:rFonts w:ascii="ITC Avant Garde" w:eastAsia="Times New Roman" w:hAnsi="ITC Avant Garde"/>
          <w:b/>
          <w:bCs/>
          <w:color w:val="000000"/>
          <w:lang w:eastAsia="es-MX"/>
        </w:rPr>
        <w:t xml:space="preserve">uso o aprovechamiento </w:t>
      </w:r>
      <w:r w:rsidRPr="0005563B">
        <w:rPr>
          <w:rFonts w:ascii="ITC Avant Garde" w:eastAsia="Times New Roman" w:hAnsi="ITC Avant Garde"/>
          <w:b/>
          <w:bCs/>
          <w:color w:val="000000"/>
          <w:lang w:eastAsia="es-MX"/>
        </w:rPr>
        <w:t>de un bien del dominio de la Nación</w:t>
      </w:r>
      <w:r>
        <w:rPr>
          <w:rFonts w:ascii="ITC Avant Garde" w:eastAsia="Times New Roman" w:hAnsi="ITC Avant Garde"/>
          <w:bCs/>
          <w:color w:val="000000"/>
          <w:lang w:eastAsia="es-MX"/>
        </w:rPr>
        <w:t xml:space="preserve">, se realicen apegados al marco legal que regula la materia de telecomunicaciones, así como a las obligaciones, modalidades y condiciones establecidas en la concesión, permiso o autorización según se trate, pues de lo contrario, se generarían causas o motivos que no justificarían el uso de dichos bienes, afectando en consecuencia la prestación de los servicios concesionados y consecuentemente se vería afectado el uso de los bienes del dominio público de la Federación. </w:t>
      </w:r>
    </w:p>
    <w:p w14:paraId="24DE1179"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Por lo anterior, </w:t>
      </w:r>
      <w:r w:rsidRPr="00017B78">
        <w:rPr>
          <w:rFonts w:ascii="ITC Avant Garde" w:eastAsia="Times New Roman" w:hAnsi="ITC Avant Garde"/>
          <w:bCs/>
          <w:color w:val="000000"/>
          <w:lang w:eastAsia="es-MX"/>
        </w:rPr>
        <w:t xml:space="preserve">resulta válido que con base en el interés público, así como en lo dispuesto en los respectivos documentos habilitantes y en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017B78">
        <w:rPr>
          <w:rFonts w:ascii="ITC Avant Garde" w:eastAsia="Times New Roman" w:hAnsi="ITC Avant Garde"/>
          <w:bCs/>
          <w:color w:val="000000"/>
          <w:lang w:eastAsia="es-MX"/>
        </w:rPr>
        <w:t xml:space="preserve">, se pueda ejercer la facultad de revocar </w:t>
      </w:r>
      <w:r w:rsidRPr="008A2C3C">
        <w:rPr>
          <w:rFonts w:ascii="ITC Avant Garde" w:hAnsi="ITC Avant Garde"/>
          <w:b/>
          <w:noProof/>
          <w:color w:val="000000"/>
          <w:lang w:eastAsia="es-MX"/>
        </w:rPr>
        <w:t>"EL PERMISO"</w:t>
      </w:r>
      <w:r>
        <w:rPr>
          <w:rFonts w:ascii="ITC Avant Garde" w:hAnsi="ITC Avant Garde"/>
          <w:color w:val="000000"/>
          <w:lang w:eastAsia="es-MX"/>
        </w:rPr>
        <w:t xml:space="preserve"> relacionado</w:t>
      </w:r>
      <w:r w:rsidRPr="00017B78">
        <w:rPr>
          <w:rFonts w:ascii="ITC Avant Garde" w:hAnsi="ITC Avant Garde"/>
          <w:color w:val="000000"/>
          <w:lang w:eastAsia="es-MX"/>
        </w:rPr>
        <w:t xml:space="preserve"> en el capítulo de antecedentes d</w:t>
      </w:r>
      <w:r>
        <w:rPr>
          <w:rFonts w:ascii="ITC Avant Garde" w:hAnsi="ITC Avant Garde"/>
          <w:color w:val="000000"/>
          <w:lang w:eastAsia="es-MX"/>
        </w:rPr>
        <w:t xml:space="preserve">e </w:t>
      </w:r>
      <w:r w:rsidRPr="00017B78">
        <w:rPr>
          <w:rFonts w:ascii="ITC Avant Garde" w:hAnsi="ITC Avant Garde"/>
          <w:color w:val="000000"/>
          <w:lang w:eastAsia="es-MX"/>
        </w:rPr>
        <w:t>l</w:t>
      </w:r>
      <w:r>
        <w:rPr>
          <w:rFonts w:ascii="ITC Avant Garde" w:hAnsi="ITC Avant Garde"/>
          <w:color w:val="000000"/>
          <w:lang w:eastAsia="es-MX"/>
        </w:rPr>
        <w:t>a</w:t>
      </w:r>
      <w:r w:rsidRPr="00017B78">
        <w:rPr>
          <w:rFonts w:ascii="ITC Avant Garde" w:hAnsi="ITC Avant Garde"/>
          <w:color w:val="000000"/>
          <w:lang w:eastAsia="es-MX"/>
        </w:rPr>
        <w:t xml:space="preserve"> presente </w:t>
      </w:r>
      <w:r>
        <w:rPr>
          <w:rFonts w:ascii="ITC Avant Garde" w:hAnsi="ITC Avant Garde"/>
          <w:color w:val="000000"/>
          <w:lang w:eastAsia="es-MX"/>
        </w:rPr>
        <w:t>resolución</w:t>
      </w:r>
      <w:r w:rsidRPr="00017B78">
        <w:rPr>
          <w:rFonts w:ascii="ITC Avant Garde" w:eastAsia="Times New Roman" w:hAnsi="ITC Avant Garde"/>
          <w:bCs/>
          <w:color w:val="000000"/>
          <w:lang w:eastAsia="es-MX"/>
        </w:rPr>
        <w:t>, dado que el cumplimiento de la obligación de pago por el uso y explotación de las frecuencias asignadas en los mismos</w:t>
      </w:r>
      <w:r w:rsidRPr="00017B78">
        <w:rPr>
          <w:rFonts w:ascii="ITC Avant Garde" w:eastAsia="Times New Roman" w:hAnsi="ITC Avant Garde"/>
          <w:bCs/>
          <w:noProof/>
          <w:color w:val="000000"/>
          <w:lang w:eastAsia="es-MX"/>
        </w:rPr>
        <w:t>,</w:t>
      </w:r>
      <w:r w:rsidRPr="00017B78">
        <w:rPr>
          <w:rFonts w:ascii="ITC Avant Garde" w:eastAsia="Times New Roman" w:hAnsi="ITC Avant Garde"/>
          <w:bCs/>
          <w:color w:val="000000"/>
          <w:lang w:eastAsia="es-MX"/>
        </w:rPr>
        <w:t xml:space="preserve"> no se reali</w:t>
      </w:r>
      <w:r>
        <w:rPr>
          <w:rFonts w:ascii="ITC Avant Garde" w:eastAsia="Times New Roman" w:hAnsi="ITC Avant Garde"/>
          <w:bCs/>
          <w:color w:val="000000"/>
          <w:lang w:eastAsia="es-MX"/>
        </w:rPr>
        <w:t>zó con base en las condiciones y</w:t>
      </w:r>
      <w:r w:rsidRPr="00017B78">
        <w:rPr>
          <w:rFonts w:ascii="ITC Avant Garde" w:eastAsia="Times New Roman" w:hAnsi="ITC Avant Garde"/>
          <w:bCs/>
          <w:color w:val="000000"/>
          <w:lang w:eastAsia="es-MX"/>
        </w:rPr>
        <w:t xml:space="preserve"> obligaciones que se establecieron para ello, aunado al hecho de que tal incumplimiento estaba sancionado expresamente con la revocación.</w:t>
      </w:r>
    </w:p>
    <w:p w14:paraId="207A8419"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sidRPr="00017B78">
        <w:rPr>
          <w:rFonts w:ascii="ITC Avant Garde" w:eastAsia="Times New Roman" w:hAnsi="ITC Avant Garde"/>
          <w:bCs/>
          <w:color w:val="000000"/>
          <w:lang w:eastAsia="es-MX"/>
        </w:rPr>
        <w:t>De esta mane</w:t>
      </w:r>
      <w:r>
        <w:rPr>
          <w:rFonts w:ascii="ITC Avant Garde" w:eastAsia="Times New Roman" w:hAnsi="ITC Avant Garde"/>
          <w:bCs/>
          <w:color w:val="000000"/>
          <w:lang w:eastAsia="es-MX"/>
        </w:rPr>
        <w:t>ra, la necesidad de revocar</w:t>
      </w:r>
      <w:r>
        <w:rPr>
          <w:rFonts w:ascii="ITC Avant Garde" w:hAnsi="ITC Avant Garde"/>
          <w:color w:val="000000"/>
          <w:lang w:eastAsia="es-MX"/>
        </w:rPr>
        <w:t xml:space="preserve"> </w:t>
      </w:r>
      <w:r w:rsidRPr="008A2C3C">
        <w:rPr>
          <w:rFonts w:ascii="ITC Avant Garde" w:hAnsi="ITC Avant Garde"/>
          <w:b/>
          <w:noProof/>
          <w:color w:val="000000"/>
          <w:lang w:eastAsia="es-MX"/>
        </w:rPr>
        <w:t>"EL PERMISO"</w:t>
      </w:r>
      <w:r>
        <w:rPr>
          <w:rFonts w:ascii="ITC Avant Garde" w:eastAsia="Times New Roman" w:hAnsi="ITC Avant Garde"/>
          <w:bCs/>
          <w:color w:val="000000"/>
          <w:lang w:eastAsia="es-MX"/>
        </w:rPr>
        <w:t xml:space="preserve"> se actualiza por haberse establecido expresamente por un lado, que el mismo era revocable en cualquier tiempo a juicio del ahora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o bien al señalar como causal el incumplimiento de las obligaciones establecidas en los mismos, específicamente la obligación de pago de la cuota anual de derechos por el uso del espectro radioeléctrico, infracción que se ha materializado a lo largo de diversos ejercicios anuales correspondientes a </w:t>
      </w:r>
      <w:r w:rsidRPr="008A2C3C">
        <w:rPr>
          <w:rFonts w:ascii="ITC Avant Garde" w:eastAsia="Times New Roman" w:hAnsi="ITC Avant Garde"/>
          <w:bCs/>
          <w:noProof/>
          <w:color w:val="000000"/>
          <w:lang w:eastAsia="es-MX"/>
        </w:rPr>
        <w:t>los años dos mil catorce y dos mil quince</w:t>
      </w:r>
      <w:r>
        <w:rPr>
          <w:rFonts w:ascii="ITC Avant Garde" w:eastAsia="Times New Roman" w:hAnsi="ITC Avant Garde"/>
          <w:bCs/>
          <w:color w:val="000000"/>
          <w:lang w:eastAsia="es-MX"/>
        </w:rPr>
        <w:t xml:space="preserve">, </w:t>
      </w:r>
      <w:r w:rsidR="00805363">
        <w:rPr>
          <w:rFonts w:ascii="ITC Avant Garde" w:eastAsia="Times New Roman" w:hAnsi="ITC Avant Garde"/>
          <w:bCs/>
          <w:color w:val="000000"/>
          <w:lang w:eastAsia="es-MX"/>
        </w:rPr>
        <w:t xml:space="preserve">e incluso, dos mil dieciséis, </w:t>
      </w:r>
      <w:r>
        <w:rPr>
          <w:rFonts w:ascii="ITC Avant Garde" w:eastAsia="Times New Roman" w:hAnsi="ITC Avant Garde"/>
          <w:bCs/>
          <w:color w:val="000000"/>
          <w:lang w:eastAsia="es-MX"/>
        </w:rPr>
        <w:t xml:space="preserve">conducta que no fue desvirtuada </w:t>
      </w:r>
      <w:r w:rsidR="008B4248">
        <w:rPr>
          <w:rFonts w:ascii="ITC Avant Garde" w:eastAsia="Times New Roman" w:hAnsi="ITC Avant Garde"/>
          <w:bCs/>
          <w:color w:val="000000"/>
          <w:lang w:eastAsia="es-MX"/>
        </w:rPr>
        <w:t>durante el procedimiento administrativo que precede a</w:t>
      </w:r>
      <w:r w:rsidR="008B4248" w:rsidDel="00C63D9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la presente resolución.</w:t>
      </w:r>
    </w:p>
    <w:p w14:paraId="51C14134"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este sentido, a través de la revocación de</w:t>
      </w:r>
      <w:r>
        <w:rPr>
          <w:rFonts w:ascii="ITC Avant Garde" w:hAnsi="ITC Avant Garde"/>
          <w:color w:val="000000"/>
          <w:lang w:eastAsia="es-MX"/>
        </w:rPr>
        <w:t xml:space="preserve"> </w:t>
      </w:r>
      <w:r w:rsidRPr="008A2C3C">
        <w:rPr>
          <w:rFonts w:ascii="ITC Avant Garde" w:hAnsi="ITC Avant Garde"/>
          <w:b/>
          <w:noProof/>
          <w:color w:val="000000"/>
          <w:lang w:eastAsia="es-MX"/>
        </w:rPr>
        <w:t>"EL PERMISO"</w:t>
      </w:r>
      <w:r>
        <w:rPr>
          <w:rFonts w:ascii="ITC Avant Garde" w:eastAsia="Times New Roman" w:hAnsi="ITC Avant Garde"/>
          <w:bCs/>
          <w:color w:val="000000"/>
          <w:lang w:eastAsia="es-MX"/>
        </w:rPr>
        <w:t xml:space="preserve">, 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vela por el cumplimiento oportuno de todas y cada una de las obligaciones establecidas en los permisos y autorizaciones, así como en el interés público que tiene la sociedad en que se cumplan todas las obligaciones que regulan la materia de telecomunicaciones, incluidas aquellas consignadas en los propios documentos, y con ello además contribuye al uso eficiente del espectro radioeléctrico, el cual es bien público de la Federación de naturaleza escasa que resulta indispensable para la prestación de servicios de telecomunicaciones, y en consecuencia el Estado tiene que velar porque el mismo sea utilizado de la forma más racional y eficiente posible, dada su alta demanda.</w:t>
      </w:r>
    </w:p>
    <w:p w14:paraId="629C07DB"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Se reitera que los servicios de telecomunicaciones en general son servicios públicos de los que el Estado es responsable de vigilar su eficiente prestación en beneficio de la sociedad, por lo que en tal sentido está plenamente facultado por la legislación de la materia para revocar un título de concesión, autorización o permiso cuando se establece expresamente en éste como sanción la revocación</w:t>
      </w:r>
      <w:r w:rsidRPr="00A6101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el incumplimiento de </w:t>
      </w:r>
      <w:r>
        <w:rPr>
          <w:rFonts w:ascii="ITC Avant Garde" w:eastAsia="Times New Roman" w:hAnsi="ITC Avant Garde"/>
          <w:bCs/>
          <w:color w:val="000000"/>
          <w:lang w:eastAsia="es-MX"/>
        </w:rPr>
        <w:lastRenderedPageBreak/>
        <w:t xml:space="preserve">sus obligaciones o condiciones, como ocurre en el presente caso, actualizándose el supuesto previsto en la fracción III del artículo 303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w:t>
      </w:r>
    </w:p>
    <w:p w14:paraId="1D790269" w14:textId="77777777" w:rsidR="00327D0C" w:rsidRDefault="00CB7F8D" w:rsidP="00327D0C">
      <w:pPr>
        <w:pStyle w:val="Textoindependiente"/>
        <w:tabs>
          <w:tab w:val="left" w:pos="851"/>
        </w:tabs>
        <w:spacing w:after="240" w:line="360" w:lineRule="auto"/>
        <w:jc w:val="both"/>
        <w:rPr>
          <w:rFonts w:ascii="ITC Avant Garde" w:eastAsia="Times New Roman" w:hAnsi="ITC Avant Garde"/>
          <w:lang w:eastAsia="es-MX"/>
        </w:rPr>
      </w:pPr>
      <w:r>
        <w:rPr>
          <w:rFonts w:ascii="ITC Avant Garde" w:eastAsia="Times New Roman" w:hAnsi="ITC Avant Garde"/>
          <w:bCs/>
          <w:color w:val="000000"/>
          <w:lang w:eastAsia="es-MX"/>
        </w:rPr>
        <w:t xml:space="preserve">Bajo estas condiciones, es responsabilidad de 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como el Órgano del Estado sobre el cual recae la facultad de ejercer la rectoría en materia de telecomunicaciones y la administración del espectro, vigilar que se cumpla a cabalidad con la obligación de pago de derechos </w:t>
      </w:r>
      <w:r w:rsidRPr="004A560A">
        <w:rPr>
          <w:rFonts w:ascii="ITC Avant Garde" w:eastAsia="Times New Roman" w:hAnsi="ITC Avant Garde"/>
          <w:bCs/>
          <w:color w:val="000000"/>
          <w:lang w:eastAsia="es-MX"/>
        </w:rPr>
        <w:t>establecida en la</w:t>
      </w:r>
      <w:r>
        <w:rPr>
          <w:rFonts w:ascii="ITC Avant Garde" w:eastAsia="Times New Roman" w:hAnsi="ITC Avant Garde"/>
          <w:bCs/>
          <w:color w:val="000000"/>
          <w:lang w:eastAsia="es-MX"/>
        </w:rPr>
        <w:t xml:space="preserve">s respectivas </w:t>
      </w:r>
      <w:r>
        <w:rPr>
          <w:rFonts w:ascii="ITC Avant Garde" w:hAnsi="ITC Avant Garde"/>
        </w:rPr>
        <w:t xml:space="preserve">condiciones </w:t>
      </w:r>
      <w:r>
        <w:rPr>
          <w:rFonts w:ascii="ITC Avant Garde" w:hAnsi="ITC Avant Garde"/>
          <w:color w:val="000000"/>
          <w:lang w:eastAsia="es-MX"/>
        </w:rPr>
        <w:t xml:space="preserve">de </w:t>
      </w:r>
      <w:r w:rsidRPr="008A2C3C">
        <w:rPr>
          <w:rFonts w:ascii="ITC Avant Garde" w:hAnsi="ITC Avant Garde"/>
          <w:b/>
          <w:noProof/>
          <w:color w:val="000000"/>
          <w:lang w:eastAsia="es-MX"/>
        </w:rPr>
        <w:t>"EL PERMISO"</w:t>
      </w:r>
      <w:r w:rsidRPr="004A560A">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E</w:t>
      </w:r>
      <w:r w:rsidRPr="008452B5">
        <w:rPr>
          <w:rFonts w:ascii="ITC Avant Garde" w:eastAsia="Times New Roman" w:hAnsi="ITC Avant Garde"/>
          <w:bCs/>
          <w:color w:val="000000"/>
          <w:lang w:eastAsia="es-MX"/>
        </w:rPr>
        <w:t xml:space="preserve">n tal sentido, </w:t>
      </w:r>
      <w:r>
        <w:rPr>
          <w:rFonts w:ascii="ITC Avant Garde" w:eastAsia="Times New Roman" w:hAnsi="ITC Avant Garde"/>
          <w:bCs/>
          <w:color w:val="000000"/>
          <w:lang w:eastAsia="es-MX"/>
        </w:rPr>
        <w:t xml:space="preserve">al no haberse desvirtuado la conducta imputada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color w:val="000000"/>
          <w:lang w:eastAsia="es-MX"/>
        </w:rPr>
        <w:t xml:space="preserve">, se actualiza la </w:t>
      </w:r>
      <w:r w:rsidRPr="008452B5">
        <w:rPr>
          <w:rFonts w:ascii="ITC Avant Garde" w:eastAsia="Times New Roman" w:hAnsi="ITC Avant Garde"/>
          <w:bCs/>
          <w:color w:val="000000"/>
          <w:lang w:eastAsia="es-MX"/>
        </w:rPr>
        <w:t xml:space="preserve">hipótesis contenida en la </w:t>
      </w:r>
      <w:r>
        <w:rPr>
          <w:rFonts w:ascii="ITC Avant Garde" w:eastAsia="Times New Roman" w:hAnsi="ITC Avant Garde"/>
          <w:bCs/>
          <w:color w:val="000000"/>
          <w:lang w:eastAsia="es-MX"/>
        </w:rPr>
        <w:t xml:space="preserve">fracción </w:t>
      </w:r>
      <w:r w:rsidRPr="008452B5">
        <w:rPr>
          <w:rFonts w:ascii="ITC Avant Garde" w:eastAsia="Times New Roman" w:hAnsi="ITC Avant Garde"/>
          <w:bCs/>
          <w:color w:val="000000"/>
          <w:lang w:eastAsia="es-MX"/>
        </w:rPr>
        <w:t xml:space="preserve">III del artículo 303 de </w:t>
      </w:r>
      <w:r>
        <w:rPr>
          <w:rFonts w:ascii="ITC Avant Garde" w:eastAsia="Times New Roman" w:hAnsi="ITC Avant Garde"/>
          <w:bCs/>
          <w:color w:val="000000"/>
          <w:lang w:eastAsia="es-MX"/>
        </w:rPr>
        <w:t xml:space="preserve">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8452B5">
        <w:rPr>
          <w:rFonts w:ascii="ITC Avant Garde" w:eastAsia="Times New Roman" w:hAnsi="ITC Avant Garde"/>
          <w:lang w:eastAsia="es-MX"/>
        </w:rPr>
        <w:t>, que expresamente señala:</w:t>
      </w:r>
    </w:p>
    <w:p w14:paraId="30822F05" w14:textId="16E655DF" w:rsidR="00CB7F8D" w:rsidRPr="009E006A"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w:t>
      </w:r>
      <w:r w:rsidRPr="009E006A">
        <w:rPr>
          <w:rFonts w:ascii="ITC Avant Garde" w:eastAsia="Times New Roman" w:hAnsi="ITC Avant Garde"/>
          <w:b/>
          <w:bCs/>
          <w:i/>
          <w:color w:val="000000"/>
          <w:sz w:val="20"/>
          <w:szCs w:val="20"/>
          <w:lang w:eastAsia="es-MX"/>
        </w:rPr>
        <w:t>Artículo 303.</w:t>
      </w:r>
      <w:r w:rsidRPr="009E006A">
        <w:rPr>
          <w:rFonts w:ascii="ITC Avant Garde" w:eastAsia="Times New Roman" w:hAnsi="ITC Avant Garde"/>
          <w:bCs/>
          <w:i/>
          <w:color w:val="000000"/>
          <w:sz w:val="20"/>
          <w:szCs w:val="20"/>
          <w:lang w:eastAsia="es-MX"/>
        </w:rPr>
        <w:t xml:space="preserve"> Las </w:t>
      </w:r>
      <w:r w:rsidRPr="009E006A">
        <w:rPr>
          <w:rFonts w:ascii="ITC Avant Garde" w:eastAsia="Times New Roman" w:hAnsi="ITC Avant Garde"/>
          <w:b/>
          <w:bCs/>
          <w:i/>
          <w:color w:val="000000"/>
          <w:sz w:val="20"/>
          <w:szCs w:val="20"/>
          <w:u w:val="single"/>
          <w:lang w:eastAsia="es-MX"/>
        </w:rPr>
        <w:t>concesiones y las autorizaciones se podrán revocar</w:t>
      </w:r>
      <w:r w:rsidRPr="009E006A">
        <w:rPr>
          <w:rFonts w:ascii="ITC Avant Garde" w:eastAsia="Times New Roman" w:hAnsi="ITC Avant Garde"/>
          <w:bCs/>
          <w:i/>
          <w:color w:val="000000"/>
          <w:sz w:val="20"/>
          <w:szCs w:val="20"/>
          <w:lang w:eastAsia="es-MX"/>
        </w:rPr>
        <w:t xml:space="preserve"> por cualquiera de las causas siguientes:</w:t>
      </w:r>
    </w:p>
    <w:p w14:paraId="30822F06" w14:textId="77777777" w:rsidR="00CB7F8D" w:rsidRPr="009E006A"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w:t>
      </w:r>
    </w:p>
    <w:p w14:paraId="30822F07" w14:textId="77777777" w:rsidR="00CB7F8D" w:rsidRPr="009E006A" w:rsidRDefault="00CB7F8D" w:rsidP="00327D0C">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 xml:space="preserve">III. </w:t>
      </w:r>
      <w:r w:rsidRPr="009E006A">
        <w:rPr>
          <w:rFonts w:ascii="ITC Avant Garde" w:eastAsia="Times New Roman" w:hAnsi="ITC Avant Garde"/>
          <w:b/>
          <w:bCs/>
          <w:i/>
          <w:color w:val="000000"/>
          <w:sz w:val="20"/>
          <w:szCs w:val="20"/>
          <w:lang w:eastAsia="es-MX"/>
        </w:rPr>
        <w:t>No cumplir las obligaciones o condiciones establecidas en la concesión o autorización en las que se establezcan expresamente que su incumplimiento será causa de revocación</w:t>
      </w:r>
      <w:r w:rsidRPr="009E006A">
        <w:rPr>
          <w:rFonts w:ascii="ITC Avant Garde" w:eastAsia="Times New Roman" w:hAnsi="ITC Avant Garde"/>
          <w:bCs/>
          <w:i/>
          <w:color w:val="000000"/>
          <w:sz w:val="20"/>
          <w:szCs w:val="20"/>
          <w:lang w:eastAsia="es-MX"/>
        </w:rPr>
        <w:t>.</w:t>
      </w:r>
    </w:p>
    <w:p w14:paraId="2A7190C2" w14:textId="77777777" w:rsidR="00327D0C" w:rsidRDefault="00CB7F8D" w:rsidP="00327D0C">
      <w:pPr>
        <w:pStyle w:val="Textoindependiente"/>
        <w:spacing w:after="240" w:line="36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14:paraId="4788FE24"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 este respecto, </w:t>
      </w:r>
      <w:r w:rsidR="008B4248">
        <w:rPr>
          <w:rFonts w:ascii="ITC Avant Garde" w:eastAsia="Times New Roman" w:hAnsi="ITC Avant Garde"/>
          <w:bCs/>
          <w:color w:val="000000"/>
          <w:lang w:eastAsia="es-MX"/>
        </w:rPr>
        <w:t xml:space="preserve">conviene </w:t>
      </w:r>
      <w:r>
        <w:rPr>
          <w:rFonts w:ascii="ITC Avant Garde" w:eastAsia="Times New Roman" w:hAnsi="ITC Avant Garde"/>
          <w:bCs/>
          <w:color w:val="000000"/>
          <w:lang w:eastAsia="es-MX"/>
        </w:rPr>
        <w:t xml:space="preserve">precisar que el último párrafo del citado precepto establece que en el supuesto de la causal de revocación prevista en la fracción III antes transcrita, el Instituto procederá de inmediato a la revocación de los respectivos títulos habilitantes sin necesidad de sanción previa, por lo que en tal sentido y una vez desahogado el presente procedimiento, resulta procedente emitir la determinación a que se contrae la resolución de mérito. </w:t>
      </w:r>
    </w:p>
    <w:p w14:paraId="7453D179" w14:textId="77777777" w:rsidR="00327D0C" w:rsidRDefault="00CB7F8D" w:rsidP="00327D0C">
      <w:pPr>
        <w:pStyle w:val="Textoindependiente"/>
        <w:tabs>
          <w:tab w:val="left" w:pos="851"/>
        </w:tabs>
        <w:spacing w:after="24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En virtud de lo anterior, toda vez que </w:t>
      </w:r>
      <w:r w:rsidRPr="008A2C3C">
        <w:rPr>
          <w:rFonts w:ascii="ITC Avant Garde" w:hAnsi="ITC Avant Garde"/>
          <w:b/>
          <w:noProof/>
          <w:color w:val="000000"/>
          <w:lang w:eastAsia="es-MX"/>
        </w:rPr>
        <w:t>"EL PERMISO"</w:t>
      </w:r>
      <w:r>
        <w:rPr>
          <w:rFonts w:ascii="ITC Avant Garde" w:hAnsi="ITC Avant Garde"/>
        </w:rPr>
        <w:t xml:space="preserve"> señala expresamente que la falta de cumplimiento de las obligaciones establecidas en los mismos, incluida la obligación de pago de la cuota anual, ocasionaría la cancelación y/o revocación de las respectivas frecuencias asignadas en dicho documento y toda vez que dicha conducta no fue desvirtuada por </w:t>
      </w:r>
      <w:r w:rsidRPr="008A2C3C">
        <w:rPr>
          <w:rFonts w:ascii="ITC Avant Garde" w:hAnsi="ITC Avant Garde"/>
          <w:b/>
          <w:noProof/>
        </w:rPr>
        <w:t>PORFIRIO TORRES PERALTA</w:t>
      </w:r>
      <w:r>
        <w:rPr>
          <w:rFonts w:ascii="ITC Avant Garde" w:eastAsia="Times New Roman" w:hAnsi="ITC Avant Garde"/>
          <w:b/>
          <w:bCs/>
          <w:color w:val="000000"/>
          <w:lang w:eastAsia="es-MX"/>
        </w:rPr>
        <w:t>,</w:t>
      </w:r>
      <w:r>
        <w:rPr>
          <w:rFonts w:ascii="ITC Avant Garde" w:hAnsi="ITC Avant Garde"/>
        </w:rPr>
        <w:t xml:space="preserve"> se tiene como acreditada la misma y </w:t>
      </w:r>
      <w:r>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lastRenderedPageBreak/>
        <w:t>consecuencia este Órgano Colegiado considera actualizada la hipótesis prevista en</w:t>
      </w:r>
      <w:r w:rsidRPr="008452B5">
        <w:rPr>
          <w:rFonts w:ascii="ITC Avant Garde" w:eastAsia="Times New Roman" w:hAnsi="ITC Avant Garde"/>
          <w:bCs/>
          <w:color w:val="000000"/>
          <w:lang w:eastAsia="es-MX"/>
        </w:rPr>
        <w:t xml:space="preserve"> la fracción III del artículo 303 de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p>
    <w:p w14:paraId="3A50EC3A" w14:textId="77777777" w:rsidR="00327D0C" w:rsidRDefault="00CB7F8D" w:rsidP="00327D0C">
      <w:pPr>
        <w:spacing w:after="240" w:line="360" w:lineRule="auto"/>
        <w:jc w:val="both"/>
        <w:rPr>
          <w:rFonts w:ascii="ITC Avant Garde" w:hAnsi="ITC Avant Garde"/>
        </w:rPr>
      </w:pPr>
      <w:r>
        <w:rPr>
          <w:rFonts w:ascii="ITC Avant Garde" w:hAnsi="ITC Avant Garde"/>
        </w:rPr>
        <w:t>Ahora bien, en relación con las formas de extinción de las concesiones y permisos, cabe señalar que el Poder Judicial de la Federación emitió el siguiente criterio que a su letra señala:</w:t>
      </w:r>
    </w:p>
    <w:p w14:paraId="30822F10" w14:textId="4E980DA9" w:rsidR="00CB7F8D" w:rsidRDefault="00CB7F8D" w:rsidP="00327D0C">
      <w:pPr>
        <w:spacing w:after="240" w:line="360" w:lineRule="auto"/>
        <w:ind w:left="851" w:right="616"/>
        <w:jc w:val="both"/>
        <w:rPr>
          <w:rFonts w:ascii="ITC Avant Garde" w:hAnsi="ITC Avant Garde"/>
          <w:i/>
          <w:sz w:val="20"/>
          <w:szCs w:val="20"/>
        </w:rPr>
      </w:pPr>
      <w:r>
        <w:rPr>
          <w:rFonts w:ascii="ITC Avant Garde" w:hAnsi="ITC Avant Garde"/>
          <w:b/>
          <w:i/>
          <w:sz w:val="20"/>
          <w:szCs w:val="20"/>
        </w:rPr>
        <w:t>CONCESIÓN ADMINISTRATIVA. SUS FORMAS DE EXTINCIÓN.</w:t>
      </w:r>
      <w:r>
        <w:rPr>
          <w:rFonts w:ascii="ITC Avant Garde" w:hAnsi="ITC Avant Garde"/>
          <w:i/>
          <w:sz w:val="20"/>
          <w:szCs w:val="20"/>
        </w:rPr>
        <w:t xml:space="preserve"> Las formas de extinción de la concesión administrativa en materia aduanera no se encuentran previstas en la Ley Aduanera vigente en 1992, por lo que es menester acudir a la doctrina, como elemento de análisis y apoyo para determinarlas. Así, de acuerdo con la doctrina, las concesiones, como todo acto administrativo, tienen una existencia determinada, y por ello pueden concluir de diversas formas, unas de ellas se conocen como formas anticipadas; por su parte, el cumplimiento del plazo es la forma normal de extinción. Entre las primeras se encuentran</w:t>
      </w:r>
      <w:r w:rsidRPr="002F52A4">
        <w:rPr>
          <w:rFonts w:ascii="ITC Avant Garde" w:hAnsi="ITC Avant Garde"/>
          <w:b/>
          <w:i/>
          <w:sz w:val="20"/>
          <w:szCs w:val="20"/>
          <w:u w:val="single"/>
        </w:rPr>
        <w:t xml:space="preserve"> </w:t>
      </w:r>
      <w:r>
        <w:rPr>
          <w:rFonts w:ascii="ITC Avant Garde" w:hAnsi="ITC Avant Garde"/>
          <w:b/>
          <w:i/>
          <w:sz w:val="20"/>
          <w:szCs w:val="20"/>
          <w:u w:val="single"/>
        </w:rPr>
        <w:t>la revocación, que puede emitirse por la autoridad que la otorgó, por razones de oportunidad, en función del interés público, la cual deberá ser plenamente fundada y motivada</w:t>
      </w:r>
      <w:r>
        <w:rPr>
          <w:rFonts w:ascii="ITC Avant Garde" w:hAnsi="ITC Avant Garde"/>
          <w:i/>
          <w:sz w:val="20"/>
          <w:szCs w:val="20"/>
        </w:rPr>
        <w:t xml:space="preserve"> y cubrirse al concesionario los daños y perjuicios que se le causen, excepto cuando la revocación se emitió en virtud de que el acto de concesión está afectado de ilegalidad, lo cual no da lugar a la indemnización del concesionario; la caducidad, que generalmente se establece en el título que la otorga, y señala las causas por las que la autoridad administrativa puede, por sí y ante sí, hacer la declaración, las cuales generalmente consisten en el incumplimiento de obligaciones impuestas al concesionario; el rescate constituye un acto administrativo a través del cual la autoridad concedente extingue anticipadamente una concesión, por razones de interés público, asumiendo, la administración pública, desde ese momento, la explotación de la materia de la concesión, e indemnizando al concesionario por los daños o perjuicios que se le ocasionen con dicha medida; la renuncia, se otorga por la ley al concesionario, para que éste la haga valer cuando ya no desee continuar con la explotación de la materia concesionada; la quiebra, que aunque generalmente no se prevé en la legislación administrativa, por aplicación de las leyes mercantiles, la persona jurídica sujeta a quiebra no puede seguir realizando actos de comercio, por lo que ante la imposibilidad de realización del objeto de la concesión, ésta debe </w:t>
      </w:r>
      <w:r>
        <w:rPr>
          <w:rFonts w:ascii="ITC Avant Garde" w:hAnsi="ITC Avant Garde"/>
          <w:i/>
          <w:sz w:val="20"/>
          <w:szCs w:val="20"/>
        </w:rPr>
        <w:lastRenderedPageBreak/>
        <w:t>concluir, lo cual puede ser establecido en el título de concesión; y, la muerte, en algunos casos, la extinción de la persona jurídica puede dar lugar a la conclusión de la concesión, pero ello no es absoluto, pues la ley puede disponer que sus derechohabientes continúen ejerciéndola. Por otro lado, la forma normal de extinción de la concesión, es la conclusión del plazo. Es decir, el lapso que la autoridad concedente otorgó al concesionario para que éste tuviera derecho a la explotación de la concesión, plazo que puede ser renovado, con lo que se prorroga su existencia, pero en el caso de que la concesión concluya, los bienes afectos al servicio o dedicados a la explotación pasarán sin costo alguno a propiedad del Estado, si en el título de la concesión se estableció el derecho de reversión o si así lo dispone la ley.</w:t>
      </w:r>
    </w:p>
    <w:p w14:paraId="4218B53D" w14:textId="77777777" w:rsidR="00327D0C" w:rsidRDefault="00CB7F8D" w:rsidP="00327D0C">
      <w:pPr>
        <w:spacing w:after="240" w:line="360" w:lineRule="auto"/>
        <w:ind w:left="851" w:right="616"/>
        <w:jc w:val="both"/>
        <w:rPr>
          <w:rFonts w:ascii="ITC Avant Garde" w:hAnsi="ITC Avant Garde"/>
          <w:i/>
          <w:sz w:val="18"/>
          <w:szCs w:val="18"/>
        </w:rPr>
      </w:pPr>
      <w:r w:rsidRPr="004008D9">
        <w:rPr>
          <w:rFonts w:ascii="ITC Avant Garde" w:hAnsi="ITC Avant Garde"/>
          <w:i/>
          <w:sz w:val="18"/>
          <w:szCs w:val="18"/>
        </w:rPr>
        <w:t xml:space="preserve">Época: Novena Época Registro: 179641 Instancia: Tribunales Colegiados de Circuito Tipo de Tesis: Aislada Fuente: Semanario Judicial de la Federación y su Gaceta Tomo XXI, </w:t>
      </w:r>
      <w:proofErr w:type="gramStart"/>
      <w:r w:rsidRPr="004008D9">
        <w:rPr>
          <w:rFonts w:ascii="ITC Avant Garde" w:hAnsi="ITC Avant Garde"/>
          <w:i/>
          <w:sz w:val="18"/>
          <w:szCs w:val="18"/>
        </w:rPr>
        <w:t>Enero</w:t>
      </w:r>
      <w:proofErr w:type="gramEnd"/>
      <w:r w:rsidRPr="004008D9">
        <w:rPr>
          <w:rFonts w:ascii="ITC Avant Garde" w:hAnsi="ITC Avant Garde"/>
          <w:i/>
          <w:sz w:val="18"/>
          <w:szCs w:val="18"/>
        </w:rPr>
        <w:t xml:space="preserve"> de 2005 Materia(s): Administrativa Tesis: IV.2o.A.123 A Página: 1738</w:t>
      </w:r>
    </w:p>
    <w:p w14:paraId="60C5B733" w14:textId="77777777" w:rsidR="00327D0C" w:rsidRDefault="00CB7F8D" w:rsidP="00327D0C">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No pasa desapercibido para esta autoridad el hecho de que si bien es cierto que las respectivas </w:t>
      </w:r>
      <w:r>
        <w:rPr>
          <w:rFonts w:ascii="ITC Avant Garde" w:hAnsi="ITC Avant Garde"/>
        </w:rPr>
        <w:t xml:space="preserve">condiciones de </w:t>
      </w:r>
      <w:r w:rsidRPr="008A2C3C">
        <w:rPr>
          <w:rFonts w:ascii="ITC Avant Garde" w:hAnsi="ITC Avant Garde"/>
          <w:b/>
          <w:noProof/>
        </w:rPr>
        <w:t>"EL PERMISO"</w:t>
      </w:r>
      <w:r>
        <w:rPr>
          <w:rFonts w:ascii="ITC Avant Garde" w:hAnsi="ITC Avant Garde"/>
        </w:rPr>
        <w:t xml:space="preserve"> </w:t>
      </w:r>
      <w:r w:rsidRPr="0004662C">
        <w:rPr>
          <w:rFonts w:ascii="ITC Avant Garde" w:hAnsi="ITC Avant Garde"/>
          <w:noProof/>
          <w:color w:val="000000"/>
          <w:lang w:eastAsia="es-MX"/>
        </w:rPr>
        <w:t>de</w:t>
      </w:r>
      <w:r w:rsidRPr="008A2C3C">
        <w:rPr>
          <w:rFonts w:ascii="ITC Avant Garde" w:hAnsi="ITC Avant Garde"/>
          <w:b/>
          <w:noProof/>
          <w:color w:val="000000"/>
          <w:lang w:eastAsia="es-MX"/>
        </w:rPr>
        <w:t xml:space="preserve"> PORFIRIO TORRES PERALTA</w:t>
      </w:r>
      <w:r>
        <w:rPr>
          <w:rFonts w:ascii="ITC Avant Garde" w:hAnsi="ITC Avant Garde"/>
          <w:b/>
          <w:color w:val="000000"/>
          <w:lang w:eastAsia="es-MX"/>
        </w:rPr>
        <w:t xml:space="preserve"> </w:t>
      </w:r>
      <w:r w:rsidRPr="0019177A">
        <w:rPr>
          <w:rFonts w:ascii="ITC Avant Garde" w:hAnsi="ITC Avant Garde"/>
          <w:color w:val="000000"/>
          <w:lang w:eastAsia="es-MX"/>
        </w:rPr>
        <w:t>prevén</w:t>
      </w:r>
      <w:r>
        <w:rPr>
          <w:rFonts w:ascii="ITC Avant Garde" w:hAnsi="ITC Avant Garde"/>
          <w:b/>
          <w:color w:val="000000"/>
          <w:lang w:eastAsia="es-MX"/>
        </w:rPr>
        <w:t xml:space="preserve"> </w:t>
      </w:r>
      <w:r>
        <w:rPr>
          <w:rFonts w:ascii="ITC Avant Garde" w:hAnsi="ITC Avant Garde"/>
          <w:color w:val="000000"/>
          <w:lang w:eastAsia="es-MX"/>
        </w:rPr>
        <w:t xml:space="preserve">una serie de obligaciones establecidas de conformidad con la entonces Ley de Vías Generales de Comunicación y la anterior Ley Federal de Telecomunicaciones </w:t>
      </w:r>
      <w:r>
        <w:rPr>
          <w:rFonts w:ascii="ITC Avant Garde" w:eastAsia="Times New Roman" w:hAnsi="ITC Avant Garde"/>
          <w:lang w:eastAsia="es-MX"/>
        </w:rPr>
        <w:t xml:space="preserve">y que dichos ordenamientos se encuentran actualmente el primero derogado en lo relativo a la regulación de las telecomunicaciones y el segundo abrogado, también debe señalarse que en la </w:t>
      </w:r>
      <w:r>
        <w:rPr>
          <w:rFonts w:ascii="ITC Avant Garde" w:eastAsia="Times New Roman" w:hAnsi="ITC Avant Garde"/>
          <w:b/>
          <w:lang w:eastAsia="es-MX"/>
        </w:rPr>
        <w:t>“</w:t>
      </w:r>
      <w:proofErr w:type="spellStart"/>
      <w:r>
        <w:rPr>
          <w:rFonts w:ascii="ITC Avant Garde" w:eastAsia="Times New Roman" w:hAnsi="ITC Avant Garde"/>
          <w:b/>
          <w:lang w:eastAsia="es-MX"/>
        </w:rPr>
        <w:t>LFTy</w:t>
      </w:r>
      <w:r w:rsidRPr="00860F5A">
        <w:rPr>
          <w:rFonts w:ascii="ITC Avant Garde" w:eastAsia="Times New Roman" w:hAnsi="ITC Avant Garde"/>
          <w:b/>
          <w:lang w:eastAsia="es-MX"/>
        </w:rPr>
        <w:t>R</w:t>
      </w:r>
      <w:proofErr w:type="spellEnd"/>
      <w:r w:rsidRPr="00860F5A">
        <w:rPr>
          <w:rFonts w:ascii="ITC Avant Garde" w:eastAsia="Times New Roman" w:hAnsi="ITC Avant Garde"/>
          <w:b/>
          <w:lang w:eastAsia="es-MX"/>
        </w:rPr>
        <w:t>”</w:t>
      </w:r>
      <w:r>
        <w:rPr>
          <w:rFonts w:ascii="ITC Avant Garde" w:eastAsia="Times New Roman" w:hAnsi="ITC Avant Garde"/>
          <w:lang w:eastAsia="es-MX"/>
        </w:rPr>
        <w:t xml:space="preserve"> se prevé la misma obligación de pago de derechos por el uso, aprovechamiento o explotación del espectro radioeléctrico, toda vez que en la parte final del artículo 198 de éste último ordenamiento se señala:</w:t>
      </w:r>
    </w:p>
    <w:p w14:paraId="7C725075" w14:textId="77777777" w:rsidR="00327D0C" w:rsidRDefault="00CB7F8D" w:rsidP="00327D0C">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w:t>
      </w:r>
      <w:r w:rsidRPr="00CC62E0">
        <w:rPr>
          <w:rFonts w:ascii="ITC Avant Garde" w:eastAsia="Times New Roman" w:hAnsi="ITC Avant Garde"/>
          <w:b/>
          <w:i/>
          <w:sz w:val="20"/>
          <w:szCs w:val="20"/>
          <w:lang w:eastAsia="es-MX"/>
        </w:rPr>
        <w:t>Artículo 198</w:t>
      </w:r>
      <w:r w:rsidRPr="00CC62E0">
        <w:rPr>
          <w:rFonts w:ascii="ITC Avant Garde" w:eastAsia="Times New Roman" w:hAnsi="ITC Avant Garde"/>
          <w:i/>
          <w:sz w:val="20"/>
          <w:szCs w:val="20"/>
          <w:lang w:eastAsia="es-MX"/>
        </w:rPr>
        <w:t xml:space="preserve">. </w:t>
      </w:r>
      <w:r w:rsidRPr="00CC62E0">
        <w:rPr>
          <w:rFonts w:ascii="ITC Avant Garde" w:eastAsia="Times New Roman" w:hAnsi="ITC Avant Garde"/>
          <w:b/>
          <w:i/>
          <w:sz w:val="20"/>
          <w:szCs w:val="20"/>
          <w:lang w:eastAsia="es-MX"/>
        </w:rPr>
        <w:t>Al término de una concesión, el espectro radioeléctrico que se encontraba concesionado revertirá de pleno derecho al Estado</w:t>
      </w:r>
      <w:r w:rsidRPr="00CC62E0">
        <w:rPr>
          <w:rFonts w:ascii="ITC Avant Garde" w:eastAsia="Times New Roman" w:hAnsi="ITC Avant Garde"/>
          <w:i/>
          <w:sz w:val="20"/>
          <w:szCs w:val="20"/>
          <w:lang w:eastAsia="es-MX"/>
        </w:rPr>
        <w:t xml:space="preserve">, por lo que el Instituto podrá licitarlo o asignarlo de conformidad con lo establecido en esta Ley. Sin perjuicio de lo anterior, con el fin de proteger y salvaguardar los derechos de los usuarios o suscriptores, el Instituto podrá autorizar el uso temporal del espectro radioeléctrico sólo en la cantidad y por el tiempo estrictamente necesarios, para que el entonces concesionario migre a los usuarios o suscriptores hacia otros </w:t>
      </w:r>
      <w:r w:rsidRPr="00CC62E0">
        <w:rPr>
          <w:rFonts w:ascii="ITC Avant Garde" w:eastAsia="Times New Roman" w:hAnsi="ITC Avant Garde"/>
          <w:i/>
          <w:sz w:val="20"/>
          <w:szCs w:val="20"/>
          <w:lang w:eastAsia="es-MX"/>
        </w:rPr>
        <w:lastRenderedPageBreak/>
        <w:t xml:space="preserve">servicios o concesionarios o cumpla con el plazo y los términos bajo los cuales se hubiere obligado con los mismos. </w:t>
      </w:r>
    </w:p>
    <w:p w14:paraId="4911FFFC" w14:textId="77777777" w:rsidR="00327D0C" w:rsidRDefault="00CB7F8D" w:rsidP="00327D0C">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El Instituto fijará, de conformidad con el plan de acción propuesto por el concesionario, la cantidad de espectro radioeléctrico y el tiempo suficiente para cumplir lo anterior, acorde al número de usuarios o suscriptores, tipo y duración de los servicios que hubieren contratado.</w:t>
      </w:r>
    </w:p>
    <w:p w14:paraId="6A087DEF" w14:textId="77777777" w:rsidR="00327D0C" w:rsidRDefault="00CB7F8D" w:rsidP="00327D0C">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Lo mismo aplicará en tratándose de la transición o mejora tecnológica a la que esté posibilitado un concesionario, siempre y cuando cuente con la autorización del Instituto, para lo cual deberá garantizarse que los usuarios o suscriptores de un servicio originalmente prestado, puedan migrar en igualdad de circunstancias a los nuevos servicios.</w:t>
      </w:r>
    </w:p>
    <w:p w14:paraId="31D29173" w14:textId="77777777" w:rsidR="00327D0C" w:rsidRDefault="00CB7F8D" w:rsidP="00327D0C">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b/>
          <w:i/>
          <w:sz w:val="20"/>
          <w:szCs w:val="20"/>
          <w:u w:val="single"/>
          <w:lang w:eastAsia="es-MX"/>
        </w:rPr>
        <w:t>Durante el tiempo que se haga uso, aprovechamiento o explotación del espectro radioeléctrico, al amparo de la autorización referida en este artículo, deberán pagarse las contraprestaciones y los derechos que correspondan</w:t>
      </w:r>
      <w:r w:rsidRPr="00CC62E0">
        <w:rPr>
          <w:rFonts w:ascii="ITC Avant Garde" w:eastAsia="Times New Roman" w:hAnsi="ITC Avant Garde"/>
          <w:i/>
          <w:sz w:val="20"/>
          <w:szCs w:val="20"/>
          <w:lang w:eastAsia="es-MX"/>
        </w:rPr>
        <w:t>.”</w:t>
      </w:r>
    </w:p>
    <w:p w14:paraId="45FDDEA4" w14:textId="2F60DB87" w:rsidR="00327D0C" w:rsidRDefault="00CB7F8D" w:rsidP="00327D0C">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virtud de lo anterior, se considera que la conducta que se estima incumplida se encuentra tipificada como obligación en ambos ordenamientos, y que la consecuencia de su incumplimiento es similar, ya que en el documento original se señala que el incumplimiento a sus condiciones (entre ellas la falta de pago de la cuota anual) ocasionará la revocación de </w:t>
      </w:r>
      <w:r w:rsidRPr="008A2C3C">
        <w:rPr>
          <w:rFonts w:ascii="ITC Avant Garde" w:eastAsia="Times New Roman" w:hAnsi="ITC Avant Garde"/>
          <w:b/>
          <w:noProof/>
          <w:lang w:eastAsia="es-MX"/>
        </w:rPr>
        <w:t>"EL PERMISO"</w:t>
      </w:r>
      <w:r>
        <w:rPr>
          <w:rFonts w:ascii="ITC Avant Garde" w:eastAsia="Times New Roman" w:hAnsi="ITC Avant Garde"/>
          <w:lang w:eastAsia="es-MX"/>
        </w:rPr>
        <w:t xml:space="preserve">, tal sanción es la misma a la que se refiere la </w:t>
      </w:r>
      <w:r>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Pr>
          <w:rFonts w:ascii="ITC Avant Garde" w:eastAsia="Times New Roman" w:hAnsi="ITC Avant Garde"/>
          <w:b/>
          <w:lang w:eastAsia="es-MX"/>
        </w:rPr>
        <w:t>”</w:t>
      </w:r>
      <w:r>
        <w:rPr>
          <w:rFonts w:ascii="ITC Avant Garde" w:eastAsia="Times New Roman" w:hAnsi="ITC Avant Garde"/>
          <w:lang w:eastAsia="es-MX"/>
        </w:rPr>
        <w:t xml:space="preserve"> y en ambos casos la consecuencia final es la reversión de la frecuencia al dominio de la Nación, y en tal sentido, se considera que existe la traslación del tipo entre ambos ordenamientos</w:t>
      </w:r>
      <w:r w:rsidRPr="00547CB9">
        <w:rPr>
          <w:rFonts w:ascii="ITC Avant Garde" w:eastAsia="Times New Roman" w:hAnsi="ITC Avant Garde"/>
          <w:lang w:eastAsia="es-MX"/>
        </w:rPr>
        <w:t>.</w:t>
      </w:r>
    </w:p>
    <w:p w14:paraId="0BAC240F" w14:textId="77777777" w:rsidR="00327D0C" w:rsidRDefault="00CB7F8D" w:rsidP="00327D0C">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Sirve para ilustrar lo anterior, la siguiente tesis que a su letra señala:</w:t>
      </w:r>
    </w:p>
    <w:p w14:paraId="4720A2EC" w14:textId="77777777" w:rsidR="00327D0C" w:rsidRDefault="00CB7F8D" w:rsidP="00327D0C">
      <w:pPr>
        <w:spacing w:after="240" w:line="360" w:lineRule="auto"/>
        <w:ind w:left="851" w:right="567"/>
        <w:jc w:val="both"/>
        <w:rPr>
          <w:rFonts w:ascii="ITC Avant Garde" w:eastAsia="Times New Roman" w:hAnsi="ITC Avant Garde"/>
          <w:i/>
          <w:sz w:val="20"/>
          <w:szCs w:val="20"/>
          <w:lang w:eastAsia="es-MX"/>
        </w:rPr>
      </w:pPr>
      <w:r w:rsidRPr="004429EA">
        <w:rPr>
          <w:rFonts w:ascii="ITC Avant Garde" w:eastAsia="Times New Roman" w:hAnsi="ITC Avant Garde"/>
          <w:b/>
          <w:i/>
          <w:sz w:val="20"/>
          <w:szCs w:val="20"/>
          <w:lang w:eastAsia="es-MX"/>
        </w:rPr>
        <w:t xml:space="preserve">TRASLACIÓN DEL TIPO Y ADECUACIÓN DE LA PENA. PARA DETERMINAR SI PROCEDE Y EN ACATAMIENTO AL PRINCIPIO DE EXACTA APLICACIÓN DE LA LEY PENAL, LA AUTORIDAD DEBE LIMITARSE A VERIFICAR SI LOS ELEMENTOS DEL DELITO POR EL QUE SE CONDENÓ AL SENTENCIADO, CONFORME A SU TIPIFICACIÓN ABROGADA, CONTINÚAN SIENDO LOS MISMOS EN LA LEGISLACIÓN ACTUAL, SIN ANALIZAR NUEVAMENTE LOS HECHOS PARA ACREDITAR UNA MODIFICATIVA AGRAVANTE NO </w:t>
      </w:r>
      <w:r w:rsidRPr="004429EA">
        <w:rPr>
          <w:rFonts w:ascii="ITC Avant Garde" w:eastAsia="Times New Roman" w:hAnsi="ITC Avant Garde"/>
          <w:b/>
          <w:i/>
          <w:sz w:val="20"/>
          <w:szCs w:val="20"/>
          <w:lang w:eastAsia="es-MX"/>
        </w:rPr>
        <w:lastRenderedPageBreak/>
        <w:t>CONSIDERADA EN LA SENTENCIA DEFINITIVA.</w:t>
      </w:r>
      <w:r w:rsidRPr="004429EA">
        <w:rPr>
          <w:rFonts w:ascii="ITC Avant Garde" w:eastAsia="Times New Roman" w:hAnsi="ITC Avant Garde"/>
          <w:i/>
          <w:sz w:val="20"/>
          <w:szCs w:val="20"/>
          <w:lang w:eastAsia="es-MX"/>
        </w:rPr>
        <w:t xml:space="preserve">  En la jurisprudencia 1a./J. 4/2013 (9a.) de la Primera Sala de la Suprema Corte de Justicia de la Nación, publicada en el Semanario Judicial de la Federación y su Gaceta, Décima Época, Libro XVIII, Tomo 1, marzo de 2013, página 413, de rubro: "TRASLACIÓN DEL TIPO Y ADECUACIÓN DE LA PENA. CONSTITUYEN UN DERECHO DEL GOBERNADO PROTEGIDO CONSTITUCIONALMENTE.", se consideró que </w:t>
      </w:r>
      <w:r w:rsidRPr="004429EA">
        <w:rPr>
          <w:rFonts w:ascii="ITC Avant Garde" w:eastAsia="Times New Roman" w:hAnsi="ITC Avant Garde"/>
          <w:b/>
          <w:i/>
          <w:sz w:val="20"/>
          <w:szCs w:val="20"/>
          <w:u w:val="single"/>
          <w:lang w:eastAsia="es-MX"/>
        </w:rPr>
        <w:t>para determinar si procede efectuar la traslación del tipo y la adecuación de la pena, es necesario que la autoridad precise si la conducta estimada como delictiva, conforme a la legislación punitiva vigente en la fecha de su comisión, continúa siéndolo en términos del nuevo ordenamiento, esto es, deberán analizarse los elementos que se tomarán en cuenta para la configuración del ilícito conforme a su tipificación abrogada frente a la nueva legislación para concluir si se mantienen los elementos de la descripción típica del delito</w:t>
      </w:r>
      <w:r w:rsidRPr="004429EA">
        <w:rPr>
          <w:rFonts w:ascii="ITC Avant Garde" w:eastAsia="Times New Roman" w:hAnsi="ITC Avant Garde"/>
          <w:i/>
          <w:sz w:val="20"/>
          <w:szCs w:val="20"/>
          <w:lang w:eastAsia="es-MX"/>
        </w:rPr>
        <w:t xml:space="preserve"> y, en su caso, aplicar la sanción más favorable al sentenciado. De esta manera, en acatamiento al principio de exacta aplicación de la ley penal, al resolver sobre tal petición, la autoridad no debe analizar nuevamente los hechos y sostener la acreditación de modificativas agravantes no consideradas en la sentencia definitiva, sino que </w:t>
      </w:r>
      <w:r w:rsidRPr="004429EA">
        <w:rPr>
          <w:rFonts w:ascii="ITC Avant Garde" w:eastAsia="Times New Roman" w:hAnsi="ITC Avant Garde"/>
          <w:b/>
          <w:i/>
          <w:sz w:val="20"/>
          <w:szCs w:val="20"/>
          <w:u w:val="single"/>
          <w:lang w:eastAsia="es-MX"/>
        </w:rPr>
        <w:t>debe limitarse a verificar si los elementos del delito por el que se condenó al sentenciado, conforme a su tipificación abrogada, continúan siendo los mismos en la legislación actual;</w:t>
      </w:r>
      <w:r w:rsidRPr="004429EA">
        <w:rPr>
          <w:rFonts w:ascii="ITC Avant Garde" w:eastAsia="Times New Roman" w:hAnsi="ITC Avant Garde"/>
          <w:i/>
          <w:sz w:val="20"/>
          <w:szCs w:val="20"/>
          <w:lang w:eastAsia="es-MX"/>
        </w:rPr>
        <w:t xml:space="preserve"> y, si lo son, aplicarle la sanción más favorable absteniéndose de calificar nuevamente los hechos, ya que no sería razonable que se realizara una diversa valoración de pruebas para demostrar si se acreditó o no una modificativa agravante, y si éstas formaron parte del pliego de acusación, pues sería ilegal que la autoridad jurisdiccional las tuviera por demostradas, cuando ni siquiera existió pedimento ministerial.</w:t>
      </w:r>
    </w:p>
    <w:p w14:paraId="705519BB" w14:textId="77777777" w:rsidR="00327D0C" w:rsidRDefault="00CB7F8D" w:rsidP="00327D0C">
      <w:pPr>
        <w:spacing w:after="240" w:line="360" w:lineRule="auto"/>
        <w:ind w:left="851" w:right="567"/>
        <w:jc w:val="both"/>
        <w:rPr>
          <w:rFonts w:ascii="ITC Avant Garde" w:eastAsia="Times New Roman" w:hAnsi="ITC Avant Garde"/>
          <w:i/>
          <w:sz w:val="18"/>
          <w:szCs w:val="18"/>
          <w:lang w:eastAsia="es-MX"/>
        </w:rPr>
      </w:pPr>
      <w:r w:rsidRPr="004008D9">
        <w:rPr>
          <w:rFonts w:ascii="ITC Avant Garde" w:eastAsia="Times New Roman" w:hAnsi="ITC Avant Garde"/>
          <w:i/>
          <w:sz w:val="18"/>
          <w:szCs w:val="18"/>
          <w:lang w:eastAsia="es-MX"/>
        </w:rPr>
        <w:t xml:space="preserve">Época: Décima Época Registro: </w:t>
      </w:r>
      <w:proofErr w:type="gramStart"/>
      <w:r w:rsidRPr="004008D9">
        <w:rPr>
          <w:rFonts w:ascii="ITC Avant Garde" w:eastAsia="Times New Roman" w:hAnsi="ITC Avant Garde"/>
          <w:i/>
          <w:sz w:val="18"/>
          <w:szCs w:val="18"/>
          <w:lang w:eastAsia="es-MX"/>
        </w:rPr>
        <w:t>2004129  Instancia</w:t>
      </w:r>
      <w:proofErr w:type="gramEnd"/>
      <w:r w:rsidRPr="004008D9">
        <w:rPr>
          <w:rFonts w:ascii="ITC Avant Garde" w:eastAsia="Times New Roman" w:hAnsi="ITC Avant Garde"/>
          <w:i/>
          <w:sz w:val="18"/>
          <w:szCs w:val="18"/>
          <w:lang w:eastAsia="es-MX"/>
        </w:rPr>
        <w:t>: Tribunales Colegiados de Circuito  Tipo de Tesis: Aislada  Fuente: Semanario Judicial de la Federación y su Gaceta  Libro XXII, Julio de 2013, Tomo 2  Materia(s): Penal  Tesis: II.2o.P.28 P (10a.) Página: 1603</w:t>
      </w:r>
    </w:p>
    <w:p w14:paraId="3934CCBA" w14:textId="77777777" w:rsidR="00327D0C" w:rsidRDefault="00CB7F8D" w:rsidP="00327D0C">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 xml:space="preserve">En virtud de lo anterior, </w:t>
      </w:r>
      <w:r w:rsidRPr="008452B5">
        <w:rPr>
          <w:rFonts w:ascii="ITC Avant Garde" w:eastAsia="Times New Roman" w:hAnsi="ITC Avant Garde"/>
          <w:lang w:eastAsia="es-MX"/>
        </w:rPr>
        <w:t>por la</w:t>
      </w:r>
      <w:r>
        <w:rPr>
          <w:rFonts w:ascii="ITC Avant Garde" w:eastAsia="Times New Roman" w:hAnsi="ITC Avant Garde"/>
          <w:lang w:eastAsia="es-MX"/>
        </w:rPr>
        <w:t>s</w:t>
      </w:r>
      <w:r w:rsidRPr="008452B5">
        <w:rPr>
          <w:rFonts w:ascii="ITC Avant Garde" w:eastAsia="Times New Roman" w:hAnsi="ITC Avant Garde"/>
          <w:lang w:eastAsia="es-MX"/>
        </w:rPr>
        <w:t xml:space="preserve"> consideraciones que han sido expuestas, procede declarar la revocación de</w:t>
      </w:r>
      <w:r>
        <w:rPr>
          <w:rFonts w:ascii="ITC Avant Garde" w:eastAsia="Times New Roman" w:hAnsi="ITC Avant Garde"/>
          <w:lang w:eastAsia="es-MX"/>
        </w:rPr>
        <w:t>l</w:t>
      </w:r>
      <w:r w:rsidRPr="00103AA9">
        <w:rPr>
          <w:rFonts w:ascii="ITC Avant Garde" w:hAnsi="ITC Avant Garde"/>
          <w:b/>
          <w:color w:val="000000"/>
          <w:lang w:eastAsia="es-MX"/>
        </w:rPr>
        <w:t xml:space="preserve"> </w:t>
      </w:r>
      <w:r w:rsidRPr="008A2C3C">
        <w:rPr>
          <w:rFonts w:ascii="ITC Avant Garde" w:hAnsi="ITC Avant Garde"/>
          <w:b/>
          <w:noProof/>
          <w:color w:val="000000"/>
          <w:lang w:eastAsia="es-MX"/>
        </w:rPr>
        <w:t>permiso para instalar y operar un sistema de radiocomunicación privada</w:t>
      </w:r>
      <w:r>
        <w:rPr>
          <w:rFonts w:ascii="ITC Avant Garde" w:eastAsia="Times New Roman" w:hAnsi="ITC Avant Garde"/>
          <w:bCs/>
          <w:color w:val="000000"/>
          <w:lang w:eastAsia="es-MX"/>
        </w:rPr>
        <w:t xml:space="preserve"> otorgado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PORFIRIO TORRES PERALTA</w:t>
      </w:r>
      <w:r>
        <w:rPr>
          <w:rFonts w:ascii="ITC Avant Garde" w:eastAsia="Times New Roman" w:hAnsi="ITC Avant Garde"/>
          <w:bCs/>
          <w:color w:val="000000"/>
          <w:lang w:eastAsia="es-MX"/>
        </w:rPr>
        <w:t xml:space="preserve"> por el Gobierno Federal a través de la Secretaría de Comunicaciones y Transportes el </w:t>
      </w:r>
      <w:r w:rsidRPr="008A2C3C">
        <w:rPr>
          <w:rFonts w:ascii="ITC Avant Garde" w:eastAsia="Times New Roman" w:hAnsi="ITC Avant Garde"/>
          <w:bCs/>
          <w:noProof/>
          <w:color w:val="000000"/>
          <w:lang w:eastAsia="es-MX"/>
        </w:rPr>
        <w:t>veinte de junio de mil novecientos noventa y uno</w:t>
      </w:r>
      <w:r>
        <w:rPr>
          <w:rFonts w:ascii="ITC Avant Garde" w:eastAsia="Times New Roman" w:hAnsi="ITC Avant Garde"/>
          <w:bCs/>
          <w:color w:val="000000"/>
          <w:lang w:eastAsia="es-MX"/>
        </w:rPr>
        <w:t>.</w:t>
      </w:r>
    </w:p>
    <w:p w14:paraId="1C17DE35" w14:textId="77777777" w:rsidR="00327D0C" w:rsidRDefault="00CB7F8D" w:rsidP="00327D0C">
      <w:pPr>
        <w:spacing w:after="240" w:line="360" w:lineRule="auto"/>
        <w:jc w:val="both"/>
        <w:rPr>
          <w:rFonts w:ascii="ITC Avant Garde" w:hAnsi="ITC Avant Garde"/>
          <w:b/>
        </w:rPr>
      </w:pPr>
      <w:r>
        <w:rPr>
          <w:rFonts w:ascii="ITC Avant Garde" w:hAnsi="ITC Avant Garde"/>
          <w:b/>
        </w:rPr>
        <w:lastRenderedPageBreak/>
        <w:t>OCTAVO</w:t>
      </w:r>
      <w:r w:rsidRPr="00F67360">
        <w:rPr>
          <w:rFonts w:ascii="ITC Avant Garde" w:hAnsi="ITC Avant Garde"/>
          <w:b/>
        </w:rPr>
        <w:t xml:space="preserve">. </w:t>
      </w:r>
      <w:r>
        <w:rPr>
          <w:rFonts w:ascii="ITC Avant Garde" w:hAnsi="ITC Avant Garde"/>
          <w:b/>
          <w:smallCaps/>
        </w:rPr>
        <w:t xml:space="preserve">Efectos </w:t>
      </w:r>
      <w:r w:rsidRPr="00F67360">
        <w:rPr>
          <w:rFonts w:ascii="ITC Avant Garde" w:hAnsi="ITC Avant Garde"/>
          <w:b/>
          <w:smallCaps/>
        </w:rPr>
        <w:t>de la revocación</w:t>
      </w:r>
      <w:r w:rsidRPr="00F67360">
        <w:rPr>
          <w:rFonts w:ascii="ITC Avant Garde" w:hAnsi="ITC Avant Garde"/>
          <w:b/>
        </w:rPr>
        <w:t>.</w:t>
      </w:r>
    </w:p>
    <w:p w14:paraId="56132685" w14:textId="77777777" w:rsidR="00327D0C" w:rsidRDefault="00CB7F8D" w:rsidP="00327D0C">
      <w:pPr>
        <w:spacing w:after="240" w:line="360" w:lineRule="auto"/>
        <w:jc w:val="both"/>
        <w:rPr>
          <w:rFonts w:ascii="ITC Avant Garde" w:hAnsi="ITC Avant Garde"/>
        </w:rPr>
      </w:pPr>
      <w:r>
        <w:rPr>
          <w:rFonts w:ascii="ITC Avant Garde" w:eastAsia="Times New Roman" w:hAnsi="ITC Avant Garde"/>
          <w:lang w:eastAsia="es-MX"/>
        </w:rPr>
        <w:t>E</w:t>
      </w:r>
      <w:r w:rsidRPr="008452B5">
        <w:rPr>
          <w:rFonts w:ascii="ITC Avant Garde" w:eastAsia="Times New Roman" w:hAnsi="ITC Avant Garde"/>
          <w:lang w:eastAsia="es-MX"/>
        </w:rPr>
        <w:t>l artículo 304 de</w:t>
      </w:r>
      <w:r>
        <w:rPr>
          <w:rFonts w:ascii="ITC Avant Garde" w:eastAsia="Times New Roman" w:hAnsi="ITC Avant Garde"/>
          <w:lang w:eastAsia="es-MX"/>
        </w:rPr>
        <w:t xml:space="preserve"> la </w:t>
      </w:r>
      <w:r w:rsidRPr="00860F5A">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sidRPr="00860F5A">
        <w:rPr>
          <w:rFonts w:ascii="ITC Avant Garde" w:eastAsia="Times New Roman" w:hAnsi="ITC Avant Garde"/>
          <w:b/>
          <w:lang w:eastAsia="es-MX"/>
        </w:rPr>
        <w:t>”</w:t>
      </w:r>
      <w:r w:rsidRPr="008452B5">
        <w:rPr>
          <w:rFonts w:ascii="ITC Avant Garde" w:eastAsia="Times New Roman" w:hAnsi="ITC Avant Garde"/>
          <w:lang w:eastAsia="es-MX"/>
        </w:rPr>
        <w:t xml:space="preserve">, establece que el titular de una concesión o autorización que hubiere sido revocada, estará inhabilitado para obtener, por sí o a través de otra persona, nuevas concesiones o autorizaciones de las previstas en </w:t>
      </w:r>
      <w:r>
        <w:rPr>
          <w:rFonts w:ascii="ITC Avant Garde" w:eastAsia="Times New Roman" w:hAnsi="ITC Avant Garde"/>
          <w:lang w:eastAsia="es-MX"/>
        </w:rPr>
        <w:t>esa</w:t>
      </w:r>
      <w:r w:rsidRPr="008452B5">
        <w:rPr>
          <w:rFonts w:ascii="ITC Avant Garde" w:eastAsia="Times New Roman" w:hAnsi="ITC Avant Garde"/>
          <w:lang w:eastAsia="es-MX"/>
        </w:rPr>
        <w:t xml:space="preserve"> Ley por un plazo de </w:t>
      </w:r>
      <w:r w:rsidRPr="008452B5">
        <w:rPr>
          <w:rFonts w:ascii="ITC Avant Garde" w:eastAsia="Times New Roman" w:hAnsi="ITC Avant Garde"/>
          <w:b/>
          <w:u w:val="single"/>
          <w:lang w:eastAsia="es-MX"/>
        </w:rPr>
        <w:t>cinco años</w:t>
      </w:r>
      <w:r w:rsidRPr="008452B5">
        <w:rPr>
          <w:rFonts w:ascii="ITC Avant Garde" w:eastAsia="Times New Roman" w:hAnsi="ITC Avant Garde"/>
          <w:lang w:eastAsia="es-MX"/>
        </w:rPr>
        <w:t xml:space="preserve"> contados a partir de que hubiere quedado</w:t>
      </w:r>
      <w:r>
        <w:rPr>
          <w:rFonts w:ascii="ITC Avant Garde" w:eastAsia="Times New Roman" w:hAnsi="ITC Avant Garde"/>
          <w:lang w:eastAsia="es-MX"/>
        </w:rPr>
        <w:t xml:space="preserve"> firme la resolución respectiva; por tanto, al haber sido revocado </w:t>
      </w:r>
      <w:r w:rsidRPr="008A2C3C">
        <w:rPr>
          <w:rFonts w:ascii="ITC Avant Garde" w:hAnsi="ITC Avant Garde"/>
          <w:b/>
          <w:noProof/>
          <w:color w:val="000000"/>
          <w:lang w:eastAsia="es-MX"/>
        </w:rPr>
        <w:t>"EL PERMISO"</w:t>
      </w:r>
      <w:r w:rsidRPr="00804223">
        <w:rPr>
          <w:rFonts w:ascii="ITC Avant Garde" w:hAnsi="ITC Avant Garde"/>
          <w:color w:val="000000"/>
          <w:lang w:eastAsia="es-MX"/>
        </w:rPr>
        <w:t xml:space="preserve"> precisado, </w:t>
      </w:r>
      <w:r>
        <w:rPr>
          <w:rFonts w:ascii="ITC Avant Garde" w:eastAsia="Times New Roman" w:hAnsi="ITC Avant Garde"/>
          <w:lang w:eastAsia="es-MX"/>
        </w:rPr>
        <w:t xml:space="preserve">dicha persona, </w:t>
      </w:r>
      <w:r>
        <w:rPr>
          <w:rFonts w:ascii="ITC Avant Garde" w:hAnsi="ITC Avant Garde"/>
        </w:rPr>
        <w:t>queda inhabilitada por el plazo antes señalado</w:t>
      </w:r>
      <w:r w:rsidRPr="00C11776">
        <w:rPr>
          <w:rFonts w:ascii="ITC Avant Garde" w:hAnsi="ITC Avant Garde"/>
        </w:rPr>
        <w:t xml:space="preserve"> </w:t>
      </w:r>
      <w:r w:rsidRPr="008452B5">
        <w:rPr>
          <w:rFonts w:ascii="ITC Avant Garde" w:hAnsi="ITC Avant Garde"/>
        </w:rPr>
        <w:t>para obtener</w:t>
      </w:r>
      <w:r w:rsidRPr="00384E2D">
        <w:rPr>
          <w:rFonts w:ascii="ITC Avant Garde" w:hAnsi="ITC Avant Garde"/>
        </w:rPr>
        <w:t xml:space="preserve"> </w:t>
      </w:r>
      <w:r w:rsidRPr="008452B5">
        <w:rPr>
          <w:rFonts w:ascii="ITC Avant Garde" w:hAnsi="ITC Avant Garde"/>
        </w:rPr>
        <w:t>nuevas concesiones o autorizaciones, por sí o a través de otra</w:t>
      </w:r>
      <w:r>
        <w:rPr>
          <w:rFonts w:ascii="ITC Avant Garde" w:hAnsi="ITC Avant Garde"/>
        </w:rPr>
        <w:t>s</w:t>
      </w:r>
      <w:r w:rsidRPr="008452B5">
        <w:rPr>
          <w:rFonts w:ascii="ITC Avant Garde" w:hAnsi="ITC Avant Garde"/>
        </w:rPr>
        <w:t xml:space="preserve"> persona</w:t>
      </w:r>
      <w:r>
        <w:rPr>
          <w:rFonts w:ascii="ITC Avant Garde" w:hAnsi="ITC Avant Garde"/>
        </w:rPr>
        <w:t>s, plazo que computará</w:t>
      </w:r>
      <w:r w:rsidRPr="008452B5">
        <w:rPr>
          <w:rFonts w:ascii="ITC Avant Garde" w:hAnsi="ITC Avant Garde"/>
        </w:rPr>
        <w:t xml:space="preserve"> a partir de que haya quedado firme la presente resolución</w:t>
      </w:r>
      <w:r>
        <w:rPr>
          <w:rFonts w:ascii="ITC Avant Garde" w:hAnsi="ITC Avant Garde"/>
        </w:rPr>
        <w:t>.</w:t>
      </w:r>
    </w:p>
    <w:p w14:paraId="68F58958" w14:textId="77777777" w:rsidR="00327D0C" w:rsidRDefault="00CB7F8D" w:rsidP="00327D0C">
      <w:pPr>
        <w:spacing w:after="240" w:line="360" w:lineRule="auto"/>
        <w:jc w:val="both"/>
        <w:rPr>
          <w:rFonts w:ascii="ITC Avant Garde" w:hAnsi="ITC Avant Garde"/>
          <w:bCs/>
          <w:color w:val="000000"/>
          <w:lang w:eastAsia="es-MX"/>
        </w:rPr>
      </w:pPr>
      <w:r>
        <w:rPr>
          <w:rFonts w:ascii="ITC Avant Garde" w:hAnsi="ITC Avant Garde"/>
          <w:lang w:eastAsia="es-MX"/>
        </w:rPr>
        <w:t xml:space="preserve">Por su parte, los artículos 115, fracción III y </w:t>
      </w:r>
      <w:r>
        <w:rPr>
          <w:rFonts w:ascii="ITC Avant Garde" w:hAnsi="ITC Avant Garde"/>
          <w:color w:val="000000"/>
          <w:lang w:eastAsia="es-MX"/>
        </w:rPr>
        <w:t xml:space="preserve">116 primer párrafo de la </w:t>
      </w:r>
      <w:r>
        <w:rPr>
          <w:rFonts w:ascii="ITC Avant Garde" w:hAnsi="ITC Avant Garde"/>
          <w:b/>
          <w:bCs/>
          <w:color w:val="000000"/>
          <w:lang w:eastAsia="es-MX"/>
        </w:rPr>
        <w:t>“</w:t>
      </w:r>
      <w:proofErr w:type="spellStart"/>
      <w:r>
        <w:rPr>
          <w:rFonts w:ascii="ITC Avant Garde" w:hAnsi="ITC Avant Garde"/>
          <w:b/>
          <w:bCs/>
          <w:color w:val="000000"/>
          <w:lang w:eastAsia="es-MX"/>
        </w:rPr>
        <w:t>LFTy</w:t>
      </w:r>
      <w:r w:rsidRPr="00860F5A">
        <w:rPr>
          <w:rFonts w:ascii="ITC Avant Garde" w:hAnsi="ITC Avant Garde"/>
          <w:b/>
          <w:bCs/>
          <w:color w:val="000000"/>
          <w:lang w:eastAsia="es-MX"/>
        </w:rPr>
        <w:t>R</w:t>
      </w:r>
      <w:proofErr w:type="spellEnd"/>
      <w:r w:rsidRPr="00860F5A">
        <w:rPr>
          <w:rFonts w:ascii="ITC Avant Garde" w:hAnsi="ITC Avant Garde"/>
          <w:b/>
          <w:bCs/>
          <w:color w:val="000000"/>
          <w:lang w:eastAsia="es-MX"/>
        </w:rPr>
        <w:t>”</w:t>
      </w:r>
      <w:r w:rsidRPr="0019177A">
        <w:rPr>
          <w:rFonts w:ascii="ITC Avant Garde" w:hAnsi="ITC Avant Garde"/>
          <w:bCs/>
          <w:color w:val="000000"/>
          <w:lang w:eastAsia="es-MX"/>
        </w:rPr>
        <w:t xml:space="preserve">, </w:t>
      </w:r>
      <w:r>
        <w:rPr>
          <w:rFonts w:ascii="ITC Avant Garde" w:hAnsi="ITC Avant Garde"/>
          <w:bCs/>
          <w:color w:val="000000"/>
          <w:lang w:eastAsia="es-MX"/>
        </w:rPr>
        <w:t xml:space="preserve">a la letra </w:t>
      </w:r>
      <w:r w:rsidRPr="0019177A">
        <w:rPr>
          <w:rFonts w:ascii="ITC Avant Garde" w:hAnsi="ITC Avant Garde"/>
          <w:bCs/>
          <w:color w:val="000000"/>
          <w:lang w:eastAsia="es-MX"/>
        </w:rPr>
        <w:t>señala</w:t>
      </w:r>
      <w:r>
        <w:rPr>
          <w:rFonts w:ascii="ITC Avant Garde" w:hAnsi="ITC Avant Garde"/>
          <w:bCs/>
          <w:color w:val="000000"/>
          <w:lang w:eastAsia="es-MX"/>
        </w:rPr>
        <w:t>n</w:t>
      </w:r>
      <w:r w:rsidRPr="0019177A">
        <w:rPr>
          <w:rFonts w:ascii="ITC Avant Garde" w:hAnsi="ITC Avant Garde"/>
          <w:bCs/>
          <w:color w:val="000000"/>
          <w:lang w:eastAsia="es-MX"/>
        </w:rPr>
        <w:t>:</w:t>
      </w:r>
    </w:p>
    <w:p w14:paraId="30822F2D" w14:textId="37B9AB83" w:rsidR="00CB7F8D" w:rsidRPr="0019177A"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115. Las concesiones terminan por</w:t>
      </w:r>
      <w:r w:rsidRPr="0019177A">
        <w:rPr>
          <w:rFonts w:ascii="ITC Avant Garde" w:hAnsi="ITC Avant Garde"/>
          <w:bCs/>
          <w:i/>
          <w:color w:val="000000"/>
          <w:sz w:val="20"/>
          <w:szCs w:val="20"/>
          <w:lang w:eastAsia="es-MX"/>
        </w:rPr>
        <w:t>:</w:t>
      </w:r>
    </w:p>
    <w:p w14:paraId="30822F2E" w14:textId="77777777" w:rsidR="00CB7F8D" w:rsidRPr="0019177A"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 Vencimiento del plazo de la concesión, salvo prórroga de la misma;</w:t>
      </w:r>
    </w:p>
    <w:p w14:paraId="30822F2F" w14:textId="77777777" w:rsidR="00CB7F8D" w:rsidRPr="0019177A"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II. Renuncia del concesionario;</w:t>
      </w:r>
    </w:p>
    <w:p w14:paraId="30822F30" w14:textId="77777777" w:rsidR="00CB7F8D" w:rsidRPr="0019177A" w:rsidRDefault="00CB7F8D" w:rsidP="00327D0C">
      <w:pPr>
        <w:spacing w:after="240" w:line="360" w:lineRule="auto"/>
        <w:ind w:left="851" w:right="618"/>
        <w:jc w:val="both"/>
        <w:rPr>
          <w:rFonts w:ascii="ITC Avant Garde" w:hAnsi="ITC Avant Garde"/>
          <w:b/>
          <w:bCs/>
          <w:i/>
          <w:color w:val="000000"/>
          <w:sz w:val="20"/>
          <w:szCs w:val="20"/>
          <w:lang w:eastAsia="es-MX"/>
        </w:rPr>
      </w:pPr>
      <w:r w:rsidRPr="0019177A">
        <w:rPr>
          <w:rFonts w:ascii="ITC Avant Garde" w:hAnsi="ITC Avant Garde"/>
          <w:b/>
          <w:bCs/>
          <w:i/>
          <w:color w:val="000000"/>
          <w:sz w:val="20"/>
          <w:szCs w:val="20"/>
          <w:lang w:eastAsia="es-MX"/>
        </w:rPr>
        <w:t>III. Revocación;</w:t>
      </w:r>
    </w:p>
    <w:p w14:paraId="30822F31" w14:textId="77777777" w:rsidR="00CB7F8D" w:rsidRPr="0019177A"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IV. Rescate, o</w:t>
      </w:r>
    </w:p>
    <w:p w14:paraId="30822F32" w14:textId="77777777" w:rsidR="00CB7F8D" w:rsidRPr="0019177A"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V. Disolución o quiebra del concesionario.</w:t>
      </w:r>
    </w:p>
    <w:p w14:paraId="3909B42C" w14:textId="77777777" w:rsidR="00327D0C"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La terminación de la concesión no extingue las obligaciones contraídas por el concesionario durante su</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vigencia.</w:t>
      </w:r>
    </w:p>
    <w:p w14:paraId="2F295238" w14:textId="77777777" w:rsidR="00327D0C"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116</w:t>
      </w:r>
      <w:r w:rsidRPr="0019177A">
        <w:rPr>
          <w:rFonts w:ascii="ITC Avant Garde" w:hAnsi="ITC Avant Garde"/>
          <w:bCs/>
          <w:i/>
          <w:color w:val="000000"/>
          <w:sz w:val="20"/>
          <w:szCs w:val="20"/>
          <w:lang w:eastAsia="es-MX"/>
        </w:rPr>
        <w:t xml:space="preserve">. </w:t>
      </w:r>
      <w:r w:rsidRPr="0019177A">
        <w:rPr>
          <w:rFonts w:ascii="ITC Avant Garde" w:hAnsi="ITC Avant Garde"/>
          <w:b/>
          <w:bCs/>
          <w:i/>
          <w:color w:val="000000"/>
          <w:sz w:val="20"/>
          <w:szCs w:val="20"/>
          <w:u w:val="single"/>
          <w:lang w:eastAsia="es-MX"/>
        </w:rPr>
        <w:t>Al término de la concesión revertirán a la Nación las bandas de frecuencias</w:t>
      </w:r>
      <w:r w:rsidRPr="0019177A">
        <w:rPr>
          <w:rFonts w:ascii="ITC Avant Garde" w:hAnsi="ITC Avant Garde"/>
          <w:bCs/>
          <w:i/>
          <w:color w:val="000000"/>
          <w:sz w:val="20"/>
          <w:szCs w:val="20"/>
          <w:lang w:eastAsia="es-MX"/>
        </w:rPr>
        <w:t xml:space="preserve"> o los recursos</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orbitales que hubieren sido afectos a los servicios previstos en la concesión.</w:t>
      </w:r>
    </w:p>
    <w:p w14:paraId="4BEFF34E" w14:textId="77777777" w:rsidR="00327D0C" w:rsidRDefault="00CB7F8D" w:rsidP="00327D0C">
      <w:pPr>
        <w:spacing w:after="240" w:line="360" w:lineRule="auto"/>
        <w:jc w:val="both"/>
        <w:rPr>
          <w:rFonts w:ascii="ITC Avant Garde" w:hAnsi="ITC Avant Garde"/>
          <w:lang w:eastAsia="es-MX"/>
        </w:rPr>
      </w:pPr>
      <w:r w:rsidRPr="0019177A">
        <w:rPr>
          <w:rFonts w:ascii="ITC Avant Garde" w:hAnsi="ITC Avant Garde"/>
          <w:bCs/>
          <w:color w:val="000000"/>
          <w:lang w:eastAsia="es-MX"/>
        </w:rPr>
        <w:t xml:space="preserve">En este sentido, </w:t>
      </w:r>
      <w:r>
        <w:rPr>
          <w:rFonts w:ascii="ITC Avant Garde" w:hAnsi="ITC Avant Garde"/>
          <w:color w:val="000000"/>
          <w:lang w:eastAsia="es-MX"/>
        </w:rPr>
        <w:t xml:space="preserve">se advierte que al término de las concesiones o permisos </w:t>
      </w:r>
      <w:r>
        <w:rPr>
          <w:rFonts w:ascii="ITC Avant Garde" w:hAnsi="ITC Avant Garde"/>
          <w:lang w:eastAsia="es-MX"/>
        </w:rPr>
        <w:t>se revertirán a la Nación las bandas de frecuencias previstas en las mismas, por lo anterior,</w:t>
      </w:r>
      <w:r>
        <w:rPr>
          <w:rFonts w:ascii="ITC Avant Garde" w:hAnsi="ITC Avant Garde"/>
          <w:color w:val="000000"/>
          <w:lang w:eastAsia="es-MX"/>
        </w:rPr>
        <w:t xml:space="preserve"> al haber sido revocado </w:t>
      </w:r>
      <w:r w:rsidRPr="008A2C3C">
        <w:rPr>
          <w:rFonts w:ascii="ITC Avant Garde" w:hAnsi="ITC Avant Garde"/>
          <w:b/>
          <w:bCs/>
          <w:noProof/>
          <w:color w:val="000000"/>
          <w:lang w:eastAsia="es-MX"/>
        </w:rPr>
        <w:t>"EL PERMISO"</w:t>
      </w:r>
      <w:r>
        <w:rPr>
          <w:rFonts w:ascii="ITC Avant Garde" w:hAnsi="ITC Avant Garde"/>
          <w:b/>
          <w:bCs/>
          <w:color w:val="000000"/>
          <w:lang w:eastAsia="es-MX"/>
        </w:rPr>
        <w:t>,</w:t>
      </w:r>
      <w:r>
        <w:rPr>
          <w:rFonts w:ascii="ITC Avant Garde" w:hAnsi="ITC Avant Garde"/>
          <w:lang w:eastAsia="es-MX"/>
        </w:rPr>
        <w:t xml:space="preserve"> se revierte</w:t>
      </w:r>
      <w:r w:rsidR="00B00DB5">
        <w:rPr>
          <w:rFonts w:ascii="ITC Avant Garde" w:hAnsi="ITC Avant Garde"/>
          <w:lang w:eastAsia="es-MX"/>
        </w:rPr>
        <w:t>n</w:t>
      </w:r>
      <w:r>
        <w:rPr>
          <w:rFonts w:ascii="ITC Avant Garde" w:hAnsi="ITC Avant Garde"/>
          <w:lang w:eastAsia="es-MX"/>
        </w:rPr>
        <w:t xml:space="preserve"> de pleno derecho a favor de la Nación las </w:t>
      </w:r>
      <w:r>
        <w:rPr>
          <w:rFonts w:ascii="ITC Avant Garde" w:hAnsi="ITC Avant Garde"/>
          <w:lang w:eastAsia="es-MX"/>
        </w:rPr>
        <w:lastRenderedPageBreak/>
        <w:t xml:space="preserve">frecuencias </w:t>
      </w:r>
      <w:r w:rsidR="007B1A2C" w:rsidRPr="008A2C3C">
        <w:rPr>
          <w:rFonts w:ascii="ITC Avant Garde" w:eastAsia="Times New Roman" w:hAnsi="ITC Avant Garde"/>
          <w:bCs/>
          <w:noProof/>
          <w:color w:val="000000"/>
          <w:lang w:eastAsia="es-MX"/>
        </w:rPr>
        <w:t>152.575 y 155.950 MHz</w:t>
      </w:r>
      <w:r>
        <w:rPr>
          <w:rFonts w:ascii="ITC Avant Garde" w:hAnsi="ITC Avant Garde"/>
          <w:lang w:eastAsia="es-MX"/>
        </w:rPr>
        <w:t xml:space="preserve">, lo anterior a efecto de que el espectro que se encontraba </w:t>
      </w:r>
      <w:proofErr w:type="spellStart"/>
      <w:r>
        <w:rPr>
          <w:rFonts w:ascii="ITC Avant Garde" w:hAnsi="ITC Avant Garde"/>
          <w:lang w:eastAsia="es-MX"/>
        </w:rPr>
        <w:t>permisionado</w:t>
      </w:r>
      <w:proofErr w:type="spellEnd"/>
      <w:r>
        <w:rPr>
          <w:rFonts w:ascii="ITC Avant Garde" w:hAnsi="ITC Avant Garde"/>
          <w:lang w:eastAsia="es-MX"/>
        </w:rPr>
        <w:t xml:space="preserve"> o autorizado pueda ser licitado o asignado de conformidad con lo establecido en el primer párrafo del artículo 198 de la </w:t>
      </w:r>
      <w:r>
        <w:rPr>
          <w:rFonts w:ascii="ITC Avant Garde" w:hAnsi="ITC Avant Garde"/>
          <w:b/>
          <w:lang w:eastAsia="es-MX"/>
        </w:rPr>
        <w:t>“</w:t>
      </w:r>
      <w:proofErr w:type="spellStart"/>
      <w:r>
        <w:rPr>
          <w:rFonts w:ascii="ITC Avant Garde" w:hAnsi="ITC Avant Garde"/>
          <w:b/>
          <w:lang w:eastAsia="es-MX"/>
        </w:rPr>
        <w:t>LFTy</w:t>
      </w:r>
      <w:r w:rsidRPr="00860F5A">
        <w:rPr>
          <w:rFonts w:ascii="ITC Avant Garde" w:hAnsi="ITC Avant Garde"/>
          <w:b/>
          <w:lang w:eastAsia="es-MX"/>
        </w:rPr>
        <w:t>R</w:t>
      </w:r>
      <w:proofErr w:type="spellEnd"/>
      <w:r w:rsidRPr="00860F5A">
        <w:rPr>
          <w:rFonts w:ascii="ITC Avant Garde" w:hAnsi="ITC Avant Garde"/>
          <w:b/>
          <w:lang w:eastAsia="es-MX"/>
        </w:rPr>
        <w:t>”</w:t>
      </w:r>
      <w:r w:rsidRPr="0019177A">
        <w:rPr>
          <w:rFonts w:ascii="ITC Avant Garde" w:hAnsi="ITC Avant Garde"/>
          <w:lang w:eastAsia="es-MX"/>
        </w:rPr>
        <w:t xml:space="preserve"> el cual señala:</w:t>
      </w:r>
    </w:p>
    <w:p w14:paraId="28525386" w14:textId="77777777" w:rsidR="00327D0C" w:rsidRDefault="00CB7F8D" w:rsidP="00327D0C">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198</w:t>
      </w:r>
      <w:r w:rsidRPr="0019177A">
        <w:rPr>
          <w:rFonts w:ascii="ITC Avant Garde" w:hAnsi="ITC Avant Garde"/>
          <w:bCs/>
          <w:i/>
          <w:color w:val="000000"/>
          <w:sz w:val="20"/>
          <w:szCs w:val="20"/>
          <w:lang w:eastAsia="es-MX"/>
        </w:rPr>
        <w:t xml:space="preserve">. </w:t>
      </w:r>
      <w:r w:rsidRPr="0019177A">
        <w:rPr>
          <w:rFonts w:ascii="ITC Avant Garde" w:hAnsi="ITC Avant Garde"/>
          <w:b/>
          <w:bCs/>
          <w:i/>
          <w:color w:val="000000"/>
          <w:sz w:val="20"/>
          <w:szCs w:val="20"/>
          <w:u w:val="single"/>
          <w:lang w:eastAsia="es-MX"/>
        </w:rPr>
        <w:t>Al término de una concesión, el espectro radioeléctrico que se encontraba concesionado revertirá de pleno derecho al Estado, por lo que el Instituto podrá licitarlo o asignarlo de conformidad con lo establecido en esta Ley</w:t>
      </w:r>
      <w:r w:rsidRPr="0019177A">
        <w:rPr>
          <w:rFonts w:ascii="ITC Avant Garde" w:hAnsi="ITC Avant Garde"/>
          <w:bCs/>
          <w:i/>
          <w:color w:val="000000"/>
          <w:sz w:val="20"/>
          <w:szCs w:val="20"/>
          <w:lang w:eastAsia="es-MX"/>
        </w:rPr>
        <w:t>. Sin perjuicio de lo anterior, con el fin de proteger y salvaguardar los derechos de los</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usuarios o suscriptores, el Instituto podrá autorizar el uso temporal del espectro radioeléctrico sólo en la</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cantidad y por el tiempo estrictamente necesarios, para que el entonces concesionario migre a los usuarios o</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suscriptores hacia otros servicios o concesionarios o cumpla con el plazo y los términos bajo los cuales se</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hubiere obligado con los mismos.</w:t>
      </w:r>
    </w:p>
    <w:p w14:paraId="748AC6B3" w14:textId="4B80BCA7" w:rsidR="00327D0C" w:rsidRDefault="00CB7F8D" w:rsidP="00327D0C">
      <w:pPr>
        <w:spacing w:after="240" w:line="360" w:lineRule="auto"/>
        <w:jc w:val="both"/>
        <w:rPr>
          <w:rFonts w:ascii="ITC Avant Garde" w:hAnsi="ITC Avant Garde"/>
          <w:color w:val="000000"/>
          <w:lang w:eastAsia="es-MX"/>
        </w:rPr>
      </w:pPr>
      <w:r>
        <w:rPr>
          <w:rFonts w:ascii="ITC Avant Garde" w:hAnsi="ITC Avant Garde"/>
          <w:lang w:eastAsia="es-MX"/>
        </w:rPr>
        <w:t xml:space="preserve">Finalmente, cabe señalar que con la revocación de </w:t>
      </w:r>
      <w:r w:rsidRPr="008A2C3C">
        <w:rPr>
          <w:rFonts w:ascii="ITC Avant Garde" w:hAnsi="ITC Avant Garde"/>
          <w:b/>
          <w:noProof/>
          <w:lang w:eastAsia="es-MX"/>
        </w:rPr>
        <w:t>"EL PERMISO"</w:t>
      </w:r>
      <w:r>
        <w:rPr>
          <w:rFonts w:ascii="ITC Avant Garde" w:hAnsi="ITC Avant Garde"/>
          <w:lang w:eastAsia="es-MX"/>
        </w:rPr>
        <w:t xml:space="preserve"> y la reversión de la frecuencia en comento no se advierte que se afecten derechos de usuarios y/o suscriptores de algún servicio de telecomunicaciones, ello en virtud de que las frecuencias asignadas en el </w:t>
      </w:r>
      <w:r w:rsidRPr="008A2C3C">
        <w:rPr>
          <w:rFonts w:ascii="ITC Avant Garde" w:hAnsi="ITC Avant Garde"/>
          <w:b/>
          <w:bCs/>
          <w:noProof/>
          <w:color w:val="000000"/>
          <w:lang w:eastAsia="es-MX"/>
        </w:rPr>
        <w:t>permiso para instalar y operar un sistema de radiocomunicación privada</w:t>
      </w:r>
      <w:r>
        <w:rPr>
          <w:rFonts w:ascii="ITC Avant Garde" w:hAnsi="ITC Avant Garde"/>
          <w:b/>
          <w:bCs/>
          <w:color w:val="000000"/>
          <w:lang w:eastAsia="es-MX"/>
        </w:rPr>
        <w:t xml:space="preserve"> </w:t>
      </w:r>
      <w:r>
        <w:rPr>
          <w:rFonts w:ascii="ITC Avant Garde" w:hAnsi="ITC Avant Garde"/>
          <w:color w:val="000000"/>
          <w:lang w:eastAsia="es-MX"/>
        </w:rPr>
        <w:t xml:space="preserve">confirieron derechos únicamente para servicios de telecomunicaciones con propósitos de comunicación privada, en ese sentido, toda vez que el mismo no otorgó derecho alguno para usar, aprovechar y/o explotar comercialmente las bandas de frecuencia autorizadas y, considerando que </w:t>
      </w:r>
      <w:r w:rsidRPr="008A2C3C">
        <w:rPr>
          <w:rFonts w:ascii="ITC Avant Garde" w:hAnsi="ITC Avant Garde"/>
          <w:b/>
          <w:noProof/>
          <w:color w:val="000000"/>
          <w:lang w:eastAsia="es-MX"/>
        </w:rPr>
        <w:t>PORFIRIO TORRES PERALTA</w:t>
      </w:r>
      <w:r>
        <w:rPr>
          <w:rFonts w:ascii="ITC Avant Garde" w:hAnsi="ITC Avant Garde"/>
          <w:color w:val="000000"/>
          <w:lang w:eastAsia="es-MX"/>
        </w:rPr>
        <w:t xml:space="preserve"> no cuenta con usuarios o suscriptores existentes, esta Autoridad determina que no existe afectación a servicio de telecomunicaciones ya que no se prestaba ningún servicio a terceros y por lo tanto no existen derechos de los usuarios y/o suscriptores de servicios públicos de interés gener</w:t>
      </w:r>
      <w:r w:rsidR="00D42F9C">
        <w:rPr>
          <w:rFonts w:ascii="ITC Avant Garde" w:hAnsi="ITC Avant Garde"/>
          <w:color w:val="000000"/>
          <w:lang w:eastAsia="es-MX"/>
        </w:rPr>
        <w:t>al que salvaguardar o proteger.</w:t>
      </w:r>
    </w:p>
    <w:p w14:paraId="347DF633" w14:textId="77777777" w:rsidR="00327D0C" w:rsidRDefault="00CB7F8D" w:rsidP="00327D0C">
      <w:pPr>
        <w:pStyle w:val="Textoindependiente"/>
        <w:tabs>
          <w:tab w:val="left" w:pos="993"/>
        </w:tabs>
        <w:spacing w:after="240" w:line="360" w:lineRule="auto"/>
        <w:jc w:val="both"/>
        <w:rPr>
          <w:rFonts w:ascii="ITC Avant Garde" w:eastAsia="Times New Roman" w:hAnsi="ITC Avant Garde"/>
          <w:lang w:eastAsia="es-MX"/>
        </w:rPr>
      </w:pPr>
      <w:r w:rsidRPr="008452B5">
        <w:rPr>
          <w:rFonts w:ascii="ITC Avant Garde" w:eastAsia="Times New Roman" w:hAnsi="ITC Avant Garde"/>
          <w:bCs/>
          <w:color w:val="000000"/>
          <w:lang w:eastAsia="es-MX"/>
        </w:rPr>
        <w:t>Con base en los resultandos y considerandos anteriores</w:t>
      </w:r>
      <w:r w:rsidRPr="008452B5">
        <w:rPr>
          <w:rFonts w:ascii="ITC Avant Garde" w:eastAsia="Times New Roman" w:hAnsi="ITC Avant Garde"/>
          <w:lang w:eastAsia="es-MX"/>
        </w:rPr>
        <w:t>, el Pleno del Instituto Federal de Telecomunicaciones:</w:t>
      </w:r>
    </w:p>
    <w:p w14:paraId="2EC7E163" w14:textId="55013440" w:rsidR="00327D0C" w:rsidRPr="00D71E1E" w:rsidRDefault="00CB7F8D" w:rsidP="00D71E1E">
      <w:pPr>
        <w:pStyle w:val="Ttulo2"/>
        <w:spacing w:after="240"/>
        <w:jc w:val="center"/>
        <w:rPr>
          <w:rFonts w:ascii="ITC Avant Garde" w:hAnsi="ITC Avant Garde"/>
          <w:b/>
          <w:color w:val="000000" w:themeColor="text1"/>
          <w:sz w:val="24"/>
          <w:szCs w:val="24"/>
        </w:rPr>
      </w:pPr>
      <w:r w:rsidRPr="00D71E1E">
        <w:rPr>
          <w:rFonts w:ascii="ITC Avant Garde" w:hAnsi="ITC Avant Garde"/>
          <w:b/>
          <w:color w:val="000000" w:themeColor="text1"/>
          <w:sz w:val="24"/>
          <w:szCs w:val="24"/>
        </w:rPr>
        <w:lastRenderedPageBreak/>
        <w:t>RESUELVE</w:t>
      </w:r>
    </w:p>
    <w:p w14:paraId="3AB9D296" w14:textId="77777777" w:rsidR="00327D0C" w:rsidRDefault="00CB7F8D" w:rsidP="00327D0C">
      <w:pPr>
        <w:spacing w:after="240" w:line="360" w:lineRule="auto"/>
        <w:jc w:val="both"/>
        <w:rPr>
          <w:rFonts w:ascii="ITC Avant Garde" w:hAnsi="ITC Avant Garde"/>
          <w:lang w:eastAsia="x-none"/>
        </w:rPr>
      </w:pPr>
      <w:r>
        <w:rPr>
          <w:rFonts w:ascii="ITC Avant Garde" w:eastAsia="Times New Roman" w:hAnsi="ITC Avant Garde"/>
          <w:b/>
          <w:bCs/>
          <w:color w:val="000000"/>
          <w:lang w:eastAsia="es-MX"/>
        </w:rPr>
        <w:t>PRIMERO.</w:t>
      </w:r>
      <w:r>
        <w:rPr>
          <w:rFonts w:ascii="ITC Avant Garde" w:eastAsia="Times New Roman" w:hAnsi="ITC Avant Garde"/>
          <w:lang w:eastAsia="es-MX"/>
        </w:rPr>
        <w:t xml:space="preserve"> Conforme a lo expuesto en la parte considerativa de la presente resolución, quedó acreditado que </w:t>
      </w:r>
      <w:r w:rsidRPr="008A2C3C">
        <w:rPr>
          <w:rFonts w:ascii="ITC Avant Garde" w:eastAsia="Times New Roman" w:hAnsi="ITC Avant Garde"/>
          <w:b/>
          <w:noProof/>
          <w:lang w:eastAsia="es-MX"/>
        </w:rPr>
        <w:t>PORFIRIO TORRES PERALTA</w:t>
      </w:r>
      <w:r>
        <w:rPr>
          <w:rFonts w:ascii="ITC Avant Garde" w:eastAsia="Times New Roman" w:hAnsi="ITC Avant Garde"/>
          <w:b/>
          <w:bCs/>
          <w:noProof/>
          <w:color w:val="000000"/>
          <w:lang w:eastAsia="es-MX"/>
        </w:rPr>
        <w:t xml:space="preserve"> </w:t>
      </w:r>
      <w:r>
        <w:rPr>
          <w:rFonts w:ascii="ITC Avant Garde" w:eastAsia="Times New Roman" w:hAnsi="ITC Avant Garde"/>
          <w:lang w:eastAsia="es-MX"/>
        </w:rPr>
        <w:t xml:space="preserve">incumplió de manera reiterada </w:t>
      </w:r>
      <w:r w:rsidRPr="00DA1F6E">
        <w:rPr>
          <w:rFonts w:ascii="ITC Avant Garde" w:eastAsia="Times New Roman" w:hAnsi="ITC Avant Garde"/>
          <w:lang w:eastAsia="es-MX"/>
        </w:rPr>
        <w:t xml:space="preserve">la obligación de pago de la cuota anual de derechos por el uso del espectro radioeléctrico </w:t>
      </w:r>
      <w:r>
        <w:rPr>
          <w:rFonts w:ascii="ITC Avant Garde" w:eastAsia="Times New Roman" w:hAnsi="ITC Avant Garde"/>
          <w:lang w:eastAsia="es-MX"/>
        </w:rPr>
        <w:t xml:space="preserve">establecida en la </w:t>
      </w:r>
      <w:r>
        <w:rPr>
          <w:rFonts w:ascii="ITC Avant Garde" w:hAnsi="ITC Avant Garde"/>
        </w:rPr>
        <w:t xml:space="preserve">condición </w:t>
      </w:r>
      <w:r w:rsidRPr="008A2C3C">
        <w:rPr>
          <w:rFonts w:ascii="ITC Avant Garde" w:hAnsi="ITC Avant Garde"/>
          <w:b/>
          <w:noProof/>
        </w:rPr>
        <w:t>DÉCIMA TERCERA</w:t>
      </w:r>
      <w:r>
        <w:rPr>
          <w:rFonts w:ascii="ITC Avant Garde" w:hAnsi="ITC Avant Garde"/>
        </w:rPr>
        <w:t xml:space="preserve"> de su </w:t>
      </w:r>
      <w:r w:rsidRPr="008A2C3C">
        <w:rPr>
          <w:rFonts w:ascii="ITC Avant Garde" w:hAnsi="ITC Avant Garde"/>
          <w:b/>
          <w:noProof/>
          <w:color w:val="000000"/>
          <w:lang w:eastAsia="es-MX"/>
        </w:rPr>
        <w:t>permiso para instalar y operar un sistema de radiocomunicación privada</w:t>
      </w:r>
      <w:r>
        <w:rPr>
          <w:rFonts w:ascii="ITC Avant Garde" w:hAnsi="ITC Avant Garde"/>
          <w:color w:val="000000"/>
          <w:lang w:eastAsia="es-MX"/>
        </w:rPr>
        <w:t xml:space="preserve"> </w:t>
      </w:r>
      <w:r>
        <w:rPr>
          <w:rFonts w:ascii="ITC Avant Garde" w:hAnsi="ITC Avant Garde"/>
        </w:rPr>
        <w:t>en relación con el artículo 239 de la Ley Federal de Derechos,</w:t>
      </w:r>
      <w:r>
        <w:rPr>
          <w:rFonts w:ascii="ITC Avant Garde" w:eastAsia="Times New Roman" w:hAnsi="ITC Avant Garde"/>
          <w:bCs/>
          <w:color w:val="000000"/>
          <w:lang w:eastAsia="es-MX"/>
        </w:rPr>
        <w:t xml:space="preserve"> y en consecuencia, con fundamento en el artículo 303, fracción III, y último párrafo de la Ley Federal de Telecomunicaciones y Radiodifusión, </w:t>
      </w:r>
      <w:r>
        <w:rPr>
          <w:rFonts w:ascii="ITC Avant Garde" w:eastAsia="Times New Roman" w:hAnsi="ITC Avant Garde"/>
          <w:lang w:eastAsia="es-MX"/>
        </w:rPr>
        <w:t xml:space="preserve">se declara la revocación del </w:t>
      </w:r>
      <w:r w:rsidRPr="008A2C3C">
        <w:rPr>
          <w:rFonts w:ascii="ITC Avant Garde" w:eastAsia="Times New Roman" w:hAnsi="ITC Avant Garde"/>
          <w:b/>
          <w:noProof/>
          <w:lang w:eastAsia="es-MX"/>
        </w:rPr>
        <w:t>"PERMISO"</w:t>
      </w:r>
      <w:r>
        <w:rPr>
          <w:rFonts w:ascii="ITC Avant Garde" w:eastAsia="Times New Roman" w:hAnsi="ITC Avant Garde"/>
          <w:lang w:eastAsia="es-MX"/>
        </w:rPr>
        <w:t xml:space="preserve"> otorgado a dicha persona, mismo que ha quedado debidamente precisado en el Resultando Primero de la presente resolución</w:t>
      </w:r>
      <w:r>
        <w:rPr>
          <w:rFonts w:ascii="ITC Avant Garde" w:hAnsi="ITC Avant Garde"/>
        </w:rPr>
        <w:t>.</w:t>
      </w:r>
    </w:p>
    <w:p w14:paraId="2F8D9218" w14:textId="77777777" w:rsidR="00327D0C" w:rsidRDefault="00CB7F8D" w:rsidP="00327D0C">
      <w:pPr>
        <w:spacing w:after="240" w:line="360" w:lineRule="auto"/>
        <w:jc w:val="both"/>
        <w:rPr>
          <w:rFonts w:ascii="ITC Avant Garde" w:hAnsi="ITC Avant Garde"/>
        </w:rPr>
      </w:pPr>
      <w:r>
        <w:rPr>
          <w:rFonts w:ascii="ITC Avant Garde" w:hAnsi="ITC Avant Garde"/>
          <w:b/>
        </w:rPr>
        <w:t>SEGUNDO</w:t>
      </w:r>
      <w:r w:rsidRPr="00DE4AA5">
        <w:rPr>
          <w:rFonts w:ascii="ITC Avant Garde" w:eastAsia="Times New Roman" w:hAnsi="ITC Avant Garde"/>
          <w:b/>
          <w:lang w:eastAsia="es-MX"/>
        </w:rPr>
        <w:t xml:space="preserve">. </w:t>
      </w:r>
      <w:r w:rsidRPr="00DE4AA5">
        <w:rPr>
          <w:rFonts w:ascii="ITC Avant Garde" w:hAnsi="ITC Avant Garde"/>
        </w:rPr>
        <w:t>Con base en lo anterior y con fundamento</w:t>
      </w:r>
      <w:r>
        <w:rPr>
          <w:rFonts w:ascii="ITC Avant Garde" w:hAnsi="ITC Avant Garde"/>
        </w:rPr>
        <w:t xml:space="preserve"> en el artículo </w:t>
      </w:r>
      <w:r>
        <w:rPr>
          <w:rFonts w:ascii="ITC Avant Garde" w:eastAsia="Times New Roman" w:hAnsi="ITC Avant Garde"/>
          <w:lang w:eastAsia="es-MX"/>
        </w:rPr>
        <w:t>304 de la Ley Federal de Telecomunicaciones y Radiodifusión</w:t>
      </w:r>
      <w:r w:rsidR="008B4248">
        <w:rPr>
          <w:rFonts w:ascii="ITC Avant Garde" w:eastAsia="Times New Roman" w:hAnsi="ITC Avant Garde"/>
          <w:lang w:eastAsia="es-MX"/>
        </w:rPr>
        <w:t xml:space="preserve">, </w:t>
      </w:r>
      <w:r w:rsidRPr="00271779">
        <w:rPr>
          <w:rFonts w:ascii="ITC Avant Garde" w:eastAsia="Times New Roman" w:hAnsi="ITC Avant Garde"/>
          <w:lang w:eastAsia="es-MX"/>
        </w:rPr>
        <w:t>como</w:t>
      </w:r>
      <w:r>
        <w:rPr>
          <w:rFonts w:ascii="ITC Avant Garde" w:eastAsia="Times New Roman" w:hAnsi="ITC Avant Garde"/>
          <w:lang w:eastAsia="es-MX"/>
        </w:rPr>
        <w:t xml:space="preserve"> ha quedado precisado en el Considerando Séptimo de la presente resolución, se hace del conocimiento </w:t>
      </w:r>
      <w:r w:rsidRPr="0004662C">
        <w:rPr>
          <w:rFonts w:ascii="ITC Avant Garde" w:eastAsia="Times New Roman" w:hAnsi="ITC Avant Garde"/>
          <w:noProof/>
          <w:lang w:eastAsia="es-MX"/>
        </w:rPr>
        <w:t>de</w:t>
      </w:r>
      <w:r w:rsidRPr="008A2C3C">
        <w:rPr>
          <w:rFonts w:ascii="ITC Avant Garde" w:eastAsia="Times New Roman" w:hAnsi="ITC Avant Garde"/>
          <w:b/>
          <w:noProof/>
          <w:lang w:eastAsia="es-MX"/>
        </w:rPr>
        <w:t xml:space="preserve"> PORFIRIO TORRES PERALTA</w:t>
      </w:r>
      <w:r>
        <w:rPr>
          <w:rFonts w:ascii="ITC Avant Garde" w:eastAsia="Times New Roman" w:hAnsi="ITC Avant Garde"/>
          <w:b/>
          <w:lang w:eastAsia="es-MX"/>
        </w:rPr>
        <w:t xml:space="preserve"> </w:t>
      </w:r>
      <w:r>
        <w:rPr>
          <w:rFonts w:ascii="ITC Avant Garde" w:eastAsia="Times New Roman" w:hAnsi="ITC Avant Garde"/>
          <w:lang w:eastAsia="es-MX"/>
        </w:rPr>
        <w:t xml:space="preserve">que queda inhabilitado para obtener, por sí o a través de otra persona, nuevas concesiones, permisos o autorizaciones de las previstas en dicho ordenamiento, por un plazo de </w:t>
      </w:r>
      <w:r>
        <w:rPr>
          <w:rFonts w:ascii="ITC Avant Garde" w:eastAsia="Times New Roman" w:hAnsi="ITC Avant Garde"/>
          <w:b/>
          <w:u w:val="single"/>
          <w:lang w:eastAsia="es-MX"/>
        </w:rPr>
        <w:t>cinco años</w:t>
      </w:r>
      <w:r>
        <w:rPr>
          <w:rFonts w:ascii="ITC Avant Garde" w:eastAsia="Times New Roman" w:hAnsi="ITC Avant Garde"/>
          <w:lang w:eastAsia="es-MX"/>
        </w:rPr>
        <w:t xml:space="preserve"> contados a partir de que haya quedado firme la presente resolución</w:t>
      </w:r>
      <w:r>
        <w:rPr>
          <w:rFonts w:ascii="ITC Avant Garde" w:hAnsi="ITC Avant Garde"/>
        </w:rPr>
        <w:t>.</w:t>
      </w:r>
    </w:p>
    <w:p w14:paraId="29ABAF1D" w14:textId="77777777" w:rsidR="00327D0C" w:rsidRDefault="00CB7F8D" w:rsidP="00327D0C">
      <w:pPr>
        <w:pStyle w:val="Textoindependiente"/>
        <w:tabs>
          <w:tab w:val="left" w:pos="993"/>
        </w:tabs>
        <w:spacing w:after="240" w:line="360" w:lineRule="auto"/>
        <w:jc w:val="both"/>
        <w:rPr>
          <w:rFonts w:ascii="ITC Avant Garde" w:hAnsi="ITC Avant Garde"/>
        </w:rPr>
      </w:pPr>
      <w:r w:rsidRPr="00DE4AA5">
        <w:rPr>
          <w:rFonts w:ascii="ITC Avant Garde" w:hAnsi="ITC Avant Garde"/>
          <w:b/>
        </w:rPr>
        <w:t xml:space="preserve">TERCERO. </w:t>
      </w:r>
      <w:r w:rsidRPr="00DE4AA5">
        <w:rPr>
          <w:rFonts w:ascii="ITC Avant Garde" w:eastAsia="Times New Roman" w:hAnsi="ITC Avant Garde"/>
        </w:rPr>
        <w:t xml:space="preserve">Con fundamento en el artículo 35, fracción I, de la Ley Federal de Procedimiento Administrativo, se ordena que la presente Resolución se notifique personalmente </w:t>
      </w:r>
      <w:r w:rsidRPr="008A2C3C">
        <w:rPr>
          <w:rFonts w:ascii="ITC Avant Garde" w:eastAsia="Times New Roman" w:hAnsi="ITC Avant Garde"/>
          <w:noProof/>
        </w:rPr>
        <w:t>a</w:t>
      </w:r>
      <w:r w:rsidRPr="00DE4AA5">
        <w:rPr>
          <w:rFonts w:ascii="ITC Avant Garde" w:eastAsia="Times New Roman" w:hAnsi="ITC Avant Garde"/>
        </w:rPr>
        <w:t xml:space="preserve"> </w:t>
      </w:r>
      <w:r w:rsidRPr="008A2C3C">
        <w:rPr>
          <w:rFonts w:ascii="ITC Avant Garde" w:eastAsia="Times New Roman" w:hAnsi="ITC Avant Garde"/>
          <w:b/>
          <w:bCs/>
          <w:noProof/>
        </w:rPr>
        <w:t>PORFIRIO TORRES PERALTA</w:t>
      </w:r>
      <w:r w:rsidRPr="00DE4AA5">
        <w:rPr>
          <w:rFonts w:ascii="ITC Avant Garde" w:hAnsi="ITC Avant Garde"/>
          <w:b/>
        </w:rPr>
        <w:t xml:space="preserve">, </w:t>
      </w:r>
      <w:r w:rsidRPr="00DE4AA5">
        <w:rPr>
          <w:rFonts w:ascii="ITC Avant Garde" w:eastAsia="Times New Roman" w:hAnsi="ITC Avant Garde"/>
        </w:rPr>
        <w:t>en el domicilio precisado en el proemio de la presente Resolución</w:t>
      </w:r>
      <w:r w:rsidRPr="00DE4AA5">
        <w:rPr>
          <w:rFonts w:ascii="ITC Avant Garde" w:hAnsi="ITC Avant Garde"/>
        </w:rPr>
        <w:t>.</w:t>
      </w:r>
    </w:p>
    <w:p w14:paraId="0621ECEC" w14:textId="77777777" w:rsidR="00327D0C" w:rsidRDefault="00CB7F8D" w:rsidP="00327D0C">
      <w:pPr>
        <w:pStyle w:val="Textoindependiente"/>
        <w:tabs>
          <w:tab w:val="left" w:pos="993"/>
        </w:tabs>
        <w:spacing w:after="240" w:line="360" w:lineRule="auto"/>
        <w:ind w:right="-31"/>
        <w:jc w:val="both"/>
        <w:rPr>
          <w:rFonts w:ascii="ITC Avant Garde" w:hAnsi="ITC Avant Garde"/>
          <w:b/>
        </w:rPr>
      </w:pPr>
      <w:r>
        <w:rPr>
          <w:rFonts w:ascii="ITC Avant Garde" w:hAnsi="ITC Avant Garde"/>
          <w:b/>
        </w:rPr>
        <w:t xml:space="preserve">CUARTO. </w:t>
      </w:r>
      <w:r w:rsidR="00370531">
        <w:rPr>
          <w:rFonts w:ascii="ITC Avant Garde" w:eastAsia="Times New Roman" w:hAnsi="ITC Avant Garde"/>
          <w:lang w:eastAsia="es-MX"/>
        </w:rPr>
        <w:t>Atendiendo a los efectos derivados de la presente resolución, dese vista con la misma a la Unidad de Espectro Radioeléctrico y a la Unidad de Concesiones y Servicios para los efectos legales conducentes en el ámbito de sus atribuciones</w:t>
      </w:r>
      <w:r w:rsidR="006822C1" w:rsidRPr="006822C1">
        <w:rPr>
          <w:rFonts w:ascii="ITC Avant Garde" w:hAnsi="ITC Avant Garde"/>
        </w:rPr>
        <w:t>.</w:t>
      </w:r>
    </w:p>
    <w:p w14:paraId="0E933AEC" w14:textId="77777777" w:rsidR="00327D0C" w:rsidRDefault="006822C1" w:rsidP="00327D0C">
      <w:pPr>
        <w:pStyle w:val="Textoindependiente"/>
        <w:tabs>
          <w:tab w:val="left" w:pos="993"/>
        </w:tabs>
        <w:spacing w:after="240" w:line="360" w:lineRule="auto"/>
        <w:ind w:right="-31"/>
        <w:jc w:val="both"/>
        <w:rPr>
          <w:rFonts w:ascii="ITC Avant Garde" w:eastAsia="Times New Roman" w:hAnsi="ITC Avant Garde"/>
          <w:bCs/>
          <w:color w:val="000000"/>
          <w:lang w:eastAsia="es-MX"/>
        </w:rPr>
      </w:pPr>
      <w:r w:rsidRPr="006822C1">
        <w:rPr>
          <w:rFonts w:ascii="ITC Avant Garde" w:eastAsia="Times New Roman" w:hAnsi="ITC Avant Garde"/>
          <w:b/>
          <w:lang w:eastAsia="es-MX"/>
        </w:rPr>
        <w:t>QUINTO.</w:t>
      </w:r>
      <w:r>
        <w:rPr>
          <w:rFonts w:ascii="ITC Avant Garde" w:eastAsia="Times New Roman" w:hAnsi="ITC Avant Garde"/>
          <w:lang w:eastAsia="es-MX"/>
        </w:rPr>
        <w:t xml:space="preserve"> </w:t>
      </w:r>
      <w:r w:rsidR="00CB7F8D">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se informa </w:t>
      </w:r>
      <w:r w:rsidR="00CB7F8D" w:rsidRPr="008A2C3C">
        <w:rPr>
          <w:rFonts w:ascii="ITC Avant Garde" w:eastAsia="Times New Roman" w:hAnsi="ITC Avant Garde"/>
          <w:noProof/>
          <w:lang w:eastAsia="es-MX"/>
        </w:rPr>
        <w:t>a</w:t>
      </w:r>
      <w:r w:rsidR="00CB7F8D">
        <w:rPr>
          <w:rFonts w:ascii="ITC Avant Garde" w:eastAsia="Times New Roman" w:hAnsi="ITC Avant Garde"/>
          <w:lang w:eastAsia="es-MX"/>
        </w:rPr>
        <w:t xml:space="preserve"> </w:t>
      </w:r>
      <w:r w:rsidR="00CB7F8D" w:rsidRPr="008A2C3C">
        <w:rPr>
          <w:rFonts w:ascii="ITC Avant Garde" w:eastAsia="Times New Roman" w:hAnsi="ITC Avant Garde"/>
          <w:b/>
          <w:noProof/>
          <w:lang w:eastAsia="es-MX"/>
        </w:rPr>
        <w:t>PORFIRIO TORRES PERALTA</w:t>
      </w:r>
      <w:r w:rsidR="00CB7F8D">
        <w:rPr>
          <w:rFonts w:ascii="ITC Avant Garde" w:eastAsia="Times New Roman" w:hAnsi="ITC Avant Garde"/>
          <w:b/>
          <w:lang w:eastAsia="es-MX"/>
        </w:rPr>
        <w:t xml:space="preserve"> </w:t>
      </w:r>
      <w:r w:rsidR="00CB7F8D">
        <w:rPr>
          <w:rFonts w:ascii="ITC Avant Garde" w:eastAsia="Times New Roman" w:hAnsi="ITC Avant Garde"/>
          <w:bCs/>
          <w:color w:val="000000"/>
          <w:lang w:eastAsia="es-MX"/>
        </w:rPr>
        <w:t xml:space="preserve">que podrá consultar el expediente que se resuelve en días hábiles en las oficinas de la Unidad de Cumplimiento del Instituto Federal de </w:t>
      </w:r>
      <w:r w:rsidR="00CB7F8D">
        <w:rPr>
          <w:rFonts w:ascii="ITC Avant Garde" w:eastAsia="Times New Roman" w:hAnsi="ITC Avant Garde"/>
          <w:bCs/>
          <w:color w:val="000000"/>
          <w:lang w:eastAsia="es-MX"/>
        </w:rPr>
        <w:lastRenderedPageBreak/>
        <w:t xml:space="preserve">Telecomunicaciones, con domicilio en </w:t>
      </w:r>
      <w:r w:rsidR="00CB7F8D">
        <w:rPr>
          <w:rFonts w:ascii="ITC Avant Garde" w:hAnsi="ITC Avant Garde"/>
          <w:color w:val="000000"/>
          <w:shd w:val="clear" w:color="auto" w:fill="FFFFFF"/>
        </w:rPr>
        <w:t>Avenida Insurgentes Sur número 838, Cuarto Piso, Colonia Del Valle, Delegación Benito Juárez, Ciudad de México, Código Postal 03100</w:t>
      </w:r>
      <w:r w:rsidR="00CB7F8D">
        <w:rPr>
          <w:rFonts w:ascii="ITC Avant Garde" w:eastAsia="Times New Roman" w:hAnsi="ITC Avant Garde"/>
          <w:bCs/>
          <w:color w:val="000000"/>
          <w:lang w:eastAsia="es-MX"/>
        </w:rPr>
        <w:t>, dentro del siguiente horario: de lunes a jueves de las 9:00 a las 18:30 horas y viernes de las 9:00 a las 15:00 horas.</w:t>
      </w:r>
    </w:p>
    <w:p w14:paraId="06B54937" w14:textId="77777777" w:rsidR="00327D0C" w:rsidRDefault="006822C1" w:rsidP="00327D0C">
      <w:pPr>
        <w:pStyle w:val="Textoindependiente"/>
        <w:spacing w:after="240" w:line="360" w:lineRule="auto"/>
        <w:ind w:right="-31"/>
        <w:jc w:val="both"/>
        <w:rPr>
          <w:rFonts w:ascii="ITC Avant Garde" w:eastAsia="Times New Roman" w:hAnsi="ITC Avant Garde"/>
          <w:bCs/>
          <w:lang w:eastAsia="es-MX"/>
        </w:rPr>
      </w:pPr>
      <w:r>
        <w:rPr>
          <w:rFonts w:ascii="ITC Avant Garde" w:eastAsia="Times New Roman" w:hAnsi="ITC Avant Garde"/>
          <w:b/>
          <w:lang w:eastAsia="es-MX"/>
        </w:rPr>
        <w:t>SEXTO</w:t>
      </w:r>
      <w:r w:rsidR="00CB7F8D">
        <w:rPr>
          <w:rFonts w:ascii="ITC Avant Garde" w:eastAsia="Times New Roman" w:hAnsi="ITC Avant Garde"/>
          <w:b/>
          <w:lang w:eastAsia="es-MX"/>
        </w:rPr>
        <w:t>.</w:t>
      </w:r>
      <w:r w:rsidR="00CB7F8D">
        <w:rPr>
          <w:rFonts w:ascii="ITC Avant Garde" w:eastAsia="Times New Roman" w:hAnsi="ITC Avant Garde"/>
          <w:lang w:eastAsia="es-MX"/>
        </w:rPr>
        <w:t xml:space="preserve"> </w:t>
      </w:r>
      <w:r w:rsidR="00CB7F8D">
        <w:rPr>
          <w:rFonts w:ascii="ITC Avant Garde" w:eastAsia="Times New Roman" w:hAnsi="ITC Avant Garde"/>
          <w:bCs/>
          <w:lang w:eastAsia="es-MX"/>
        </w:rPr>
        <w:t xml:space="preserve">En cumplimiento a lo dispuesto en los artículos 3, fracción XV y 39 de la Ley Federal de Procedimiento Administrativo, se hace del conocimiento </w:t>
      </w:r>
      <w:r w:rsidR="00CB7F8D" w:rsidRPr="0004662C">
        <w:rPr>
          <w:rFonts w:ascii="ITC Avant Garde" w:eastAsia="Times New Roman" w:hAnsi="ITC Avant Garde"/>
          <w:bCs/>
          <w:noProof/>
          <w:lang w:eastAsia="es-MX"/>
        </w:rPr>
        <w:t>de</w:t>
      </w:r>
      <w:r w:rsidR="00CB7F8D" w:rsidRPr="008A2C3C">
        <w:rPr>
          <w:rFonts w:ascii="ITC Avant Garde" w:eastAsia="Times New Roman" w:hAnsi="ITC Avant Garde"/>
          <w:b/>
          <w:bCs/>
          <w:noProof/>
          <w:lang w:eastAsia="es-MX"/>
        </w:rPr>
        <w:t xml:space="preserve"> PORFIRIO TORRES PERALTA</w:t>
      </w:r>
      <w:r w:rsidR="00CB7F8D">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14:paraId="22087DAB" w14:textId="77777777" w:rsidR="00327D0C" w:rsidRDefault="006822C1" w:rsidP="00327D0C">
      <w:pPr>
        <w:spacing w:after="240" w:line="360" w:lineRule="auto"/>
        <w:jc w:val="both"/>
        <w:rPr>
          <w:rFonts w:ascii="ITC Avant Garde" w:hAnsi="ITC Avant Garde"/>
          <w:color w:val="000000"/>
          <w:lang w:eastAsia="es-MX"/>
        </w:rPr>
      </w:pPr>
      <w:r>
        <w:rPr>
          <w:rFonts w:ascii="ITC Avant Garde" w:eastAsia="Times New Roman" w:hAnsi="ITC Avant Garde"/>
          <w:b/>
          <w:lang w:eastAsia="es-MX"/>
        </w:rPr>
        <w:t>SÉPTIMO</w:t>
      </w:r>
      <w:r w:rsidR="00CB7F8D">
        <w:rPr>
          <w:rFonts w:ascii="ITC Avant Garde" w:eastAsia="Times New Roman" w:hAnsi="ITC Avant Garde"/>
          <w:b/>
          <w:lang w:eastAsia="es-MX"/>
        </w:rPr>
        <w:t xml:space="preserve">. </w:t>
      </w:r>
      <w:r w:rsidR="008B4248">
        <w:rPr>
          <w:rFonts w:ascii="ITC Avant Garde" w:hAnsi="ITC Avant Garde"/>
          <w:color w:val="000000"/>
          <w:lang w:eastAsia="es-MX"/>
        </w:rPr>
        <w:t>C</w:t>
      </w:r>
      <w:r w:rsidR="00CB7F8D">
        <w:rPr>
          <w:rFonts w:ascii="ITC Avant Garde" w:hAnsi="ITC Avant Garde"/>
          <w:color w:val="000000"/>
          <w:lang w:eastAsia="es-MX"/>
        </w:rPr>
        <w:t>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68270D52" w14:textId="77777777" w:rsidR="00327D0C" w:rsidRDefault="006822C1" w:rsidP="00327D0C">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
          <w:lang w:eastAsia="es-MX"/>
        </w:rPr>
        <w:t>OCTAVO</w:t>
      </w:r>
      <w:r w:rsidR="00CB7F8D">
        <w:rPr>
          <w:rFonts w:ascii="ITC Avant Garde" w:eastAsia="Times New Roman" w:hAnsi="ITC Avant Garde"/>
          <w:b/>
          <w:lang w:eastAsia="es-MX"/>
        </w:rPr>
        <w:t>.</w:t>
      </w:r>
      <w:r w:rsidR="00CB7F8D">
        <w:rPr>
          <w:rFonts w:ascii="ITC Avant Garde" w:eastAsia="Times New Roman" w:hAnsi="ITC Avant Garde"/>
          <w:lang w:eastAsia="es-MX"/>
        </w:rPr>
        <w:t xml:space="preserve"> </w:t>
      </w:r>
      <w:r w:rsidR="00CB7F8D">
        <w:rPr>
          <w:rFonts w:ascii="ITC Avant Garde" w:eastAsia="Times New Roman" w:hAnsi="ITC Avant Garde"/>
          <w:bCs/>
          <w:lang w:eastAsia="es-MX"/>
        </w:rPr>
        <w:t>En su oportunidad archívese el expediente como asunto total y definitivamente concluido.</w:t>
      </w:r>
    </w:p>
    <w:p w14:paraId="1D1F8C2D" w14:textId="77777777" w:rsidR="00327D0C" w:rsidRDefault="00CB7F8D" w:rsidP="00327D0C">
      <w:p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73F64200" w14:textId="77777777" w:rsidR="00327D0C" w:rsidRDefault="00F826D6" w:rsidP="00D71E1E">
      <w:pPr>
        <w:pStyle w:val="Prrafodelista"/>
        <w:spacing w:after="240"/>
        <w:ind w:left="0"/>
        <w:contextualSpacing w:val="0"/>
        <w:jc w:val="both"/>
        <w:rPr>
          <w:rFonts w:ascii="ITC Avant Garde" w:hAnsi="ITC Avant Garde"/>
          <w:sz w:val="13"/>
          <w:szCs w:val="13"/>
        </w:rPr>
      </w:pPr>
      <w:r w:rsidRPr="00F826D6">
        <w:rPr>
          <w:rFonts w:ascii="ITC Avant Garde" w:hAnsi="ITC Avant Garde"/>
          <w:sz w:val="13"/>
          <w:szCs w:val="13"/>
        </w:rPr>
        <w:t xml:space="preserve">La presente Resolución fue aprobada por el Pleno del Instituto Federal de Telecomunicaciones en su X Sesión Ordinaria celebrada el 14 de marzo de 2018, </w:t>
      </w:r>
      <w:r w:rsidRPr="00F826D6">
        <w:rPr>
          <w:rFonts w:ascii="ITC Avant Garde" w:hAnsi="ITC Avant Garde"/>
          <w:bCs/>
          <w:sz w:val="13"/>
          <w:szCs w:val="13"/>
        </w:rPr>
        <w:t>por unanimidad</w:t>
      </w:r>
      <w:r w:rsidRPr="00F826D6">
        <w:rPr>
          <w:rFonts w:ascii="ITC Avant Garde" w:hAnsi="ITC Avant Garde"/>
          <w:sz w:val="13"/>
          <w:szCs w:val="13"/>
        </w:rPr>
        <w:t xml:space="preserve"> de votos de los Comisionados Gabriel Oswaldo Contreras Saldívar, María Elena </w:t>
      </w:r>
      <w:proofErr w:type="spellStart"/>
      <w:r w:rsidRPr="00F826D6">
        <w:rPr>
          <w:rFonts w:ascii="ITC Avant Garde" w:hAnsi="ITC Avant Garde"/>
          <w:sz w:val="13"/>
          <w:szCs w:val="13"/>
        </w:rPr>
        <w:t>Estavillo</w:t>
      </w:r>
      <w:proofErr w:type="spellEnd"/>
      <w:r w:rsidRPr="00F826D6">
        <w:rPr>
          <w:rFonts w:ascii="ITC Avant Garde" w:hAnsi="ITC Avant Garde"/>
          <w:sz w:val="13"/>
          <w:szCs w:val="13"/>
        </w:rPr>
        <w:t xml:space="preserve"> Flores, Mario Germán </w:t>
      </w:r>
      <w:proofErr w:type="spellStart"/>
      <w:r w:rsidRPr="00F826D6">
        <w:rPr>
          <w:rFonts w:ascii="ITC Avant Garde" w:hAnsi="ITC Avant Garde"/>
          <w:sz w:val="13"/>
          <w:szCs w:val="13"/>
        </w:rPr>
        <w:t>Fromow</w:t>
      </w:r>
      <w:proofErr w:type="spellEnd"/>
      <w:r w:rsidRPr="00F826D6">
        <w:rPr>
          <w:rFonts w:ascii="ITC Avant Garde" w:hAnsi="ITC Avant Garde"/>
          <w:sz w:val="13"/>
          <w:szCs w:val="13"/>
        </w:rPr>
        <w:t xml:space="preserve"> Rangel, Adolfo Cuevas Teja, Javier Juárez Mojica y Arturo Robles </w:t>
      </w:r>
      <w:proofErr w:type="spellStart"/>
      <w:r w:rsidRPr="00F826D6">
        <w:rPr>
          <w:rFonts w:ascii="ITC Avant Garde" w:hAnsi="ITC Avant Garde"/>
          <w:sz w:val="13"/>
          <w:szCs w:val="13"/>
        </w:rPr>
        <w:t>Rovalo</w:t>
      </w:r>
      <w:proofErr w:type="spellEnd"/>
      <w:r w:rsidRPr="00F826D6">
        <w:rPr>
          <w:rFonts w:ascii="ITC Avant Garde" w:hAnsi="ITC Avant Garde"/>
          <w:sz w:val="13"/>
          <w:szCs w:val="13"/>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P/IFT/140318/211.</w:t>
      </w:r>
    </w:p>
    <w:p w14:paraId="7250ED9C" w14:textId="77777777" w:rsidR="00327D0C" w:rsidRDefault="00F826D6" w:rsidP="00D71E1E">
      <w:pPr>
        <w:spacing w:after="240" w:line="276" w:lineRule="auto"/>
        <w:jc w:val="both"/>
        <w:rPr>
          <w:rFonts w:ascii="ITC Avant Garde" w:eastAsia="Times New Roman" w:hAnsi="ITC Avant Garde"/>
          <w:sz w:val="13"/>
          <w:szCs w:val="13"/>
          <w:lang w:val="es-ES"/>
        </w:rPr>
      </w:pPr>
      <w:r w:rsidRPr="00F826D6">
        <w:rPr>
          <w:rFonts w:ascii="ITC Avant Garde" w:hAnsi="ITC Avant Garde"/>
          <w:bCs/>
          <w:sz w:val="13"/>
          <w:szCs w:val="13"/>
          <w:lang w:eastAsia="es-MX"/>
        </w:rPr>
        <w:lastRenderedPageBreak/>
        <w:t xml:space="preserve">El Comisionado Mario Germán </w:t>
      </w:r>
      <w:proofErr w:type="spellStart"/>
      <w:r w:rsidRPr="00F826D6">
        <w:rPr>
          <w:rFonts w:ascii="ITC Avant Garde" w:hAnsi="ITC Avant Garde"/>
          <w:bCs/>
          <w:sz w:val="13"/>
          <w:szCs w:val="13"/>
          <w:lang w:eastAsia="es-MX"/>
        </w:rPr>
        <w:t>Fromow</w:t>
      </w:r>
      <w:proofErr w:type="spellEnd"/>
      <w:r w:rsidRPr="00F826D6">
        <w:rPr>
          <w:rFonts w:ascii="ITC Avant Garde" w:hAnsi="ITC Avant Garde"/>
          <w:bCs/>
          <w:sz w:val="13"/>
          <w:szCs w:val="13"/>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327D0C" w:rsidSect="00955335">
      <w:headerReference w:type="default" r:id="rId15"/>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C7C2" w14:textId="77777777" w:rsidR="0063502F" w:rsidRDefault="0063502F" w:rsidP="00867A99">
      <w:pPr>
        <w:spacing w:after="0" w:line="240" w:lineRule="auto"/>
      </w:pPr>
      <w:r>
        <w:separator/>
      </w:r>
    </w:p>
  </w:endnote>
  <w:endnote w:type="continuationSeparator" w:id="0">
    <w:p w14:paraId="67E6D774" w14:textId="77777777" w:rsidR="0063502F" w:rsidRDefault="0063502F" w:rsidP="00867A99">
      <w:pPr>
        <w:spacing w:after="0" w:line="240" w:lineRule="auto"/>
      </w:pPr>
      <w:r>
        <w:continuationSeparator/>
      </w:r>
    </w:p>
  </w:endnote>
  <w:endnote w:type="continuationNotice" w:id="1">
    <w:p w14:paraId="5EA9ED2B" w14:textId="77777777" w:rsidR="0063502F" w:rsidRDefault="00635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2F7C" w14:textId="31D7762B" w:rsidR="00F54548" w:rsidRDefault="00F54548" w:rsidP="00327D0C">
    <w:pPr>
      <w:pStyle w:val="Piedepgina"/>
      <w:jc w:val="cente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D71E1E">
      <w:rPr>
        <w:rFonts w:ascii="ITC Avant Garde" w:hAnsi="ITC Avant Garde"/>
        <w:bCs/>
        <w:noProof/>
      </w:rPr>
      <w:t>46</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D71E1E">
      <w:rPr>
        <w:rFonts w:ascii="ITC Avant Garde" w:hAnsi="ITC Avant Garde"/>
        <w:bCs/>
        <w:noProof/>
      </w:rPr>
      <w:t>46</w:t>
    </w:r>
    <w:r w:rsidRPr="00A15149">
      <w:rPr>
        <w:rFonts w:ascii="ITC Avant Garde" w:hAnsi="ITC Avant Gar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96C6D" w14:textId="77777777" w:rsidR="0063502F" w:rsidRDefault="0063502F" w:rsidP="00867A99">
      <w:pPr>
        <w:spacing w:after="0" w:line="240" w:lineRule="auto"/>
      </w:pPr>
      <w:r>
        <w:separator/>
      </w:r>
    </w:p>
  </w:footnote>
  <w:footnote w:type="continuationSeparator" w:id="0">
    <w:p w14:paraId="758AEE8D" w14:textId="77777777" w:rsidR="0063502F" w:rsidRDefault="0063502F" w:rsidP="00867A99">
      <w:pPr>
        <w:spacing w:after="0" w:line="240" w:lineRule="auto"/>
      </w:pPr>
      <w:r>
        <w:continuationSeparator/>
      </w:r>
    </w:p>
  </w:footnote>
  <w:footnote w:type="continuationNotice" w:id="1">
    <w:p w14:paraId="71F267D9" w14:textId="77777777" w:rsidR="0063502F" w:rsidRDefault="0063502F">
      <w:pPr>
        <w:spacing w:after="0" w:line="240" w:lineRule="auto"/>
      </w:pPr>
    </w:p>
  </w:footnote>
  <w:footnote w:id="2">
    <w:p w14:paraId="30822F80" w14:textId="77777777" w:rsidR="00CB7F8D" w:rsidRPr="00F54548" w:rsidRDefault="00CB7F8D" w:rsidP="008F15C7">
      <w:pPr>
        <w:pStyle w:val="Textonotapie"/>
        <w:jc w:val="both"/>
        <w:rPr>
          <w:rFonts w:ascii="ITC Avant Garde" w:hAnsi="ITC Avant Garde"/>
          <w:sz w:val="18"/>
          <w:szCs w:val="18"/>
        </w:rPr>
      </w:pPr>
      <w:r w:rsidRPr="00F54548">
        <w:rPr>
          <w:rStyle w:val="Refdenotaalpie"/>
          <w:rFonts w:ascii="ITC Avant Garde" w:hAnsi="ITC Avant Garde"/>
          <w:sz w:val="18"/>
          <w:szCs w:val="18"/>
        </w:rPr>
        <w:footnoteRef/>
      </w:r>
      <w:r w:rsidRPr="00F54548">
        <w:rPr>
          <w:rFonts w:ascii="ITC Avant Garde" w:hAnsi="ITC Avant Garde"/>
          <w:sz w:val="18"/>
          <w:szCs w:val="18"/>
        </w:rPr>
        <w:t xml:space="preserve"> </w:t>
      </w:r>
      <w:r w:rsidRPr="00324770">
        <w:rPr>
          <w:rFonts w:ascii="ITC Avant Garde" w:hAnsi="ITC Avant Garde"/>
          <w:sz w:val="18"/>
          <w:szCs w:val="18"/>
        </w:rPr>
        <w:t>Cabe señalar que el oficio por el cual emite opinión la Secretaría de Comunicaciones y Transportes formó parte de la resolución emitida por este órgano colegiado en su XXX Sesión Ordinaria de doce de julio de dos mil diecisiete a través del Acuerdo P/IFT/120717/427.</w:t>
      </w:r>
    </w:p>
  </w:footnote>
  <w:footnote w:id="3">
    <w:p w14:paraId="30822F81" w14:textId="77777777" w:rsidR="00CB7F8D" w:rsidRDefault="00CB7F8D" w:rsidP="00F86BDD">
      <w:pPr>
        <w:pStyle w:val="Textonotapie"/>
        <w:jc w:val="both"/>
        <w:rPr>
          <w:rFonts w:ascii="ITC Avant Garde" w:hAnsi="ITC Avant Garde"/>
          <w:sz w:val="16"/>
        </w:rPr>
      </w:pPr>
      <w:r>
        <w:rPr>
          <w:rStyle w:val="Refdenotaalpie"/>
          <w:rFonts w:ascii="ITC Avant Garde" w:hAnsi="ITC Avant Garde"/>
          <w:sz w:val="16"/>
        </w:rPr>
        <w:footnoteRef/>
      </w:r>
      <w:r>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2F7A" w14:textId="77777777" w:rsidR="00F54548" w:rsidRDefault="0063502F">
    <w:pPr>
      <w:pStyle w:val="Encabezado"/>
    </w:pPr>
    <w:r>
      <w:rPr>
        <w:noProof/>
        <w:lang w:eastAsia="es-MX"/>
      </w:rPr>
      <w:pict w14:anchorId="30822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788A" w14:textId="77777777" w:rsidR="00955335" w:rsidRDefault="00955335" w:rsidP="00955335">
    <w:pPr>
      <w:jc w:val="both"/>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2F7D" w14:textId="77777777" w:rsidR="00F54548" w:rsidRDefault="0063502F">
    <w:pPr>
      <w:pStyle w:val="Encabezado"/>
    </w:pPr>
    <w:r>
      <w:rPr>
        <w:noProof/>
        <w:lang w:eastAsia="es-MX"/>
      </w:rPr>
      <w:pict w14:anchorId="30822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E228" w14:textId="77777777" w:rsidR="00955335" w:rsidRDefault="009553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1">
    <w:nsid w:val="008D559A"/>
    <w:multiLevelType w:val="hybridMultilevel"/>
    <w:tmpl w:val="B1DEFE92"/>
    <w:lvl w:ilvl="0" w:tplc="BA027F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1">
    <w:nsid w:val="00FF5631"/>
    <w:multiLevelType w:val="hybridMultilevel"/>
    <w:tmpl w:val="25629FEC"/>
    <w:lvl w:ilvl="0" w:tplc="0074C354">
      <w:start w:val="1"/>
      <w:numFmt w:val="bullet"/>
      <w:lvlText w:val="-"/>
      <w:lvlJc w:val="left"/>
      <w:pPr>
        <w:ind w:left="2160" w:hanging="360"/>
      </w:pPr>
      <w:rPr>
        <w:rFonts w:ascii="ITC Avant Garde" w:eastAsia="Times New Roman" w:hAnsi="ITC Avant Garde" w:cs="Times New Roman"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1">
    <w:nsid w:val="08497FBD"/>
    <w:multiLevelType w:val="hybridMultilevel"/>
    <w:tmpl w:val="7B607022"/>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1">
    <w:nsid w:val="1BB63FE7"/>
    <w:multiLevelType w:val="hybridMultilevel"/>
    <w:tmpl w:val="70107F0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1">
    <w:nsid w:val="22221CB8"/>
    <w:multiLevelType w:val="hybridMultilevel"/>
    <w:tmpl w:val="E81AD430"/>
    <w:lvl w:ilvl="0" w:tplc="BD7026F0">
      <w:start w:val="1"/>
      <w:numFmt w:val="upperRoman"/>
      <w:lvlText w:val="%1."/>
      <w:lvlJc w:val="right"/>
      <w:pPr>
        <w:ind w:left="1287" w:hanging="360"/>
      </w:pPr>
      <w:rPr>
        <w:b/>
      </w:r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6" w15:restartNumberingAfterBreak="1">
    <w:nsid w:val="24CE2206"/>
    <w:multiLevelType w:val="hybridMultilevel"/>
    <w:tmpl w:val="D33A0CB2"/>
    <w:lvl w:ilvl="0" w:tplc="499C421C">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34F25339"/>
    <w:multiLevelType w:val="hybridMultilevel"/>
    <w:tmpl w:val="3FBC6496"/>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404C6DB2"/>
    <w:multiLevelType w:val="hybridMultilevel"/>
    <w:tmpl w:val="42B48A32"/>
    <w:lvl w:ilvl="0" w:tplc="E55C9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487A3200"/>
    <w:multiLevelType w:val="hybridMultilevel"/>
    <w:tmpl w:val="3EBE7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5433635C"/>
    <w:multiLevelType w:val="hybridMultilevel"/>
    <w:tmpl w:val="1D60341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1">
    <w:nsid w:val="5742419A"/>
    <w:multiLevelType w:val="hybridMultilevel"/>
    <w:tmpl w:val="DEB0AC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1">
    <w:nsid w:val="5B5A44B9"/>
    <w:multiLevelType w:val="hybridMultilevel"/>
    <w:tmpl w:val="AB0090F0"/>
    <w:lvl w:ilvl="0" w:tplc="09F2DDF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C89383C"/>
    <w:multiLevelType w:val="hybridMultilevel"/>
    <w:tmpl w:val="0572474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1">
    <w:nsid w:val="664414A6"/>
    <w:multiLevelType w:val="hybridMultilevel"/>
    <w:tmpl w:val="837246EA"/>
    <w:lvl w:ilvl="0" w:tplc="850227F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1">
    <w:nsid w:val="67614B5A"/>
    <w:multiLevelType w:val="hybridMultilevel"/>
    <w:tmpl w:val="01CEB9D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1">
    <w:nsid w:val="6BF31882"/>
    <w:multiLevelType w:val="hybridMultilevel"/>
    <w:tmpl w:val="C99036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1">
    <w:nsid w:val="799C348D"/>
    <w:multiLevelType w:val="hybridMultilevel"/>
    <w:tmpl w:val="F578854C"/>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3"/>
  </w:num>
  <w:num w:numId="7">
    <w:abstractNumId w:val="15"/>
  </w:num>
  <w:num w:numId="8">
    <w:abstractNumId w:val="9"/>
  </w:num>
  <w:num w:numId="9">
    <w:abstractNumId w:val="8"/>
  </w:num>
  <w:num w:numId="10">
    <w:abstractNumId w:val="14"/>
  </w:num>
  <w:num w:numId="11">
    <w:abstractNumId w:val="2"/>
  </w:num>
  <w:num w:numId="12">
    <w:abstractNumId w:val="1"/>
  </w:num>
  <w:num w:numId="13">
    <w:abstractNumId w:val="13"/>
  </w:num>
  <w:num w:numId="14">
    <w:abstractNumId w:val="16"/>
  </w:num>
  <w:num w:numId="15">
    <w:abstractNumId w:val="16"/>
  </w:num>
  <w:num w:numId="16">
    <w:abstractNumId w:val="4"/>
  </w:num>
  <w:num w:numId="17">
    <w:abstractNumId w:val="11"/>
  </w:num>
  <w:num w:numId="18">
    <w:abstractNumId w:val="13"/>
  </w:num>
  <w:num w:numId="19">
    <w:abstractNumId w:val="10"/>
  </w:num>
  <w:num w:numId="20">
    <w:abstractNumId w:val="4"/>
  </w:num>
  <w:num w:numId="21">
    <w:abstractNumId w:val="12"/>
  </w:num>
  <w:num w:numId="22">
    <w:abstractNumId w:val="17"/>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1264"/>
    <w:rsid w:val="000027CA"/>
    <w:rsid w:val="00003450"/>
    <w:rsid w:val="00003740"/>
    <w:rsid w:val="0000479B"/>
    <w:rsid w:val="00004DFE"/>
    <w:rsid w:val="00005620"/>
    <w:rsid w:val="00005A9F"/>
    <w:rsid w:val="0000603E"/>
    <w:rsid w:val="000061CB"/>
    <w:rsid w:val="000069DF"/>
    <w:rsid w:val="00006AC3"/>
    <w:rsid w:val="00006C1E"/>
    <w:rsid w:val="000105C7"/>
    <w:rsid w:val="000110D2"/>
    <w:rsid w:val="00011168"/>
    <w:rsid w:val="00011F10"/>
    <w:rsid w:val="00011F58"/>
    <w:rsid w:val="00012052"/>
    <w:rsid w:val="00013925"/>
    <w:rsid w:val="00013DF4"/>
    <w:rsid w:val="00014BDF"/>
    <w:rsid w:val="00014E46"/>
    <w:rsid w:val="00015310"/>
    <w:rsid w:val="00015689"/>
    <w:rsid w:val="0001636B"/>
    <w:rsid w:val="000166A6"/>
    <w:rsid w:val="0001709A"/>
    <w:rsid w:val="00017780"/>
    <w:rsid w:val="00017797"/>
    <w:rsid w:val="00017985"/>
    <w:rsid w:val="00017ABF"/>
    <w:rsid w:val="00017B78"/>
    <w:rsid w:val="000203B2"/>
    <w:rsid w:val="00020F0A"/>
    <w:rsid w:val="0002185A"/>
    <w:rsid w:val="00022404"/>
    <w:rsid w:val="00022951"/>
    <w:rsid w:val="000234F0"/>
    <w:rsid w:val="000249F8"/>
    <w:rsid w:val="00024CD8"/>
    <w:rsid w:val="00024D2C"/>
    <w:rsid w:val="0002793F"/>
    <w:rsid w:val="000307B8"/>
    <w:rsid w:val="0003096D"/>
    <w:rsid w:val="00030D06"/>
    <w:rsid w:val="00031EDB"/>
    <w:rsid w:val="00032B53"/>
    <w:rsid w:val="00032FDE"/>
    <w:rsid w:val="000357F7"/>
    <w:rsid w:val="0003632B"/>
    <w:rsid w:val="00036AAB"/>
    <w:rsid w:val="0004056D"/>
    <w:rsid w:val="00040F05"/>
    <w:rsid w:val="000418E9"/>
    <w:rsid w:val="00041BE8"/>
    <w:rsid w:val="00041D1C"/>
    <w:rsid w:val="00042200"/>
    <w:rsid w:val="00043823"/>
    <w:rsid w:val="00043952"/>
    <w:rsid w:val="00045089"/>
    <w:rsid w:val="000457E4"/>
    <w:rsid w:val="0004583C"/>
    <w:rsid w:val="0004662C"/>
    <w:rsid w:val="0004671E"/>
    <w:rsid w:val="00047167"/>
    <w:rsid w:val="000475A0"/>
    <w:rsid w:val="000476E7"/>
    <w:rsid w:val="00047C5D"/>
    <w:rsid w:val="00050734"/>
    <w:rsid w:val="0005108E"/>
    <w:rsid w:val="00051CBC"/>
    <w:rsid w:val="00051E18"/>
    <w:rsid w:val="00052225"/>
    <w:rsid w:val="0005563B"/>
    <w:rsid w:val="000557DD"/>
    <w:rsid w:val="00055885"/>
    <w:rsid w:val="000559C8"/>
    <w:rsid w:val="000579EC"/>
    <w:rsid w:val="000610D4"/>
    <w:rsid w:val="000614E1"/>
    <w:rsid w:val="00064A06"/>
    <w:rsid w:val="00064B78"/>
    <w:rsid w:val="00065CAD"/>
    <w:rsid w:val="00066037"/>
    <w:rsid w:val="00066A31"/>
    <w:rsid w:val="00066A35"/>
    <w:rsid w:val="00067A4F"/>
    <w:rsid w:val="00067D58"/>
    <w:rsid w:val="00067FE2"/>
    <w:rsid w:val="000706B6"/>
    <w:rsid w:val="00070BF2"/>
    <w:rsid w:val="00070C05"/>
    <w:rsid w:val="00071857"/>
    <w:rsid w:val="00072101"/>
    <w:rsid w:val="000728E2"/>
    <w:rsid w:val="00073FD4"/>
    <w:rsid w:val="0007401E"/>
    <w:rsid w:val="00074549"/>
    <w:rsid w:val="00075092"/>
    <w:rsid w:val="00075300"/>
    <w:rsid w:val="00075E3E"/>
    <w:rsid w:val="00076F2A"/>
    <w:rsid w:val="00077A85"/>
    <w:rsid w:val="00081941"/>
    <w:rsid w:val="00081DA7"/>
    <w:rsid w:val="000821FC"/>
    <w:rsid w:val="00083169"/>
    <w:rsid w:val="0008362C"/>
    <w:rsid w:val="00083649"/>
    <w:rsid w:val="00083769"/>
    <w:rsid w:val="000842D9"/>
    <w:rsid w:val="00084CED"/>
    <w:rsid w:val="00085C64"/>
    <w:rsid w:val="00086906"/>
    <w:rsid w:val="00086991"/>
    <w:rsid w:val="00087496"/>
    <w:rsid w:val="00087C86"/>
    <w:rsid w:val="0009115B"/>
    <w:rsid w:val="00091264"/>
    <w:rsid w:val="0009142D"/>
    <w:rsid w:val="0009266E"/>
    <w:rsid w:val="00093252"/>
    <w:rsid w:val="00093EA3"/>
    <w:rsid w:val="00094FDF"/>
    <w:rsid w:val="000950FE"/>
    <w:rsid w:val="000964C1"/>
    <w:rsid w:val="000966A1"/>
    <w:rsid w:val="000A0245"/>
    <w:rsid w:val="000A04D2"/>
    <w:rsid w:val="000A0639"/>
    <w:rsid w:val="000A08C8"/>
    <w:rsid w:val="000A1E6E"/>
    <w:rsid w:val="000A3C73"/>
    <w:rsid w:val="000A4B72"/>
    <w:rsid w:val="000A5106"/>
    <w:rsid w:val="000A54D3"/>
    <w:rsid w:val="000A6E36"/>
    <w:rsid w:val="000B14C2"/>
    <w:rsid w:val="000B4149"/>
    <w:rsid w:val="000B564C"/>
    <w:rsid w:val="000B5689"/>
    <w:rsid w:val="000B5D54"/>
    <w:rsid w:val="000B5D71"/>
    <w:rsid w:val="000B6149"/>
    <w:rsid w:val="000B73A5"/>
    <w:rsid w:val="000B7668"/>
    <w:rsid w:val="000B7BBC"/>
    <w:rsid w:val="000B7FB9"/>
    <w:rsid w:val="000C0BE1"/>
    <w:rsid w:val="000C1AC7"/>
    <w:rsid w:val="000C1BF2"/>
    <w:rsid w:val="000C1E26"/>
    <w:rsid w:val="000C23C2"/>
    <w:rsid w:val="000C264A"/>
    <w:rsid w:val="000C2D2A"/>
    <w:rsid w:val="000C4275"/>
    <w:rsid w:val="000C4503"/>
    <w:rsid w:val="000C4F42"/>
    <w:rsid w:val="000C55D9"/>
    <w:rsid w:val="000C56E3"/>
    <w:rsid w:val="000C5974"/>
    <w:rsid w:val="000C5DEC"/>
    <w:rsid w:val="000C6210"/>
    <w:rsid w:val="000C66CB"/>
    <w:rsid w:val="000C77CA"/>
    <w:rsid w:val="000C7B2F"/>
    <w:rsid w:val="000D029F"/>
    <w:rsid w:val="000D0585"/>
    <w:rsid w:val="000D08F5"/>
    <w:rsid w:val="000D0F72"/>
    <w:rsid w:val="000D137F"/>
    <w:rsid w:val="000D17A2"/>
    <w:rsid w:val="000D1AC8"/>
    <w:rsid w:val="000D236B"/>
    <w:rsid w:val="000D2431"/>
    <w:rsid w:val="000D2491"/>
    <w:rsid w:val="000D24D2"/>
    <w:rsid w:val="000D299D"/>
    <w:rsid w:val="000D33F2"/>
    <w:rsid w:val="000D46E8"/>
    <w:rsid w:val="000D4A28"/>
    <w:rsid w:val="000D6DC0"/>
    <w:rsid w:val="000D7B27"/>
    <w:rsid w:val="000D7F98"/>
    <w:rsid w:val="000E1079"/>
    <w:rsid w:val="000E1752"/>
    <w:rsid w:val="000E2838"/>
    <w:rsid w:val="000E2B91"/>
    <w:rsid w:val="000E62F2"/>
    <w:rsid w:val="000E651B"/>
    <w:rsid w:val="000E757F"/>
    <w:rsid w:val="000E7F04"/>
    <w:rsid w:val="000F0B70"/>
    <w:rsid w:val="000F0DCE"/>
    <w:rsid w:val="000F2261"/>
    <w:rsid w:val="000F2262"/>
    <w:rsid w:val="000F278D"/>
    <w:rsid w:val="000F2D1E"/>
    <w:rsid w:val="000F32BE"/>
    <w:rsid w:val="000F3F3C"/>
    <w:rsid w:val="000F50EA"/>
    <w:rsid w:val="000F57B5"/>
    <w:rsid w:val="000F786E"/>
    <w:rsid w:val="000F7DF6"/>
    <w:rsid w:val="00100002"/>
    <w:rsid w:val="00101F02"/>
    <w:rsid w:val="0010279D"/>
    <w:rsid w:val="00102D09"/>
    <w:rsid w:val="0010321A"/>
    <w:rsid w:val="0010330D"/>
    <w:rsid w:val="00103AA9"/>
    <w:rsid w:val="001041E2"/>
    <w:rsid w:val="00105FC7"/>
    <w:rsid w:val="00106480"/>
    <w:rsid w:val="00107021"/>
    <w:rsid w:val="00110B05"/>
    <w:rsid w:val="00111F66"/>
    <w:rsid w:val="001121BE"/>
    <w:rsid w:val="00112830"/>
    <w:rsid w:val="00113D19"/>
    <w:rsid w:val="00113D85"/>
    <w:rsid w:val="001144EE"/>
    <w:rsid w:val="0011486D"/>
    <w:rsid w:val="00114A53"/>
    <w:rsid w:val="00114ACE"/>
    <w:rsid w:val="0011528C"/>
    <w:rsid w:val="001155A6"/>
    <w:rsid w:val="00116B2A"/>
    <w:rsid w:val="00117240"/>
    <w:rsid w:val="00117B42"/>
    <w:rsid w:val="0012028D"/>
    <w:rsid w:val="00120E1E"/>
    <w:rsid w:val="00121071"/>
    <w:rsid w:val="00121A3C"/>
    <w:rsid w:val="00121AD8"/>
    <w:rsid w:val="00121EBC"/>
    <w:rsid w:val="00121FAA"/>
    <w:rsid w:val="00123A2C"/>
    <w:rsid w:val="0012400F"/>
    <w:rsid w:val="00124936"/>
    <w:rsid w:val="0012532D"/>
    <w:rsid w:val="00125816"/>
    <w:rsid w:val="00125BFE"/>
    <w:rsid w:val="001260E7"/>
    <w:rsid w:val="001260EF"/>
    <w:rsid w:val="0012733C"/>
    <w:rsid w:val="00130E37"/>
    <w:rsid w:val="00131378"/>
    <w:rsid w:val="00131780"/>
    <w:rsid w:val="00131DF4"/>
    <w:rsid w:val="001333A7"/>
    <w:rsid w:val="00133D8E"/>
    <w:rsid w:val="00134685"/>
    <w:rsid w:val="001350A8"/>
    <w:rsid w:val="00135AE9"/>
    <w:rsid w:val="00135F76"/>
    <w:rsid w:val="00135FE7"/>
    <w:rsid w:val="001362B1"/>
    <w:rsid w:val="0013708E"/>
    <w:rsid w:val="0013742B"/>
    <w:rsid w:val="00137CE0"/>
    <w:rsid w:val="00137DEF"/>
    <w:rsid w:val="0014094A"/>
    <w:rsid w:val="00140AE2"/>
    <w:rsid w:val="00140D74"/>
    <w:rsid w:val="0014131A"/>
    <w:rsid w:val="0014187F"/>
    <w:rsid w:val="001429CC"/>
    <w:rsid w:val="00142EB4"/>
    <w:rsid w:val="00143768"/>
    <w:rsid w:val="00144606"/>
    <w:rsid w:val="0014546B"/>
    <w:rsid w:val="00145B9A"/>
    <w:rsid w:val="00145CDF"/>
    <w:rsid w:val="00147AC2"/>
    <w:rsid w:val="00150B8B"/>
    <w:rsid w:val="00151956"/>
    <w:rsid w:val="001536F1"/>
    <w:rsid w:val="00153EE3"/>
    <w:rsid w:val="0015404E"/>
    <w:rsid w:val="00154DA9"/>
    <w:rsid w:val="00155326"/>
    <w:rsid w:val="0015563B"/>
    <w:rsid w:val="00155A4F"/>
    <w:rsid w:val="00155CE9"/>
    <w:rsid w:val="00155DC4"/>
    <w:rsid w:val="00156498"/>
    <w:rsid w:val="00156594"/>
    <w:rsid w:val="00156682"/>
    <w:rsid w:val="00156EF1"/>
    <w:rsid w:val="001608A0"/>
    <w:rsid w:val="00161239"/>
    <w:rsid w:val="00162052"/>
    <w:rsid w:val="0016206D"/>
    <w:rsid w:val="00162FE2"/>
    <w:rsid w:val="00163062"/>
    <w:rsid w:val="00163450"/>
    <w:rsid w:val="0016372B"/>
    <w:rsid w:val="00163EF0"/>
    <w:rsid w:val="001645D1"/>
    <w:rsid w:val="001650D5"/>
    <w:rsid w:val="0017024F"/>
    <w:rsid w:val="00170508"/>
    <w:rsid w:val="001709C8"/>
    <w:rsid w:val="00170EB3"/>
    <w:rsid w:val="001714EE"/>
    <w:rsid w:val="00171666"/>
    <w:rsid w:val="00172051"/>
    <w:rsid w:val="00172511"/>
    <w:rsid w:val="001726DF"/>
    <w:rsid w:val="00173D1C"/>
    <w:rsid w:val="00173E2F"/>
    <w:rsid w:val="00175B63"/>
    <w:rsid w:val="001763CE"/>
    <w:rsid w:val="001771E3"/>
    <w:rsid w:val="0017761B"/>
    <w:rsid w:val="001804A9"/>
    <w:rsid w:val="00183461"/>
    <w:rsid w:val="00183F90"/>
    <w:rsid w:val="0018452C"/>
    <w:rsid w:val="00184782"/>
    <w:rsid w:val="00185AF7"/>
    <w:rsid w:val="00185D52"/>
    <w:rsid w:val="00185F82"/>
    <w:rsid w:val="00186007"/>
    <w:rsid w:val="00186035"/>
    <w:rsid w:val="00186695"/>
    <w:rsid w:val="001866FA"/>
    <w:rsid w:val="00186941"/>
    <w:rsid w:val="001903C4"/>
    <w:rsid w:val="00190FE1"/>
    <w:rsid w:val="0019177A"/>
    <w:rsid w:val="00191977"/>
    <w:rsid w:val="00191A94"/>
    <w:rsid w:val="00191EC4"/>
    <w:rsid w:val="00192EB9"/>
    <w:rsid w:val="0019379A"/>
    <w:rsid w:val="00193E20"/>
    <w:rsid w:val="0019460E"/>
    <w:rsid w:val="00194868"/>
    <w:rsid w:val="00194F5D"/>
    <w:rsid w:val="00194FB1"/>
    <w:rsid w:val="00195328"/>
    <w:rsid w:val="00195636"/>
    <w:rsid w:val="00195890"/>
    <w:rsid w:val="001958ED"/>
    <w:rsid w:val="001968E1"/>
    <w:rsid w:val="001A0204"/>
    <w:rsid w:val="001A07AC"/>
    <w:rsid w:val="001A17F3"/>
    <w:rsid w:val="001A1A21"/>
    <w:rsid w:val="001A1C44"/>
    <w:rsid w:val="001A291F"/>
    <w:rsid w:val="001A2BE4"/>
    <w:rsid w:val="001A3BCF"/>
    <w:rsid w:val="001A3C48"/>
    <w:rsid w:val="001A4D89"/>
    <w:rsid w:val="001A69AA"/>
    <w:rsid w:val="001A6F6C"/>
    <w:rsid w:val="001B050A"/>
    <w:rsid w:val="001B0884"/>
    <w:rsid w:val="001B14FC"/>
    <w:rsid w:val="001B1BAD"/>
    <w:rsid w:val="001B1BE5"/>
    <w:rsid w:val="001B252E"/>
    <w:rsid w:val="001B4B08"/>
    <w:rsid w:val="001B7D1C"/>
    <w:rsid w:val="001C083D"/>
    <w:rsid w:val="001C10A4"/>
    <w:rsid w:val="001C1991"/>
    <w:rsid w:val="001C1B49"/>
    <w:rsid w:val="001C2374"/>
    <w:rsid w:val="001C3346"/>
    <w:rsid w:val="001C4754"/>
    <w:rsid w:val="001C48B8"/>
    <w:rsid w:val="001C4F4E"/>
    <w:rsid w:val="001C6714"/>
    <w:rsid w:val="001C744D"/>
    <w:rsid w:val="001C74C2"/>
    <w:rsid w:val="001C779A"/>
    <w:rsid w:val="001C7D02"/>
    <w:rsid w:val="001C7E7C"/>
    <w:rsid w:val="001D14F6"/>
    <w:rsid w:val="001D1761"/>
    <w:rsid w:val="001D1C7B"/>
    <w:rsid w:val="001D296C"/>
    <w:rsid w:val="001D48A2"/>
    <w:rsid w:val="001D5571"/>
    <w:rsid w:val="001D557B"/>
    <w:rsid w:val="001D6709"/>
    <w:rsid w:val="001D6D28"/>
    <w:rsid w:val="001D7118"/>
    <w:rsid w:val="001D75C2"/>
    <w:rsid w:val="001D76AE"/>
    <w:rsid w:val="001D7946"/>
    <w:rsid w:val="001D7D68"/>
    <w:rsid w:val="001E0337"/>
    <w:rsid w:val="001E055A"/>
    <w:rsid w:val="001E1978"/>
    <w:rsid w:val="001E2742"/>
    <w:rsid w:val="001E2F97"/>
    <w:rsid w:val="001E3669"/>
    <w:rsid w:val="001E3737"/>
    <w:rsid w:val="001E3DEB"/>
    <w:rsid w:val="001E48E5"/>
    <w:rsid w:val="001E4ADF"/>
    <w:rsid w:val="001E5ED2"/>
    <w:rsid w:val="001E6D21"/>
    <w:rsid w:val="001E6FA9"/>
    <w:rsid w:val="001E7451"/>
    <w:rsid w:val="001E764B"/>
    <w:rsid w:val="001E7CFD"/>
    <w:rsid w:val="001E7FF6"/>
    <w:rsid w:val="001F02E3"/>
    <w:rsid w:val="001F06CE"/>
    <w:rsid w:val="001F08F4"/>
    <w:rsid w:val="001F1D32"/>
    <w:rsid w:val="001F3562"/>
    <w:rsid w:val="001F3901"/>
    <w:rsid w:val="001F3AF4"/>
    <w:rsid w:val="001F4124"/>
    <w:rsid w:val="001F5429"/>
    <w:rsid w:val="001F5607"/>
    <w:rsid w:val="001F5F26"/>
    <w:rsid w:val="001F7117"/>
    <w:rsid w:val="001F73FD"/>
    <w:rsid w:val="001F7F2F"/>
    <w:rsid w:val="00200110"/>
    <w:rsid w:val="00200190"/>
    <w:rsid w:val="00200508"/>
    <w:rsid w:val="00201218"/>
    <w:rsid w:val="002022C7"/>
    <w:rsid w:val="0020285E"/>
    <w:rsid w:val="002038ED"/>
    <w:rsid w:val="00203F75"/>
    <w:rsid w:val="00204488"/>
    <w:rsid w:val="00204F4D"/>
    <w:rsid w:val="00206120"/>
    <w:rsid w:val="002065D2"/>
    <w:rsid w:val="002113F7"/>
    <w:rsid w:val="00211E14"/>
    <w:rsid w:val="002122B7"/>
    <w:rsid w:val="00214037"/>
    <w:rsid w:val="0021426B"/>
    <w:rsid w:val="00215615"/>
    <w:rsid w:val="00216D6C"/>
    <w:rsid w:val="00217255"/>
    <w:rsid w:val="00217C87"/>
    <w:rsid w:val="002204EE"/>
    <w:rsid w:val="00220B37"/>
    <w:rsid w:val="00221981"/>
    <w:rsid w:val="00222208"/>
    <w:rsid w:val="00222E1A"/>
    <w:rsid w:val="002239CB"/>
    <w:rsid w:val="00225226"/>
    <w:rsid w:val="0022690E"/>
    <w:rsid w:val="00226BB4"/>
    <w:rsid w:val="00227EF3"/>
    <w:rsid w:val="002306B6"/>
    <w:rsid w:val="00230FF2"/>
    <w:rsid w:val="002313BB"/>
    <w:rsid w:val="002315EB"/>
    <w:rsid w:val="00232142"/>
    <w:rsid w:val="00233141"/>
    <w:rsid w:val="0023329A"/>
    <w:rsid w:val="00233406"/>
    <w:rsid w:val="0023355D"/>
    <w:rsid w:val="0023389E"/>
    <w:rsid w:val="002349FC"/>
    <w:rsid w:val="0023514C"/>
    <w:rsid w:val="00236594"/>
    <w:rsid w:val="0023781B"/>
    <w:rsid w:val="002402EC"/>
    <w:rsid w:val="00241B19"/>
    <w:rsid w:val="002435BE"/>
    <w:rsid w:val="00243DDD"/>
    <w:rsid w:val="00243F8B"/>
    <w:rsid w:val="00244A2A"/>
    <w:rsid w:val="00244F2C"/>
    <w:rsid w:val="00244F34"/>
    <w:rsid w:val="002450EB"/>
    <w:rsid w:val="0024565F"/>
    <w:rsid w:val="00245718"/>
    <w:rsid w:val="002459E6"/>
    <w:rsid w:val="00246214"/>
    <w:rsid w:val="0024634A"/>
    <w:rsid w:val="0024749D"/>
    <w:rsid w:val="002475F0"/>
    <w:rsid w:val="00247734"/>
    <w:rsid w:val="00250073"/>
    <w:rsid w:val="002509FA"/>
    <w:rsid w:val="002512E1"/>
    <w:rsid w:val="00251A08"/>
    <w:rsid w:val="00253C74"/>
    <w:rsid w:val="00254148"/>
    <w:rsid w:val="0025421C"/>
    <w:rsid w:val="0025482F"/>
    <w:rsid w:val="00254912"/>
    <w:rsid w:val="00255902"/>
    <w:rsid w:val="00256593"/>
    <w:rsid w:val="00256717"/>
    <w:rsid w:val="00260664"/>
    <w:rsid w:val="0026087C"/>
    <w:rsid w:val="002611EF"/>
    <w:rsid w:val="00262436"/>
    <w:rsid w:val="00264196"/>
    <w:rsid w:val="00264BB2"/>
    <w:rsid w:val="00267926"/>
    <w:rsid w:val="0026797C"/>
    <w:rsid w:val="00270D49"/>
    <w:rsid w:val="00271301"/>
    <w:rsid w:val="00271779"/>
    <w:rsid w:val="0027181F"/>
    <w:rsid w:val="00273CC2"/>
    <w:rsid w:val="00274020"/>
    <w:rsid w:val="0027485E"/>
    <w:rsid w:val="00274C0E"/>
    <w:rsid w:val="00275014"/>
    <w:rsid w:val="00275517"/>
    <w:rsid w:val="00276F42"/>
    <w:rsid w:val="00277F84"/>
    <w:rsid w:val="00281648"/>
    <w:rsid w:val="00281ACF"/>
    <w:rsid w:val="002824D2"/>
    <w:rsid w:val="002839CF"/>
    <w:rsid w:val="00283FA7"/>
    <w:rsid w:val="00284B7A"/>
    <w:rsid w:val="00286AA8"/>
    <w:rsid w:val="00286B14"/>
    <w:rsid w:val="00290E15"/>
    <w:rsid w:val="0029134E"/>
    <w:rsid w:val="00292061"/>
    <w:rsid w:val="00292D3F"/>
    <w:rsid w:val="00297082"/>
    <w:rsid w:val="002A0017"/>
    <w:rsid w:val="002A0481"/>
    <w:rsid w:val="002A147F"/>
    <w:rsid w:val="002A1AE8"/>
    <w:rsid w:val="002A1F88"/>
    <w:rsid w:val="002A2100"/>
    <w:rsid w:val="002A2368"/>
    <w:rsid w:val="002A2475"/>
    <w:rsid w:val="002A3E6E"/>
    <w:rsid w:val="002A3FF9"/>
    <w:rsid w:val="002A49E5"/>
    <w:rsid w:val="002A590A"/>
    <w:rsid w:val="002A630D"/>
    <w:rsid w:val="002A7660"/>
    <w:rsid w:val="002A7687"/>
    <w:rsid w:val="002B009C"/>
    <w:rsid w:val="002B021F"/>
    <w:rsid w:val="002B0D80"/>
    <w:rsid w:val="002B0E28"/>
    <w:rsid w:val="002B1865"/>
    <w:rsid w:val="002B25D5"/>
    <w:rsid w:val="002B2651"/>
    <w:rsid w:val="002B2C9B"/>
    <w:rsid w:val="002B3C3B"/>
    <w:rsid w:val="002B4750"/>
    <w:rsid w:val="002B770C"/>
    <w:rsid w:val="002B7E2C"/>
    <w:rsid w:val="002C00F1"/>
    <w:rsid w:val="002C08F2"/>
    <w:rsid w:val="002C09F2"/>
    <w:rsid w:val="002C0C99"/>
    <w:rsid w:val="002C0F08"/>
    <w:rsid w:val="002C12FE"/>
    <w:rsid w:val="002C15DF"/>
    <w:rsid w:val="002C1C4A"/>
    <w:rsid w:val="002C2101"/>
    <w:rsid w:val="002C267F"/>
    <w:rsid w:val="002C30C1"/>
    <w:rsid w:val="002C471C"/>
    <w:rsid w:val="002C56FB"/>
    <w:rsid w:val="002C589B"/>
    <w:rsid w:val="002C5B02"/>
    <w:rsid w:val="002C6195"/>
    <w:rsid w:val="002C6578"/>
    <w:rsid w:val="002C6FA8"/>
    <w:rsid w:val="002C7B23"/>
    <w:rsid w:val="002C7BF4"/>
    <w:rsid w:val="002D035B"/>
    <w:rsid w:val="002D12CD"/>
    <w:rsid w:val="002D19A8"/>
    <w:rsid w:val="002D287A"/>
    <w:rsid w:val="002D2A65"/>
    <w:rsid w:val="002D3E21"/>
    <w:rsid w:val="002D4EF3"/>
    <w:rsid w:val="002D5B89"/>
    <w:rsid w:val="002D6FCA"/>
    <w:rsid w:val="002D7053"/>
    <w:rsid w:val="002D75F4"/>
    <w:rsid w:val="002D7706"/>
    <w:rsid w:val="002E028C"/>
    <w:rsid w:val="002E10FB"/>
    <w:rsid w:val="002E193D"/>
    <w:rsid w:val="002E2455"/>
    <w:rsid w:val="002E36E3"/>
    <w:rsid w:val="002E382E"/>
    <w:rsid w:val="002E4361"/>
    <w:rsid w:val="002E4AA4"/>
    <w:rsid w:val="002E4B6B"/>
    <w:rsid w:val="002E4C6A"/>
    <w:rsid w:val="002E5654"/>
    <w:rsid w:val="002E6B6C"/>
    <w:rsid w:val="002E70F2"/>
    <w:rsid w:val="002E79A6"/>
    <w:rsid w:val="002E7D06"/>
    <w:rsid w:val="002F1A75"/>
    <w:rsid w:val="002F260C"/>
    <w:rsid w:val="002F2AD3"/>
    <w:rsid w:val="002F3FD8"/>
    <w:rsid w:val="002F52A4"/>
    <w:rsid w:val="002F52D5"/>
    <w:rsid w:val="002F5D3E"/>
    <w:rsid w:val="002F684D"/>
    <w:rsid w:val="0030242A"/>
    <w:rsid w:val="003029BA"/>
    <w:rsid w:val="00302C6A"/>
    <w:rsid w:val="0030308F"/>
    <w:rsid w:val="00304EA8"/>
    <w:rsid w:val="00304F6D"/>
    <w:rsid w:val="00307205"/>
    <w:rsid w:val="0031107E"/>
    <w:rsid w:val="00311771"/>
    <w:rsid w:val="00312505"/>
    <w:rsid w:val="00312532"/>
    <w:rsid w:val="003134BF"/>
    <w:rsid w:val="00313AB1"/>
    <w:rsid w:val="003149E0"/>
    <w:rsid w:val="00314DE6"/>
    <w:rsid w:val="0031515F"/>
    <w:rsid w:val="00315D74"/>
    <w:rsid w:val="00317458"/>
    <w:rsid w:val="0031776D"/>
    <w:rsid w:val="0031791A"/>
    <w:rsid w:val="00317F4A"/>
    <w:rsid w:val="0032045B"/>
    <w:rsid w:val="00320774"/>
    <w:rsid w:val="00320991"/>
    <w:rsid w:val="003213AA"/>
    <w:rsid w:val="00321423"/>
    <w:rsid w:val="00321454"/>
    <w:rsid w:val="003216BD"/>
    <w:rsid w:val="00321AEA"/>
    <w:rsid w:val="00321D6E"/>
    <w:rsid w:val="00322014"/>
    <w:rsid w:val="00322287"/>
    <w:rsid w:val="00322571"/>
    <w:rsid w:val="00322D3F"/>
    <w:rsid w:val="00322D91"/>
    <w:rsid w:val="003230B8"/>
    <w:rsid w:val="00323448"/>
    <w:rsid w:val="00323A0D"/>
    <w:rsid w:val="00323E70"/>
    <w:rsid w:val="00324770"/>
    <w:rsid w:val="0032529C"/>
    <w:rsid w:val="00325532"/>
    <w:rsid w:val="0032588F"/>
    <w:rsid w:val="00325E2D"/>
    <w:rsid w:val="0032624F"/>
    <w:rsid w:val="00326734"/>
    <w:rsid w:val="00326831"/>
    <w:rsid w:val="00326C84"/>
    <w:rsid w:val="003278A9"/>
    <w:rsid w:val="00327B7C"/>
    <w:rsid w:val="00327D07"/>
    <w:rsid w:val="00327D0C"/>
    <w:rsid w:val="00330B17"/>
    <w:rsid w:val="00331167"/>
    <w:rsid w:val="003318C2"/>
    <w:rsid w:val="00331E97"/>
    <w:rsid w:val="00332EF8"/>
    <w:rsid w:val="0033304C"/>
    <w:rsid w:val="00333A95"/>
    <w:rsid w:val="0033518F"/>
    <w:rsid w:val="003353EC"/>
    <w:rsid w:val="0033586F"/>
    <w:rsid w:val="00336DD0"/>
    <w:rsid w:val="003374AD"/>
    <w:rsid w:val="00337B07"/>
    <w:rsid w:val="00337CBE"/>
    <w:rsid w:val="00340A6E"/>
    <w:rsid w:val="00341032"/>
    <w:rsid w:val="003410E5"/>
    <w:rsid w:val="00341109"/>
    <w:rsid w:val="003419E3"/>
    <w:rsid w:val="0034337D"/>
    <w:rsid w:val="00343608"/>
    <w:rsid w:val="00344E56"/>
    <w:rsid w:val="003465EC"/>
    <w:rsid w:val="003466B0"/>
    <w:rsid w:val="003469CE"/>
    <w:rsid w:val="00346A00"/>
    <w:rsid w:val="00346BE5"/>
    <w:rsid w:val="003501E2"/>
    <w:rsid w:val="003508F1"/>
    <w:rsid w:val="003513A7"/>
    <w:rsid w:val="00351604"/>
    <w:rsid w:val="00351A2E"/>
    <w:rsid w:val="00352F28"/>
    <w:rsid w:val="00354B58"/>
    <w:rsid w:val="00355739"/>
    <w:rsid w:val="0035646E"/>
    <w:rsid w:val="0035752C"/>
    <w:rsid w:val="0036120C"/>
    <w:rsid w:val="00361C3D"/>
    <w:rsid w:val="0036236C"/>
    <w:rsid w:val="003638FE"/>
    <w:rsid w:val="00364388"/>
    <w:rsid w:val="00364F58"/>
    <w:rsid w:val="00364F78"/>
    <w:rsid w:val="00365BED"/>
    <w:rsid w:val="00367BE7"/>
    <w:rsid w:val="00370531"/>
    <w:rsid w:val="00370AA1"/>
    <w:rsid w:val="00371171"/>
    <w:rsid w:val="00371E83"/>
    <w:rsid w:val="003724EE"/>
    <w:rsid w:val="0037307B"/>
    <w:rsid w:val="00374938"/>
    <w:rsid w:val="00374D78"/>
    <w:rsid w:val="003753D4"/>
    <w:rsid w:val="00375514"/>
    <w:rsid w:val="00375B51"/>
    <w:rsid w:val="00375F0E"/>
    <w:rsid w:val="00377EE8"/>
    <w:rsid w:val="003805FC"/>
    <w:rsid w:val="00380ECF"/>
    <w:rsid w:val="00381668"/>
    <w:rsid w:val="003818E3"/>
    <w:rsid w:val="00381BF8"/>
    <w:rsid w:val="00383992"/>
    <w:rsid w:val="00385861"/>
    <w:rsid w:val="00385EE8"/>
    <w:rsid w:val="00386758"/>
    <w:rsid w:val="003868D2"/>
    <w:rsid w:val="00386A66"/>
    <w:rsid w:val="0039045D"/>
    <w:rsid w:val="003906D2"/>
    <w:rsid w:val="00392DAE"/>
    <w:rsid w:val="00392EF3"/>
    <w:rsid w:val="00393609"/>
    <w:rsid w:val="0039388A"/>
    <w:rsid w:val="00393B39"/>
    <w:rsid w:val="00394019"/>
    <w:rsid w:val="0039464E"/>
    <w:rsid w:val="00395148"/>
    <w:rsid w:val="003954B2"/>
    <w:rsid w:val="00395724"/>
    <w:rsid w:val="003959EF"/>
    <w:rsid w:val="00396153"/>
    <w:rsid w:val="0039739E"/>
    <w:rsid w:val="003A0020"/>
    <w:rsid w:val="003A02AB"/>
    <w:rsid w:val="003A0F6E"/>
    <w:rsid w:val="003A141C"/>
    <w:rsid w:val="003A2EDD"/>
    <w:rsid w:val="003A32C3"/>
    <w:rsid w:val="003A4B55"/>
    <w:rsid w:val="003A50C7"/>
    <w:rsid w:val="003A54C1"/>
    <w:rsid w:val="003A5797"/>
    <w:rsid w:val="003A6422"/>
    <w:rsid w:val="003A65AE"/>
    <w:rsid w:val="003A65B9"/>
    <w:rsid w:val="003A6E46"/>
    <w:rsid w:val="003A6FAC"/>
    <w:rsid w:val="003A7014"/>
    <w:rsid w:val="003A7086"/>
    <w:rsid w:val="003A72F5"/>
    <w:rsid w:val="003B0173"/>
    <w:rsid w:val="003B1EC4"/>
    <w:rsid w:val="003B1F2D"/>
    <w:rsid w:val="003B3658"/>
    <w:rsid w:val="003B4C98"/>
    <w:rsid w:val="003B5D99"/>
    <w:rsid w:val="003B68C7"/>
    <w:rsid w:val="003B6B5F"/>
    <w:rsid w:val="003C02C4"/>
    <w:rsid w:val="003C25B4"/>
    <w:rsid w:val="003C2E34"/>
    <w:rsid w:val="003C3A62"/>
    <w:rsid w:val="003C4121"/>
    <w:rsid w:val="003C4A84"/>
    <w:rsid w:val="003C5347"/>
    <w:rsid w:val="003C53AC"/>
    <w:rsid w:val="003C5F4B"/>
    <w:rsid w:val="003C6205"/>
    <w:rsid w:val="003C6A14"/>
    <w:rsid w:val="003C7808"/>
    <w:rsid w:val="003C7D45"/>
    <w:rsid w:val="003C7DAF"/>
    <w:rsid w:val="003D1505"/>
    <w:rsid w:val="003D1ADA"/>
    <w:rsid w:val="003D1D42"/>
    <w:rsid w:val="003D2A7B"/>
    <w:rsid w:val="003D37FD"/>
    <w:rsid w:val="003D4762"/>
    <w:rsid w:val="003D5DCC"/>
    <w:rsid w:val="003D5E9A"/>
    <w:rsid w:val="003E00AB"/>
    <w:rsid w:val="003E1479"/>
    <w:rsid w:val="003E170E"/>
    <w:rsid w:val="003E274F"/>
    <w:rsid w:val="003E27E4"/>
    <w:rsid w:val="003E3A36"/>
    <w:rsid w:val="003E5D79"/>
    <w:rsid w:val="003F2F86"/>
    <w:rsid w:val="003F3979"/>
    <w:rsid w:val="003F39C6"/>
    <w:rsid w:val="003F414B"/>
    <w:rsid w:val="003F46AC"/>
    <w:rsid w:val="003F4876"/>
    <w:rsid w:val="003F4FA2"/>
    <w:rsid w:val="003F519F"/>
    <w:rsid w:val="003F56DE"/>
    <w:rsid w:val="003F6331"/>
    <w:rsid w:val="004003CF"/>
    <w:rsid w:val="00400621"/>
    <w:rsid w:val="004008D9"/>
    <w:rsid w:val="00401D28"/>
    <w:rsid w:val="0040205E"/>
    <w:rsid w:val="0040354F"/>
    <w:rsid w:val="00403762"/>
    <w:rsid w:val="00406732"/>
    <w:rsid w:val="004067C9"/>
    <w:rsid w:val="00407DA1"/>
    <w:rsid w:val="00410109"/>
    <w:rsid w:val="00411515"/>
    <w:rsid w:val="00411EEB"/>
    <w:rsid w:val="00412509"/>
    <w:rsid w:val="0041258D"/>
    <w:rsid w:val="00413142"/>
    <w:rsid w:val="004135D8"/>
    <w:rsid w:val="00413A1C"/>
    <w:rsid w:val="00413B1F"/>
    <w:rsid w:val="00414642"/>
    <w:rsid w:val="004147AC"/>
    <w:rsid w:val="00414C0E"/>
    <w:rsid w:val="00414F68"/>
    <w:rsid w:val="004167A1"/>
    <w:rsid w:val="00416D6D"/>
    <w:rsid w:val="00417454"/>
    <w:rsid w:val="00417547"/>
    <w:rsid w:val="0041783D"/>
    <w:rsid w:val="00417EF7"/>
    <w:rsid w:val="00422CD0"/>
    <w:rsid w:val="00422DCA"/>
    <w:rsid w:val="004237AA"/>
    <w:rsid w:val="004240C4"/>
    <w:rsid w:val="004242D1"/>
    <w:rsid w:val="00424C79"/>
    <w:rsid w:val="00424FD5"/>
    <w:rsid w:val="0042505D"/>
    <w:rsid w:val="00425419"/>
    <w:rsid w:val="00425E27"/>
    <w:rsid w:val="0042720E"/>
    <w:rsid w:val="00427352"/>
    <w:rsid w:val="00427559"/>
    <w:rsid w:val="00427BC0"/>
    <w:rsid w:val="00430177"/>
    <w:rsid w:val="0043038F"/>
    <w:rsid w:val="00430E76"/>
    <w:rsid w:val="00430EF1"/>
    <w:rsid w:val="0043184D"/>
    <w:rsid w:val="00432A30"/>
    <w:rsid w:val="004337C4"/>
    <w:rsid w:val="00434200"/>
    <w:rsid w:val="00434541"/>
    <w:rsid w:val="004346AB"/>
    <w:rsid w:val="00434C82"/>
    <w:rsid w:val="0043585E"/>
    <w:rsid w:val="0043786B"/>
    <w:rsid w:val="00437D87"/>
    <w:rsid w:val="00440200"/>
    <w:rsid w:val="00440EB9"/>
    <w:rsid w:val="00441A06"/>
    <w:rsid w:val="004429A6"/>
    <w:rsid w:val="004429EA"/>
    <w:rsid w:val="00443759"/>
    <w:rsid w:val="004442C4"/>
    <w:rsid w:val="00444386"/>
    <w:rsid w:val="004444BA"/>
    <w:rsid w:val="00445899"/>
    <w:rsid w:val="00445EB7"/>
    <w:rsid w:val="004460B1"/>
    <w:rsid w:val="00447D69"/>
    <w:rsid w:val="00447F8A"/>
    <w:rsid w:val="004506A3"/>
    <w:rsid w:val="00450A04"/>
    <w:rsid w:val="004529E5"/>
    <w:rsid w:val="004532F7"/>
    <w:rsid w:val="004533F4"/>
    <w:rsid w:val="004541BF"/>
    <w:rsid w:val="004541E9"/>
    <w:rsid w:val="00454263"/>
    <w:rsid w:val="00454307"/>
    <w:rsid w:val="0045583C"/>
    <w:rsid w:val="0045604C"/>
    <w:rsid w:val="00457174"/>
    <w:rsid w:val="004577ED"/>
    <w:rsid w:val="00460902"/>
    <w:rsid w:val="00460BFA"/>
    <w:rsid w:val="004624A8"/>
    <w:rsid w:val="00462A14"/>
    <w:rsid w:val="00462BBA"/>
    <w:rsid w:val="00462F5F"/>
    <w:rsid w:val="00463E2B"/>
    <w:rsid w:val="0046564F"/>
    <w:rsid w:val="00465788"/>
    <w:rsid w:val="00465AAB"/>
    <w:rsid w:val="00466656"/>
    <w:rsid w:val="00466734"/>
    <w:rsid w:val="0047030F"/>
    <w:rsid w:val="00470623"/>
    <w:rsid w:val="004723BB"/>
    <w:rsid w:val="00472C3C"/>
    <w:rsid w:val="004733EB"/>
    <w:rsid w:val="004735F8"/>
    <w:rsid w:val="00473FD9"/>
    <w:rsid w:val="00474932"/>
    <w:rsid w:val="00475A9B"/>
    <w:rsid w:val="00475C9F"/>
    <w:rsid w:val="004762AC"/>
    <w:rsid w:val="00476ABD"/>
    <w:rsid w:val="0047731F"/>
    <w:rsid w:val="004809A9"/>
    <w:rsid w:val="0048114B"/>
    <w:rsid w:val="0048133C"/>
    <w:rsid w:val="004815B0"/>
    <w:rsid w:val="004819F6"/>
    <w:rsid w:val="00481F27"/>
    <w:rsid w:val="0048217F"/>
    <w:rsid w:val="00482B15"/>
    <w:rsid w:val="00483436"/>
    <w:rsid w:val="00483710"/>
    <w:rsid w:val="00484697"/>
    <w:rsid w:val="00484DD9"/>
    <w:rsid w:val="00486784"/>
    <w:rsid w:val="004873FC"/>
    <w:rsid w:val="00487C4D"/>
    <w:rsid w:val="00490594"/>
    <w:rsid w:val="0049091E"/>
    <w:rsid w:val="00490DE3"/>
    <w:rsid w:val="00490F52"/>
    <w:rsid w:val="00491A0C"/>
    <w:rsid w:val="00491A7C"/>
    <w:rsid w:val="004924DA"/>
    <w:rsid w:val="0049273F"/>
    <w:rsid w:val="00493BDC"/>
    <w:rsid w:val="004941CE"/>
    <w:rsid w:val="0049437C"/>
    <w:rsid w:val="00494DC0"/>
    <w:rsid w:val="00495092"/>
    <w:rsid w:val="004952F1"/>
    <w:rsid w:val="004957BC"/>
    <w:rsid w:val="00496425"/>
    <w:rsid w:val="00496C0E"/>
    <w:rsid w:val="004A0E05"/>
    <w:rsid w:val="004A146A"/>
    <w:rsid w:val="004A28BF"/>
    <w:rsid w:val="004A3764"/>
    <w:rsid w:val="004A37FF"/>
    <w:rsid w:val="004A41B0"/>
    <w:rsid w:val="004A54A8"/>
    <w:rsid w:val="004A5E75"/>
    <w:rsid w:val="004A6DF3"/>
    <w:rsid w:val="004A6F9F"/>
    <w:rsid w:val="004B17A0"/>
    <w:rsid w:val="004B1885"/>
    <w:rsid w:val="004B24D5"/>
    <w:rsid w:val="004B2A15"/>
    <w:rsid w:val="004B3FE6"/>
    <w:rsid w:val="004B4639"/>
    <w:rsid w:val="004B6A8A"/>
    <w:rsid w:val="004B7A0C"/>
    <w:rsid w:val="004C0060"/>
    <w:rsid w:val="004C0661"/>
    <w:rsid w:val="004C0672"/>
    <w:rsid w:val="004C0C2C"/>
    <w:rsid w:val="004C10DB"/>
    <w:rsid w:val="004C141A"/>
    <w:rsid w:val="004C182B"/>
    <w:rsid w:val="004C352F"/>
    <w:rsid w:val="004C37E9"/>
    <w:rsid w:val="004C3B24"/>
    <w:rsid w:val="004C41E4"/>
    <w:rsid w:val="004C41E6"/>
    <w:rsid w:val="004C434D"/>
    <w:rsid w:val="004C4417"/>
    <w:rsid w:val="004C5A15"/>
    <w:rsid w:val="004C7586"/>
    <w:rsid w:val="004C7CFF"/>
    <w:rsid w:val="004D0BA6"/>
    <w:rsid w:val="004D2FD9"/>
    <w:rsid w:val="004D3AD8"/>
    <w:rsid w:val="004D5BEA"/>
    <w:rsid w:val="004D5FD5"/>
    <w:rsid w:val="004D6694"/>
    <w:rsid w:val="004D77E7"/>
    <w:rsid w:val="004E002F"/>
    <w:rsid w:val="004E05B4"/>
    <w:rsid w:val="004E0B5E"/>
    <w:rsid w:val="004E0EC1"/>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18A2"/>
    <w:rsid w:val="004F1A61"/>
    <w:rsid w:val="004F1EF7"/>
    <w:rsid w:val="004F2D0A"/>
    <w:rsid w:val="004F2ED3"/>
    <w:rsid w:val="004F2FFE"/>
    <w:rsid w:val="004F2FFF"/>
    <w:rsid w:val="004F3596"/>
    <w:rsid w:val="004F4059"/>
    <w:rsid w:val="004F4460"/>
    <w:rsid w:val="004F4B63"/>
    <w:rsid w:val="004F591A"/>
    <w:rsid w:val="004F5FE3"/>
    <w:rsid w:val="004F66F8"/>
    <w:rsid w:val="004F6BE4"/>
    <w:rsid w:val="004F6C7A"/>
    <w:rsid w:val="004F6E68"/>
    <w:rsid w:val="00500082"/>
    <w:rsid w:val="005000AA"/>
    <w:rsid w:val="005012A0"/>
    <w:rsid w:val="00501715"/>
    <w:rsid w:val="00502097"/>
    <w:rsid w:val="00502C4A"/>
    <w:rsid w:val="00504779"/>
    <w:rsid w:val="00505D3D"/>
    <w:rsid w:val="00507A89"/>
    <w:rsid w:val="00510272"/>
    <w:rsid w:val="00510C09"/>
    <w:rsid w:val="00510C95"/>
    <w:rsid w:val="005114CF"/>
    <w:rsid w:val="00511F2E"/>
    <w:rsid w:val="0051229B"/>
    <w:rsid w:val="00513B40"/>
    <w:rsid w:val="00513FE4"/>
    <w:rsid w:val="0051497F"/>
    <w:rsid w:val="00515A56"/>
    <w:rsid w:val="0051619D"/>
    <w:rsid w:val="005169D3"/>
    <w:rsid w:val="005177DE"/>
    <w:rsid w:val="00517893"/>
    <w:rsid w:val="00517C03"/>
    <w:rsid w:val="00521C3C"/>
    <w:rsid w:val="005263C1"/>
    <w:rsid w:val="005269C3"/>
    <w:rsid w:val="005303A5"/>
    <w:rsid w:val="00531F92"/>
    <w:rsid w:val="005324F3"/>
    <w:rsid w:val="0053313F"/>
    <w:rsid w:val="00534D77"/>
    <w:rsid w:val="0053536D"/>
    <w:rsid w:val="00535691"/>
    <w:rsid w:val="00537653"/>
    <w:rsid w:val="00537672"/>
    <w:rsid w:val="0054078C"/>
    <w:rsid w:val="005407B1"/>
    <w:rsid w:val="0054226C"/>
    <w:rsid w:val="00542CE8"/>
    <w:rsid w:val="00543C12"/>
    <w:rsid w:val="00543F6E"/>
    <w:rsid w:val="00545ACD"/>
    <w:rsid w:val="00545BC4"/>
    <w:rsid w:val="00545C12"/>
    <w:rsid w:val="00545D7D"/>
    <w:rsid w:val="00547056"/>
    <w:rsid w:val="00550B89"/>
    <w:rsid w:val="00551EDB"/>
    <w:rsid w:val="005541C3"/>
    <w:rsid w:val="005548D9"/>
    <w:rsid w:val="005550B9"/>
    <w:rsid w:val="005551F3"/>
    <w:rsid w:val="00556565"/>
    <w:rsid w:val="00556A63"/>
    <w:rsid w:val="00557903"/>
    <w:rsid w:val="00560072"/>
    <w:rsid w:val="0056012E"/>
    <w:rsid w:val="00561AD6"/>
    <w:rsid w:val="00562400"/>
    <w:rsid w:val="00563AD5"/>
    <w:rsid w:val="00564393"/>
    <w:rsid w:val="005645EE"/>
    <w:rsid w:val="00564626"/>
    <w:rsid w:val="00564B23"/>
    <w:rsid w:val="00564C63"/>
    <w:rsid w:val="00564E5E"/>
    <w:rsid w:val="00565F50"/>
    <w:rsid w:val="0056655F"/>
    <w:rsid w:val="005666FD"/>
    <w:rsid w:val="00567A43"/>
    <w:rsid w:val="0057016A"/>
    <w:rsid w:val="00571CA6"/>
    <w:rsid w:val="00571CC8"/>
    <w:rsid w:val="00572ACB"/>
    <w:rsid w:val="00572E59"/>
    <w:rsid w:val="005732DF"/>
    <w:rsid w:val="005732F7"/>
    <w:rsid w:val="0057394F"/>
    <w:rsid w:val="00577615"/>
    <w:rsid w:val="00577BA9"/>
    <w:rsid w:val="00577C3C"/>
    <w:rsid w:val="005804F6"/>
    <w:rsid w:val="005815DA"/>
    <w:rsid w:val="00581E5C"/>
    <w:rsid w:val="00582FB3"/>
    <w:rsid w:val="00583464"/>
    <w:rsid w:val="005839FC"/>
    <w:rsid w:val="00583DC5"/>
    <w:rsid w:val="00583E09"/>
    <w:rsid w:val="005849E9"/>
    <w:rsid w:val="00584C8B"/>
    <w:rsid w:val="005865D3"/>
    <w:rsid w:val="00586F55"/>
    <w:rsid w:val="00587852"/>
    <w:rsid w:val="005917E7"/>
    <w:rsid w:val="00591BB9"/>
    <w:rsid w:val="00592CDE"/>
    <w:rsid w:val="00594A2F"/>
    <w:rsid w:val="0059548C"/>
    <w:rsid w:val="00595725"/>
    <w:rsid w:val="00595B06"/>
    <w:rsid w:val="00595D0F"/>
    <w:rsid w:val="00597457"/>
    <w:rsid w:val="005A079E"/>
    <w:rsid w:val="005A1C7B"/>
    <w:rsid w:val="005A286C"/>
    <w:rsid w:val="005A2E19"/>
    <w:rsid w:val="005A346D"/>
    <w:rsid w:val="005A35A7"/>
    <w:rsid w:val="005A38BC"/>
    <w:rsid w:val="005A38C2"/>
    <w:rsid w:val="005A40E9"/>
    <w:rsid w:val="005A6592"/>
    <w:rsid w:val="005A70CB"/>
    <w:rsid w:val="005A7AA2"/>
    <w:rsid w:val="005A7E77"/>
    <w:rsid w:val="005B0C54"/>
    <w:rsid w:val="005B15DD"/>
    <w:rsid w:val="005B1806"/>
    <w:rsid w:val="005B18C1"/>
    <w:rsid w:val="005B1D71"/>
    <w:rsid w:val="005B2F7D"/>
    <w:rsid w:val="005B3866"/>
    <w:rsid w:val="005B4521"/>
    <w:rsid w:val="005B595E"/>
    <w:rsid w:val="005B5E6B"/>
    <w:rsid w:val="005B6964"/>
    <w:rsid w:val="005B6D93"/>
    <w:rsid w:val="005B6F2F"/>
    <w:rsid w:val="005B79DE"/>
    <w:rsid w:val="005C0A87"/>
    <w:rsid w:val="005C1226"/>
    <w:rsid w:val="005C1DD2"/>
    <w:rsid w:val="005C20C1"/>
    <w:rsid w:val="005C25CF"/>
    <w:rsid w:val="005C2670"/>
    <w:rsid w:val="005C281C"/>
    <w:rsid w:val="005C302E"/>
    <w:rsid w:val="005C305A"/>
    <w:rsid w:val="005C3899"/>
    <w:rsid w:val="005C45CC"/>
    <w:rsid w:val="005C4666"/>
    <w:rsid w:val="005C4AFE"/>
    <w:rsid w:val="005C5E4E"/>
    <w:rsid w:val="005C746E"/>
    <w:rsid w:val="005D01D3"/>
    <w:rsid w:val="005D14E0"/>
    <w:rsid w:val="005D166D"/>
    <w:rsid w:val="005D1787"/>
    <w:rsid w:val="005D2D3A"/>
    <w:rsid w:val="005D2EAB"/>
    <w:rsid w:val="005D32A5"/>
    <w:rsid w:val="005D431C"/>
    <w:rsid w:val="005D4BE2"/>
    <w:rsid w:val="005D51BB"/>
    <w:rsid w:val="005D5F8C"/>
    <w:rsid w:val="005D6F8A"/>
    <w:rsid w:val="005D7A86"/>
    <w:rsid w:val="005E0979"/>
    <w:rsid w:val="005E1EA6"/>
    <w:rsid w:val="005E333C"/>
    <w:rsid w:val="005E37F1"/>
    <w:rsid w:val="005E3B82"/>
    <w:rsid w:val="005E3B88"/>
    <w:rsid w:val="005E3CAF"/>
    <w:rsid w:val="005E3E48"/>
    <w:rsid w:val="005E466B"/>
    <w:rsid w:val="005E66D4"/>
    <w:rsid w:val="005E6C93"/>
    <w:rsid w:val="005F05DE"/>
    <w:rsid w:val="005F074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31B"/>
    <w:rsid w:val="00601057"/>
    <w:rsid w:val="0060121A"/>
    <w:rsid w:val="00601488"/>
    <w:rsid w:val="0060187B"/>
    <w:rsid w:val="00601B36"/>
    <w:rsid w:val="006022DD"/>
    <w:rsid w:val="00602405"/>
    <w:rsid w:val="006031CF"/>
    <w:rsid w:val="006048D0"/>
    <w:rsid w:val="00605398"/>
    <w:rsid w:val="006057DD"/>
    <w:rsid w:val="0060664A"/>
    <w:rsid w:val="00606B32"/>
    <w:rsid w:val="00607A83"/>
    <w:rsid w:val="0061051C"/>
    <w:rsid w:val="00611B38"/>
    <w:rsid w:val="006146B4"/>
    <w:rsid w:val="006150C7"/>
    <w:rsid w:val="00615AC5"/>
    <w:rsid w:val="00615BD5"/>
    <w:rsid w:val="00615E2A"/>
    <w:rsid w:val="00616D5C"/>
    <w:rsid w:val="006172FB"/>
    <w:rsid w:val="00617B4D"/>
    <w:rsid w:val="00617B62"/>
    <w:rsid w:val="006204C5"/>
    <w:rsid w:val="00620753"/>
    <w:rsid w:val="00621B03"/>
    <w:rsid w:val="00623001"/>
    <w:rsid w:val="00625786"/>
    <w:rsid w:val="006257BA"/>
    <w:rsid w:val="0062643F"/>
    <w:rsid w:val="00627212"/>
    <w:rsid w:val="00630279"/>
    <w:rsid w:val="00630A69"/>
    <w:rsid w:val="00631E4D"/>
    <w:rsid w:val="00631EFD"/>
    <w:rsid w:val="006324CB"/>
    <w:rsid w:val="0063320D"/>
    <w:rsid w:val="00633959"/>
    <w:rsid w:val="00634CA3"/>
    <w:rsid w:val="00634CDD"/>
    <w:rsid w:val="0063502F"/>
    <w:rsid w:val="006372C3"/>
    <w:rsid w:val="006372CE"/>
    <w:rsid w:val="00637462"/>
    <w:rsid w:val="00637960"/>
    <w:rsid w:val="00642003"/>
    <w:rsid w:val="006430AE"/>
    <w:rsid w:val="00643BB0"/>
    <w:rsid w:val="00644374"/>
    <w:rsid w:val="00644583"/>
    <w:rsid w:val="006449B8"/>
    <w:rsid w:val="00644E49"/>
    <w:rsid w:val="00645A4D"/>
    <w:rsid w:val="006462E3"/>
    <w:rsid w:val="006467E3"/>
    <w:rsid w:val="006471BC"/>
    <w:rsid w:val="00647631"/>
    <w:rsid w:val="0065005D"/>
    <w:rsid w:val="006507E9"/>
    <w:rsid w:val="00651375"/>
    <w:rsid w:val="00651698"/>
    <w:rsid w:val="006528F5"/>
    <w:rsid w:val="00653195"/>
    <w:rsid w:val="00654183"/>
    <w:rsid w:val="0065420B"/>
    <w:rsid w:val="00654D3A"/>
    <w:rsid w:val="00655F14"/>
    <w:rsid w:val="0065626E"/>
    <w:rsid w:val="006564BE"/>
    <w:rsid w:val="00656B4F"/>
    <w:rsid w:val="00657828"/>
    <w:rsid w:val="00657A6A"/>
    <w:rsid w:val="00660102"/>
    <w:rsid w:val="00660747"/>
    <w:rsid w:val="00660D86"/>
    <w:rsid w:val="006610A9"/>
    <w:rsid w:val="00661C9F"/>
    <w:rsid w:val="00663BDF"/>
    <w:rsid w:val="00663D94"/>
    <w:rsid w:val="00663EF8"/>
    <w:rsid w:val="00664447"/>
    <w:rsid w:val="00664983"/>
    <w:rsid w:val="00664C0B"/>
    <w:rsid w:val="00665EE8"/>
    <w:rsid w:val="0066621B"/>
    <w:rsid w:val="00667CC3"/>
    <w:rsid w:val="00670C73"/>
    <w:rsid w:val="00671BE3"/>
    <w:rsid w:val="00672D1F"/>
    <w:rsid w:val="0067302A"/>
    <w:rsid w:val="00673187"/>
    <w:rsid w:val="00673AD5"/>
    <w:rsid w:val="00674D9D"/>
    <w:rsid w:val="00674FC4"/>
    <w:rsid w:val="00675F66"/>
    <w:rsid w:val="0067638C"/>
    <w:rsid w:val="0067659C"/>
    <w:rsid w:val="006767A7"/>
    <w:rsid w:val="006768BE"/>
    <w:rsid w:val="006802B6"/>
    <w:rsid w:val="006805B3"/>
    <w:rsid w:val="006812AD"/>
    <w:rsid w:val="00681AAA"/>
    <w:rsid w:val="006822C1"/>
    <w:rsid w:val="00682318"/>
    <w:rsid w:val="0068286B"/>
    <w:rsid w:val="006835F0"/>
    <w:rsid w:val="00683F48"/>
    <w:rsid w:val="006840A6"/>
    <w:rsid w:val="0068444E"/>
    <w:rsid w:val="006844A2"/>
    <w:rsid w:val="00684986"/>
    <w:rsid w:val="00685D77"/>
    <w:rsid w:val="006864B9"/>
    <w:rsid w:val="00687857"/>
    <w:rsid w:val="006900F3"/>
    <w:rsid w:val="006903D1"/>
    <w:rsid w:val="00690BE9"/>
    <w:rsid w:val="00690DDC"/>
    <w:rsid w:val="00691071"/>
    <w:rsid w:val="0069163E"/>
    <w:rsid w:val="006922A0"/>
    <w:rsid w:val="0069359E"/>
    <w:rsid w:val="00693D6E"/>
    <w:rsid w:val="0069495A"/>
    <w:rsid w:val="0069558F"/>
    <w:rsid w:val="0069593E"/>
    <w:rsid w:val="0069710E"/>
    <w:rsid w:val="00697506"/>
    <w:rsid w:val="0069770A"/>
    <w:rsid w:val="006A0394"/>
    <w:rsid w:val="006A06BA"/>
    <w:rsid w:val="006A0E5D"/>
    <w:rsid w:val="006A14B2"/>
    <w:rsid w:val="006A168A"/>
    <w:rsid w:val="006A24FC"/>
    <w:rsid w:val="006A3C47"/>
    <w:rsid w:val="006A60B2"/>
    <w:rsid w:val="006A6334"/>
    <w:rsid w:val="006A6895"/>
    <w:rsid w:val="006A6F65"/>
    <w:rsid w:val="006A745A"/>
    <w:rsid w:val="006A7D04"/>
    <w:rsid w:val="006B06EC"/>
    <w:rsid w:val="006B0962"/>
    <w:rsid w:val="006B1E43"/>
    <w:rsid w:val="006B23F1"/>
    <w:rsid w:val="006B277F"/>
    <w:rsid w:val="006B30AA"/>
    <w:rsid w:val="006B357D"/>
    <w:rsid w:val="006B4BCE"/>
    <w:rsid w:val="006B5167"/>
    <w:rsid w:val="006B5F6C"/>
    <w:rsid w:val="006B6AFB"/>
    <w:rsid w:val="006B77EA"/>
    <w:rsid w:val="006C0335"/>
    <w:rsid w:val="006C03C6"/>
    <w:rsid w:val="006C0A3F"/>
    <w:rsid w:val="006C1248"/>
    <w:rsid w:val="006C1DB0"/>
    <w:rsid w:val="006C21DC"/>
    <w:rsid w:val="006C2332"/>
    <w:rsid w:val="006C2BE1"/>
    <w:rsid w:val="006C37BC"/>
    <w:rsid w:val="006C3C38"/>
    <w:rsid w:val="006C4755"/>
    <w:rsid w:val="006C4B5C"/>
    <w:rsid w:val="006C4C89"/>
    <w:rsid w:val="006C5F10"/>
    <w:rsid w:val="006C6EC4"/>
    <w:rsid w:val="006C74CA"/>
    <w:rsid w:val="006D0AD3"/>
    <w:rsid w:val="006D0FE1"/>
    <w:rsid w:val="006D120E"/>
    <w:rsid w:val="006D12D0"/>
    <w:rsid w:val="006D16AB"/>
    <w:rsid w:val="006D1A54"/>
    <w:rsid w:val="006D24B4"/>
    <w:rsid w:val="006D2772"/>
    <w:rsid w:val="006D2BD0"/>
    <w:rsid w:val="006D3AF3"/>
    <w:rsid w:val="006D3FD9"/>
    <w:rsid w:val="006D4348"/>
    <w:rsid w:val="006D44C5"/>
    <w:rsid w:val="006D4A2D"/>
    <w:rsid w:val="006D4E5A"/>
    <w:rsid w:val="006D50B6"/>
    <w:rsid w:val="006D5318"/>
    <w:rsid w:val="006D6AC5"/>
    <w:rsid w:val="006D6C8E"/>
    <w:rsid w:val="006D7B3A"/>
    <w:rsid w:val="006D7DE8"/>
    <w:rsid w:val="006E0991"/>
    <w:rsid w:val="006E27EF"/>
    <w:rsid w:val="006E2E88"/>
    <w:rsid w:val="006E3AEF"/>
    <w:rsid w:val="006E3B7E"/>
    <w:rsid w:val="006E3C56"/>
    <w:rsid w:val="006E45F7"/>
    <w:rsid w:val="006E51CE"/>
    <w:rsid w:val="006E58BC"/>
    <w:rsid w:val="006E62D6"/>
    <w:rsid w:val="006E62DC"/>
    <w:rsid w:val="006E662F"/>
    <w:rsid w:val="006E690D"/>
    <w:rsid w:val="006E716A"/>
    <w:rsid w:val="006E77EA"/>
    <w:rsid w:val="006E7ED7"/>
    <w:rsid w:val="006F0062"/>
    <w:rsid w:val="006F1854"/>
    <w:rsid w:val="006F2F1A"/>
    <w:rsid w:val="006F3423"/>
    <w:rsid w:val="006F34DC"/>
    <w:rsid w:val="006F3669"/>
    <w:rsid w:val="006F3734"/>
    <w:rsid w:val="006F3831"/>
    <w:rsid w:val="006F55F5"/>
    <w:rsid w:val="006F5967"/>
    <w:rsid w:val="006F6561"/>
    <w:rsid w:val="006F69DE"/>
    <w:rsid w:val="006F7330"/>
    <w:rsid w:val="006F7554"/>
    <w:rsid w:val="00700E58"/>
    <w:rsid w:val="007016F9"/>
    <w:rsid w:val="00701AD8"/>
    <w:rsid w:val="00702A23"/>
    <w:rsid w:val="00702E36"/>
    <w:rsid w:val="00703781"/>
    <w:rsid w:val="007043DA"/>
    <w:rsid w:val="007049E7"/>
    <w:rsid w:val="00705E32"/>
    <w:rsid w:val="00706092"/>
    <w:rsid w:val="00706B59"/>
    <w:rsid w:val="00706D8D"/>
    <w:rsid w:val="00707416"/>
    <w:rsid w:val="00707691"/>
    <w:rsid w:val="00710609"/>
    <w:rsid w:val="007107DC"/>
    <w:rsid w:val="00711E65"/>
    <w:rsid w:val="00712FD8"/>
    <w:rsid w:val="0071311E"/>
    <w:rsid w:val="007132A4"/>
    <w:rsid w:val="00714B94"/>
    <w:rsid w:val="00714E43"/>
    <w:rsid w:val="00716775"/>
    <w:rsid w:val="00716FBB"/>
    <w:rsid w:val="007217CF"/>
    <w:rsid w:val="00722246"/>
    <w:rsid w:val="00722B06"/>
    <w:rsid w:val="00723973"/>
    <w:rsid w:val="007259BE"/>
    <w:rsid w:val="007266F2"/>
    <w:rsid w:val="0072692B"/>
    <w:rsid w:val="007278AB"/>
    <w:rsid w:val="00730676"/>
    <w:rsid w:val="007311D8"/>
    <w:rsid w:val="007315E5"/>
    <w:rsid w:val="00731FC7"/>
    <w:rsid w:val="007321AD"/>
    <w:rsid w:val="007343B4"/>
    <w:rsid w:val="0073475E"/>
    <w:rsid w:val="0073477B"/>
    <w:rsid w:val="007358F6"/>
    <w:rsid w:val="007363DA"/>
    <w:rsid w:val="00736C3D"/>
    <w:rsid w:val="007371B7"/>
    <w:rsid w:val="0073727D"/>
    <w:rsid w:val="00741B5A"/>
    <w:rsid w:val="00741BAA"/>
    <w:rsid w:val="007427E9"/>
    <w:rsid w:val="00743506"/>
    <w:rsid w:val="00744B71"/>
    <w:rsid w:val="007452D4"/>
    <w:rsid w:val="0074533B"/>
    <w:rsid w:val="00745F12"/>
    <w:rsid w:val="00746363"/>
    <w:rsid w:val="00746766"/>
    <w:rsid w:val="007474DD"/>
    <w:rsid w:val="00747681"/>
    <w:rsid w:val="00747CB3"/>
    <w:rsid w:val="007503A5"/>
    <w:rsid w:val="0075091B"/>
    <w:rsid w:val="007516CD"/>
    <w:rsid w:val="007524AB"/>
    <w:rsid w:val="007524F2"/>
    <w:rsid w:val="00752FBC"/>
    <w:rsid w:val="00754792"/>
    <w:rsid w:val="00754A48"/>
    <w:rsid w:val="0075535D"/>
    <w:rsid w:val="00755706"/>
    <w:rsid w:val="007557AE"/>
    <w:rsid w:val="0075612D"/>
    <w:rsid w:val="00756187"/>
    <w:rsid w:val="00757C9A"/>
    <w:rsid w:val="00757EBE"/>
    <w:rsid w:val="007603C6"/>
    <w:rsid w:val="00760751"/>
    <w:rsid w:val="00761A33"/>
    <w:rsid w:val="007626A7"/>
    <w:rsid w:val="0076369A"/>
    <w:rsid w:val="00763C41"/>
    <w:rsid w:val="00766DED"/>
    <w:rsid w:val="00770B7D"/>
    <w:rsid w:val="00770F14"/>
    <w:rsid w:val="007711DD"/>
    <w:rsid w:val="00771A7F"/>
    <w:rsid w:val="00772E1C"/>
    <w:rsid w:val="007733C3"/>
    <w:rsid w:val="00773F80"/>
    <w:rsid w:val="007747F0"/>
    <w:rsid w:val="00774F51"/>
    <w:rsid w:val="0077501E"/>
    <w:rsid w:val="0077626F"/>
    <w:rsid w:val="00776675"/>
    <w:rsid w:val="00776D0B"/>
    <w:rsid w:val="007774F4"/>
    <w:rsid w:val="00777FF5"/>
    <w:rsid w:val="007817E5"/>
    <w:rsid w:val="00781B91"/>
    <w:rsid w:val="00781C88"/>
    <w:rsid w:val="0078239D"/>
    <w:rsid w:val="00783267"/>
    <w:rsid w:val="007837F6"/>
    <w:rsid w:val="00783E7B"/>
    <w:rsid w:val="00784A88"/>
    <w:rsid w:val="00784F52"/>
    <w:rsid w:val="00785DEA"/>
    <w:rsid w:val="00786AA3"/>
    <w:rsid w:val="00786DB5"/>
    <w:rsid w:val="00787759"/>
    <w:rsid w:val="00787D3E"/>
    <w:rsid w:val="0079055C"/>
    <w:rsid w:val="00791631"/>
    <w:rsid w:val="007919A5"/>
    <w:rsid w:val="007924AB"/>
    <w:rsid w:val="00792896"/>
    <w:rsid w:val="00793BE4"/>
    <w:rsid w:val="00793CF8"/>
    <w:rsid w:val="00793FBB"/>
    <w:rsid w:val="00794AE7"/>
    <w:rsid w:val="0079539A"/>
    <w:rsid w:val="0079581D"/>
    <w:rsid w:val="00795B6E"/>
    <w:rsid w:val="00795EA5"/>
    <w:rsid w:val="00797066"/>
    <w:rsid w:val="007A0355"/>
    <w:rsid w:val="007A0541"/>
    <w:rsid w:val="007A0F4A"/>
    <w:rsid w:val="007A1DF2"/>
    <w:rsid w:val="007A2A2E"/>
    <w:rsid w:val="007A32FC"/>
    <w:rsid w:val="007A3763"/>
    <w:rsid w:val="007A412F"/>
    <w:rsid w:val="007A4604"/>
    <w:rsid w:val="007A508E"/>
    <w:rsid w:val="007A5205"/>
    <w:rsid w:val="007A558A"/>
    <w:rsid w:val="007A5614"/>
    <w:rsid w:val="007A5A02"/>
    <w:rsid w:val="007A6A27"/>
    <w:rsid w:val="007A6B9E"/>
    <w:rsid w:val="007A70FD"/>
    <w:rsid w:val="007A7AEE"/>
    <w:rsid w:val="007A7E4E"/>
    <w:rsid w:val="007B012F"/>
    <w:rsid w:val="007B0883"/>
    <w:rsid w:val="007B0AC5"/>
    <w:rsid w:val="007B0DA5"/>
    <w:rsid w:val="007B0FF1"/>
    <w:rsid w:val="007B121C"/>
    <w:rsid w:val="007B1A2C"/>
    <w:rsid w:val="007B2189"/>
    <w:rsid w:val="007B296C"/>
    <w:rsid w:val="007B2BA7"/>
    <w:rsid w:val="007B33B6"/>
    <w:rsid w:val="007B3A0E"/>
    <w:rsid w:val="007B4453"/>
    <w:rsid w:val="007B514F"/>
    <w:rsid w:val="007B5635"/>
    <w:rsid w:val="007B66CF"/>
    <w:rsid w:val="007B714D"/>
    <w:rsid w:val="007B7D8A"/>
    <w:rsid w:val="007B7E5A"/>
    <w:rsid w:val="007B7F3C"/>
    <w:rsid w:val="007C08D2"/>
    <w:rsid w:val="007C0B53"/>
    <w:rsid w:val="007C0CA9"/>
    <w:rsid w:val="007C1CF1"/>
    <w:rsid w:val="007C203C"/>
    <w:rsid w:val="007C2EE8"/>
    <w:rsid w:val="007C381C"/>
    <w:rsid w:val="007C3F53"/>
    <w:rsid w:val="007C43F7"/>
    <w:rsid w:val="007C63C7"/>
    <w:rsid w:val="007C6CFE"/>
    <w:rsid w:val="007C743A"/>
    <w:rsid w:val="007C78F4"/>
    <w:rsid w:val="007D06AE"/>
    <w:rsid w:val="007D071C"/>
    <w:rsid w:val="007D15AF"/>
    <w:rsid w:val="007D1791"/>
    <w:rsid w:val="007D1A49"/>
    <w:rsid w:val="007D33CB"/>
    <w:rsid w:val="007D4C61"/>
    <w:rsid w:val="007D57BC"/>
    <w:rsid w:val="007D6BE4"/>
    <w:rsid w:val="007D7E3E"/>
    <w:rsid w:val="007E06D0"/>
    <w:rsid w:val="007E386A"/>
    <w:rsid w:val="007E3964"/>
    <w:rsid w:val="007E3EB2"/>
    <w:rsid w:val="007E4A0D"/>
    <w:rsid w:val="007E60EF"/>
    <w:rsid w:val="007E63A2"/>
    <w:rsid w:val="007E7895"/>
    <w:rsid w:val="007E7ACB"/>
    <w:rsid w:val="007E7CCF"/>
    <w:rsid w:val="007F101C"/>
    <w:rsid w:val="007F10F4"/>
    <w:rsid w:val="007F1B43"/>
    <w:rsid w:val="007F228D"/>
    <w:rsid w:val="007F231F"/>
    <w:rsid w:val="007F2564"/>
    <w:rsid w:val="007F301B"/>
    <w:rsid w:val="007F30D1"/>
    <w:rsid w:val="007F4711"/>
    <w:rsid w:val="007F49A3"/>
    <w:rsid w:val="007F5762"/>
    <w:rsid w:val="007F592A"/>
    <w:rsid w:val="007F5B39"/>
    <w:rsid w:val="007F6034"/>
    <w:rsid w:val="0080046E"/>
    <w:rsid w:val="008006FA"/>
    <w:rsid w:val="00800820"/>
    <w:rsid w:val="0080191C"/>
    <w:rsid w:val="0080259B"/>
    <w:rsid w:val="008030E5"/>
    <w:rsid w:val="00803605"/>
    <w:rsid w:val="008036F5"/>
    <w:rsid w:val="00804223"/>
    <w:rsid w:val="00804830"/>
    <w:rsid w:val="0080498E"/>
    <w:rsid w:val="00804CDD"/>
    <w:rsid w:val="00804CFA"/>
    <w:rsid w:val="00805363"/>
    <w:rsid w:val="00806D6E"/>
    <w:rsid w:val="00806FE8"/>
    <w:rsid w:val="0080768D"/>
    <w:rsid w:val="008077B8"/>
    <w:rsid w:val="00807A67"/>
    <w:rsid w:val="00807FD7"/>
    <w:rsid w:val="0081062C"/>
    <w:rsid w:val="00810B57"/>
    <w:rsid w:val="008113D7"/>
    <w:rsid w:val="008118FD"/>
    <w:rsid w:val="00811DB2"/>
    <w:rsid w:val="00812FA6"/>
    <w:rsid w:val="00814FE7"/>
    <w:rsid w:val="008153AD"/>
    <w:rsid w:val="00815570"/>
    <w:rsid w:val="00815C21"/>
    <w:rsid w:val="008161C1"/>
    <w:rsid w:val="0081623A"/>
    <w:rsid w:val="00816280"/>
    <w:rsid w:val="008175BA"/>
    <w:rsid w:val="00820766"/>
    <w:rsid w:val="008207D3"/>
    <w:rsid w:val="0082091A"/>
    <w:rsid w:val="00820D9E"/>
    <w:rsid w:val="0082120E"/>
    <w:rsid w:val="008213A4"/>
    <w:rsid w:val="008215D3"/>
    <w:rsid w:val="0082244B"/>
    <w:rsid w:val="00822DC3"/>
    <w:rsid w:val="00822FB2"/>
    <w:rsid w:val="0082374A"/>
    <w:rsid w:val="00823D3E"/>
    <w:rsid w:val="00823FC6"/>
    <w:rsid w:val="0082434F"/>
    <w:rsid w:val="00824AF6"/>
    <w:rsid w:val="00825D01"/>
    <w:rsid w:val="00827777"/>
    <w:rsid w:val="0083154C"/>
    <w:rsid w:val="00832027"/>
    <w:rsid w:val="0083225D"/>
    <w:rsid w:val="0083255D"/>
    <w:rsid w:val="008325A0"/>
    <w:rsid w:val="00832A00"/>
    <w:rsid w:val="008342AC"/>
    <w:rsid w:val="00834AF2"/>
    <w:rsid w:val="00835C92"/>
    <w:rsid w:val="0083794F"/>
    <w:rsid w:val="00840D4E"/>
    <w:rsid w:val="00842DD4"/>
    <w:rsid w:val="00843645"/>
    <w:rsid w:val="008444A7"/>
    <w:rsid w:val="008445DA"/>
    <w:rsid w:val="00845738"/>
    <w:rsid w:val="0084683D"/>
    <w:rsid w:val="00850794"/>
    <w:rsid w:val="00850801"/>
    <w:rsid w:val="0085193C"/>
    <w:rsid w:val="00852900"/>
    <w:rsid w:val="00853052"/>
    <w:rsid w:val="00853570"/>
    <w:rsid w:val="00853798"/>
    <w:rsid w:val="008538B0"/>
    <w:rsid w:val="00853CBD"/>
    <w:rsid w:val="00853E45"/>
    <w:rsid w:val="00854953"/>
    <w:rsid w:val="00855EA4"/>
    <w:rsid w:val="008566BB"/>
    <w:rsid w:val="00856974"/>
    <w:rsid w:val="00857DAA"/>
    <w:rsid w:val="008601FA"/>
    <w:rsid w:val="00860489"/>
    <w:rsid w:val="00860E51"/>
    <w:rsid w:val="00860F5A"/>
    <w:rsid w:val="00861A64"/>
    <w:rsid w:val="00863181"/>
    <w:rsid w:val="008635F2"/>
    <w:rsid w:val="00863AC2"/>
    <w:rsid w:val="00863C61"/>
    <w:rsid w:val="00863F1F"/>
    <w:rsid w:val="0086451F"/>
    <w:rsid w:val="00864BE6"/>
    <w:rsid w:val="00866273"/>
    <w:rsid w:val="008664AD"/>
    <w:rsid w:val="00866A78"/>
    <w:rsid w:val="00866D22"/>
    <w:rsid w:val="00867A99"/>
    <w:rsid w:val="00867FEA"/>
    <w:rsid w:val="00870237"/>
    <w:rsid w:val="008707C1"/>
    <w:rsid w:val="008710AD"/>
    <w:rsid w:val="008711F2"/>
    <w:rsid w:val="008716E0"/>
    <w:rsid w:val="00872A5D"/>
    <w:rsid w:val="00872AC1"/>
    <w:rsid w:val="008737FD"/>
    <w:rsid w:val="008743BB"/>
    <w:rsid w:val="008751E3"/>
    <w:rsid w:val="00877286"/>
    <w:rsid w:val="008778AB"/>
    <w:rsid w:val="00880E9A"/>
    <w:rsid w:val="00881D30"/>
    <w:rsid w:val="008822E9"/>
    <w:rsid w:val="00883221"/>
    <w:rsid w:val="00883B6E"/>
    <w:rsid w:val="00883F4C"/>
    <w:rsid w:val="00884ACE"/>
    <w:rsid w:val="00885A67"/>
    <w:rsid w:val="00885BB6"/>
    <w:rsid w:val="008872CF"/>
    <w:rsid w:val="00890023"/>
    <w:rsid w:val="0089044E"/>
    <w:rsid w:val="00890622"/>
    <w:rsid w:val="008911D4"/>
    <w:rsid w:val="008912E5"/>
    <w:rsid w:val="00891D19"/>
    <w:rsid w:val="008924AC"/>
    <w:rsid w:val="00893936"/>
    <w:rsid w:val="008945A5"/>
    <w:rsid w:val="00894C21"/>
    <w:rsid w:val="00895151"/>
    <w:rsid w:val="00895B8E"/>
    <w:rsid w:val="00896DDA"/>
    <w:rsid w:val="008974FD"/>
    <w:rsid w:val="00897585"/>
    <w:rsid w:val="008975E8"/>
    <w:rsid w:val="008A0970"/>
    <w:rsid w:val="008A0D1E"/>
    <w:rsid w:val="008A0F80"/>
    <w:rsid w:val="008A2A58"/>
    <w:rsid w:val="008A3333"/>
    <w:rsid w:val="008A3CF7"/>
    <w:rsid w:val="008A526E"/>
    <w:rsid w:val="008A53A8"/>
    <w:rsid w:val="008A56F5"/>
    <w:rsid w:val="008A5DBB"/>
    <w:rsid w:val="008A6066"/>
    <w:rsid w:val="008A6293"/>
    <w:rsid w:val="008A6471"/>
    <w:rsid w:val="008A651D"/>
    <w:rsid w:val="008A65F4"/>
    <w:rsid w:val="008A7154"/>
    <w:rsid w:val="008A7548"/>
    <w:rsid w:val="008A7876"/>
    <w:rsid w:val="008A797F"/>
    <w:rsid w:val="008A7AC7"/>
    <w:rsid w:val="008A7DCC"/>
    <w:rsid w:val="008B04B9"/>
    <w:rsid w:val="008B053A"/>
    <w:rsid w:val="008B1C1D"/>
    <w:rsid w:val="008B1D8A"/>
    <w:rsid w:val="008B21A7"/>
    <w:rsid w:val="008B2A7E"/>
    <w:rsid w:val="008B2E7B"/>
    <w:rsid w:val="008B3307"/>
    <w:rsid w:val="008B4248"/>
    <w:rsid w:val="008B47A6"/>
    <w:rsid w:val="008B47F8"/>
    <w:rsid w:val="008B4BD7"/>
    <w:rsid w:val="008B54B6"/>
    <w:rsid w:val="008B65BC"/>
    <w:rsid w:val="008B65C0"/>
    <w:rsid w:val="008B6B8B"/>
    <w:rsid w:val="008B6EBE"/>
    <w:rsid w:val="008C34F9"/>
    <w:rsid w:val="008C36F9"/>
    <w:rsid w:val="008C3A72"/>
    <w:rsid w:val="008C418B"/>
    <w:rsid w:val="008C4218"/>
    <w:rsid w:val="008C4621"/>
    <w:rsid w:val="008C4DFB"/>
    <w:rsid w:val="008C4E8A"/>
    <w:rsid w:val="008C5169"/>
    <w:rsid w:val="008C54A3"/>
    <w:rsid w:val="008C6713"/>
    <w:rsid w:val="008C76AF"/>
    <w:rsid w:val="008C7708"/>
    <w:rsid w:val="008C7A99"/>
    <w:rsid w:val="008C7C4D"/>
    <w:rsid w:val="008C7FAB"/>
    <w:rsid w:val="008D00C2"/>
    <w:rsid w:val="008D05ED"/>
    <w:rsid w:val="008D0640"/>
    <w:rsid w:val="008D07F4"/>
    <w:rsid w:val="008D10AE"/>
    <w:rsid w:val="008D20E7"/>
    <w:rsid w:val="008D24B3"/>
    <w:rsid w:val="008D2B29"/>
    <w:rsid w:val="008D4BB8"/>
    <w:rsid w:val="008D4EF0"/>
    <w:rsid w:val="008D73E0"/>
    <w:rsid w:val="008D74D5"/>
    <w:rsid w:val="008E0838"/>
    <w:rsid w:val="008E1B77"/>
    <w:rsid w:val="008E2F70"/>
    <w:rsid w:val="008E32F2"/>
    <w:rsid w:val="008E43F9"/>
    <w:rsid w:val="008E4E9E"/>
    <w:rsid w:val="008E5286"/>
    <w:rsid w:val="008E5AFE"/>
    <w:rsid w:val="008F0059"/>
    <w:rsid w:val="008F056F"/>
    <w:rsid w:val="008F057F"/>
    <w:rsid w:val="008F15C7"/>
    <w:rsid w:val="008F1CD3"/>
    <w:rsid w:val="008F1DDF"/>
    <w:rsid w:val="008F2207"/>
    <w:rsid w:val="008F2284"/>
    <w:rsid w:val="008F3034"/>
    <w:rsid w:val="008F34FC"/>
    <w:rsid w:val="008F3825"/>
    <w:rsid w:val="008F3E2F"/>
    <w:rsid w:val="008F3E32"/>
    <w:rsid w:val="008F5BDF"/>
    <w:rsid w:val="008F5E8A"/>
    <w:rsid w:val="008F667F"/>
    <w:rsid w:val="008F67C4"/>
    <w:rsid w:val="008F710F"/>
    <w:rsid w:val="008F77D3"/>
    <w:rsid w:val="0090002B"/>
    <w:rsid w:val="00900937"/>
    <w:rsid w:val="00901E78"/>
    <w:rsid w:val="009027B3"/>
    <w:rsid w:val="009030EB"/>
    <w:rsid w:val="0090358B"/>
    <w:rsid w:val="0090499B"/>
    <w:rsid w:val="00904AF2"/>
    <w:rsid w:val="009054DF"/>
    <w:rsid w:val="00905569"/>
    <w:rsid w:val="009059F4"/>
    <w:rsid w:val="00906371"/>
    <w:rsid w:val="00907FC4"/>
    <w:rsid w:val="00910BDA"/>
    <w:rsid w:val="00911167"/>
    <w:rsid w:val="0091156A"/>
    <w:rsid w:val="00911DF1"/>
    <w:rsid w:val="00913549"/>
    <w:rsid w:val="0091363C"/>
    <w:rsid w:val="00913BDC"/>
    <w:rsid w:val="00913C3B"/>
    <w:rsid w:val="00913C94"/>
    <w:rsid w:val="00914269"/>
    <w:rsid w:val="00914E3A"/>
    <w:rsid w:val="00914E46"/>
    <w:rsid w:val="00914EFA"/>
    <w:rsid w:val="00915BDF"/>
    <w:rsid w:val="00916107"/>
    <w:rsid w:val="009172CF"/>
    <w:rsid w:val="0091749C"/>
    <w:rsid w:val="009209CA"/>
    <w:rsid w:val="00921077"/>
    <w:rsid w:val="00921109"/>
    <w:rsid w:val="009219E6"/>
    <w:rsid w:val="0092209E"/>
    <w:rsid w:val="0092229F"/>
    <w:rsid w:val="0092296F"/>
    <w:rsid w:val="009230E2"/>
    <w:rsid w:val="00924FD2"/>
    <w:rsid w:val="00925050"/>
    <w:rsid w:val="00925137"/>
    <w:rsid w:val="00925359"/>
    <w:rsid w:val="00925BD2"/>
    <w:rsid w:val="00925C97"/>
    <w:rsid w:val="00925D69"/>
    <w:rsid w:val="00925F24"/>
    <w:rsid w:val="009265C1"/>
    <w:rsid w:val="00927552"/>
    <w:rsid w:val="00927A7B"/>
    <w:rsid w:val="00931654"/>
    <w:rsid w:val="00931BA3"/>
    <w:rsid w:val="009320CC"/>
    <w:rsid w:val="00932323"/>
    <w:rsid w:val="00932942"/>
    <w:rsid w:val="00933C5B"/>
    <w:rsid w:val="00934E82"/>
    <w:rsid w:val="00934EE4"/>
    <w:rsid w:val="00935253"/>
    <w:rsid w:val="00935333"/>
    <w:rsid w:val="00935868"/>
    <w:rsid w:val="00935CF4"/>
    <w:rsid w:val="00936257"/>
    <w:rsid w:val="00936875"/>
    <w:rsid w:val="00936D1C"/>
    <w:rsid w:val="00937501"/>
    <w:rsid w:val="009376E1"/>
    <w:rsid w:val="009400A7"/>
    <w:rsid w:val="00940129"/>
    <w:rsid w:val="00941ACF"/>
    <w:rsid w:val="00942971"/>
    <w:rsid w:val="00943BC5"/>
    <w:rsid w:val="00944C81"/>
    <w:rsid w:val="009450DC"/>
    <w:rsid w:val="009476B9"/>
    <w:rsid w:val="009479F4"/>
    <w:rsid w:val="00951311"/>
    <w:rsid w:val="00951B68"/>
    <w:rsid w:val="00952B41"/>
    <w:rsid w:val="0095323F"/>
    <w:rsid w:val="0095375E"/>
    <w:rsid w:val="00953FA9"/>
    <w:rsid w:val="0095403E"/>
    <w:rsid w:val="009540A0"/>
    <w:rsid w:val="009542D1"/>
    <w:rsid w:val="009545A7"/>
    <w:rsid w:val="0095462B"/>
    <w:rsid w:val="00954D6D"/>
    <w:rsid w:val="00955335"/>
    <w:rsid w:val="00956244"/>
    <w:rsid w:val="009566FB"/>
    <w:rsid w:val="00956952"/>
    <w:rsid w:val="00956C9A"/>
    <w:rsid w:val="0096093F"/>
    <w:rsid w:val="00960E6F"/>
    <w:rsid w:val="00961D5E"/>
    <w:rsid w:val="00963007"/>
    <w:rsid w:val="009636E0"/>
    <w:rsid w:val="009638C7"/>
    <w:rsid w:val="009640F5"/>
    <w:rsid w:val="009642A8"/>
    <w:rsid w:val="00964433"/>
    <w:rsid w:val="009649ED"/>
    <w:rsid w:val="00964A2D"/>
    <w:rsid w:val="009655FD"/>
    <w:rsid w:val="009662B8"/>
    <w:rsid w:val="00966A3B"/>
    <w:rsid w:val="0096759F"/>
    <w:rsid w:val="009677FE"/>
    <w:rsid w:val="009703C0"/>
    <w:rsid w:val="00970787"/>
    <w:rsid w:val="00970EE6"/>
    <w:rsid w:val="00970EE8"/>
    <w:rsid w:val="0097119B"/>
    <w:rsid w:val="00971C82"/>
    <w:rsid w:val="00971DDC"/>
    <w:rsid w:val="009720BF"/>
    <w:rsid w:val="00972440"/>
    <w:rsid w:val="009725FE"/>
    <w:rsid w:val="00973632"/>
    <w:rsid w:val="00973781"/>
    <w:rsid w:val="009747D9"/>
    <w:rsid w:val="00974EB1"/>
    <w:rsid w:val="00975340"/>
    <w:rsid w:val="009761EC"/>
    <w:rsid w:val="009762B1"/>
    <w:rsid w:val="00976BBB"/>
    <w:rsid w:val="00976C50"/>
    <w:rsid w:val="00977613"/>
    <w:rsid w:val="0098116E"/>
    <w:rsid w:val="009812E3"/>
    <w:rsid w:val="00981D5D"/>
    <w:rsid w:val="00983030"/>
    <w:rsid w:val="00983100"/>
    <w:rsid w:val="009835B6"/>
    <w:rsid w:val="00984A75"/>
    <w:rsid w:val="0098536D"/>
    <w:rsid w:val="009863F6"/>
    <w:rsid w:val="009874C7"/>
    <w:rsid w:val="009878CE"/>
    <w:rsid w:val="00987F86"/>
    <w:rsid w:val="00992CFB"/>
    <w:rsid w:val="00993CF1"/>
    <w:rsid w:val="00995370"/>
    <w:rsid w:val="00995934"/>
    <w:rsid w:val="00996192"/>
    <w:rsid w:val="00996B5D"/>
    <w:rsid w:val="00996C04"/>
    <w:rsid w:val="00997829"/>
    <w:rsid w:val="009A0F8F"/>
    <w:rsid w:val="009A122A"/>
    <w:rsid w:val="009A14B3"/>
    <w:rsid w:val="009A2DC2"/>
    <w:rsid w:val="009A3905"/>
    <w:rsid w:val="009A5BDC"/>
    <w:rsid w:val="009A62FC"/>
    <w:rsid w:val="009A687A"/>
    <w:rsid w:val="009A703A"/>
    <w:rsid w:val="009B005B"/>
    <w:rsid w:val="009B0940"/>
    <w:rsid w:val="009B1591"/>
    <w:rsid w:val="009B2BFD"/>
    <w:rsid w:val="009B3740"/>
    <w:rsid w:val="009B3934"/>
    <w:rsid w:val="009B3FB0"/>
    <w:rsid w:val="009B4149"/>
    <w:rsid w:val="009B432C"/>
    <w:rsid w:val="009B49D3"/>
    <w:rsid w:val="009B4B3A"/>
    <w:rsid w:val="009B51E2"/>
    <w:rsid w:val="009B5384"/>
    <w:rsid w:val="009B5660"/>
    <w:rsid w:val="009B5D55"/>
    <w:rsid w:val="009B65CE"/>
    <w:rsid w:val="009C0BD6"/>
    <w:rsid w:val="009C177B"/>
    <w:rsid w:val="009C27FC"/>
    <w:rsid w:val="009C4778"/>
    <w:rsid w:val="009C4FCA"/>
    <w:rsid w:val="009C53A8"/>
    <w:rsid w:val="009C5B8F"/>
    <w:rsid w:val="009C60DE"/>
    <w:rsid w:val="009C626C"/>
    <w:rsid w:val="009C737B"/>
    <w:rsid w:val="009D0276"/>
    <w:rsid w:val="009D09DD"/>
    <w:rsid w:val="009D1526"/>
    <w:rsid w:val="009D1AEA"/>
    <w:rsid w:val="009D1C21"/>
    <w:rsid w:val="009D3055"/>
    <w:rsid w:val="009D3223"/>
    <w:rsid w:val="009D33DC"/>
    <w:rsid w:val="009D392E"/>
    <w:rsid w:val="009D3EDE"/>
    <w:rsid w:val="009D5F2C"/>
    <w:rsid w:val="009D6152"/>
    <w:rsid w:val="009D6790"/>
    <w:rsid w:val="009D71FF"/>
    <w:rsid w:val="009D7D55"/>
    <w:rsid w:val="009E006A"/>
    <w:rsid w:val="009E0083"/>
    <w:rsid w:val="009E09C3"/>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555"/>
    <w:rsid w:val="009E6713"/>
    <w:rsid w:val="009E677B"/>
    <w:rsid w:val="009E6F92"/>
    <w:rsid w:val="009F04B7"/>
    <w:rsid w:val="009F0655"/>
    <w:rsid w:val="009F107D"/>
    <w:rsid w:val="009F14E3"/>
    <w:rsid w:val="009F1987"/>
    <w:rsid w:val="009F19A3"/>
    <w:rsid w:val="009F1F3D"/>
    <w:rsid w:val="009F1FEB"/>
    <w:rsid w:val="009F33C0"/>
    <w:rsid w:val="009F363E"/>
    <w:rsid w:val="009F42B4"/>
    <w:rsid w:val="009F56EA"/>
    <w:rsid w:val="009F5801"/>
    <w:rsid w:val="009F649D"/>
    <w:rsid w:val="009F739F"/>
    <w:rsid w:val="00A00323"/>
    <w:rsid w:val="00A00AD2"/>
    <w:rsid w:val="00A00AE1"/>
    <w:rsid w:val="00A0165C"/>
    <w:rsid w:val="00A01799"/>
    <w:rsid w:val="00A0222B"/>
    <w:rsid w:val="00A023EB"/>
    <w:rsid w:val="00A03776"/>
    <w:rsid w:val="00A04010"/>
    <w:rsid w:val="00A04B99"/>
    <w:rsid w:val="00A0552D"/>
    <w:rsid w:val="00A0588E"/>
    <w:rsid w:val="00A067ED"/>
    <w:rsid w:val="00A06C99"/>
    <w:rsid w:val="00A075DC"/>
    <w:rsid w:val="00A075EA"/>
    <w:rsid w:val="00A10112"/>
    <w:rsid w:val="00A1011E"/>
    <w:rsid w:val="00A10436"/>
    <w:rsid w:val="00A120A1"/>
    <w:rsid w:val="00A12DC4"/>
    <w:rsid w:val="00A13BCD"/>
    <w:rsid w:val="00A14686"/>
    <w:rsid w:val="00A15149"/>
    <w:rsid w:val="00A154A3"/>
    <w:rsid w:val="00A2054E"/>
    <w:rsid w:val="00A207C5"/>
    <w:rsid w:val="00A20B51"/>
    <w:rsid w:val="00A21201"/>
    <w:rsid w:val="00A214C0"/>
    <w:rsid w:val="00A22A38"/>
    <w:rsid w:val="00A22C43"/>
    <w:rsid w:val="00A23B2E"/>
    <w:rsid w:val="00A243F1"/>
    <w:rsid w:val="00A245EA"/>
    <w:rsid w:val="00A24FBD"/>
    <w:rsid w:val="00A26DD9"/>
    <w:rsid w:val="00A2708E"/>
    <w:rsid w:val="00A303FB"/>
    <w:rsid w:val="00A30669"/>
    <w:rsid w:val="00A32A65"/>
    <w:rsid w:val="00A32C35"/>
    <w:rsid w:val="00A32D54"/>
    <w:rsid w:val="00A336F3"/>
    <w:rsid w:val="00A34D47"/>
    <w:rsid w:val="00A3532C"/>
    <w:rsid w:val="00A35481"/>
    <w:rsid w:val="00A354A9"/>
    <w:rsid w:val="00A36AFC"/>
    <w:rsid w:val="00A404E0"/>
    <w:rsid w:val="00A41153"/>
    <w:rsid w:val="00A414CA"/>
    <w:rsid w:val="00A41791"/>
    <w:rsid w:val="00A417F0"/>
    <w:rsid w:val="00A4218C"/>
    <w:rsid w:val="00A42372"/>
    <w:rsid w:val="00A4316B"/>
    <w:rsid w:val="00A44CE1"/>
    <w:rsid w:val="00A455E3"/>
    <w:rsid w:val="00A46B64"/>
    <w:rsid w:val="00A479A4"/>
    <w:rsid w:val="00A479EC"/>
    <w:rsid w:val="00A47AC5"/>
    <w:rsid w:val="00A47C0F"/>
    <w:rsid w:val="00A50AF6"/>
    <w:rsid w:val="00A51475"/>
    <w:rsid w:val="00A52451"/>
    <w:rsid w:val="00A524DF"/>
    <w:rsid w:val="00A526B3"/>
    <w:rsid w:val="00A53284"/>
    <w:rsid w:val="00A53F6A"/>
    <w:rsid w:val="00A55767"/>
    <w:rsid w:val="00A55894"/>
    <w:rsid w:val="00A55EA9"/>
    <w:rsid w:val="00A5775E"/>
    <w:rsid w:val="00A60D64"/>
    <w:rsid w:val="00A6101C"/>
    <w:rsid w:val="00A61D25"/>
    <w:rsid w:val="00A61E36"/>
    <w:rsid w:val="00A621F7"/>
    <w:rsid w:val="00A62DA0"/>
    <w:rsid w:val="00A63514"/>
    <w:rsid w:val="00A63937"/>
    <w:rsid w:val="00A63BC3"/>
    <w:rsid w:val="00A65022"/>
    <w:rsid w:val="00A6517F"/>
    <w:rsid w:val="00A656E4"/>
    <w:rsid w:val="00A65ACC"/>
    <w:rsid w:val="00A70AA4"/>
    <w:rsid w:val="00A70E70"/>
    <w:rsid w:val="00A71DF0"/>
    <w:rsid w:val="00A71F5C"/>
    <w:rsid w:val="00A723B1"/>
    <w:rsid w:val="00A73FC7"/>
    <w:rsid w:val="00A74369"/>
    <w:rsid w:val="00A7524D"/>
    <w:rsid w:val="00A759C0"/>
    <w:rsid w:val="00A75C5C"/>
    <w:rsid w:val="00A77368"/>
    <w:rsid w:val="00A77B41"/>
    <w:rsid w:val="00A807C4"/>
    <w:rsid w:val="00A819D9"/>
    <w:rsid w:val="00A83232"/>
    <w:rsid w:val="00A85B1C"/>
    <w:rsid w:val="00A85E4E"/>
    <w:rsid w:val="00A86200"/>
    <w:rsid w:val="00A872E5"/>
    <w:rsid w:val="00A87FB7"/>
    <w:rsid w:val="00A90566"/>
    <w:rsid w:val="00A90D3B"/>
    <w:rsid w:val="00A923BD"/>
    <w:rsid w:val="00A92705"/>
    <w:rsid w:val="00A937FB"/>
    <w:rsid w:val="00A9424F"/>
    <w:rsid w:val="00A949A2"/>
    <w:rsid w:val="00A94C9E"/>
    <w:rsid w:val="00A95D57"/>
    <w:rsid w:val="00A95EBE"/>
    <w:rsid w:val="00A96264"/>
    <w:rsid w:val="00A962F1"/>
    <w:rsid w:val="00A9754D"/>
    <w:rsid w:val="00AA173A"/>
    <w:rsid w:val="00AA2A5F"/>
    <w:rsid w:val="00AA2E2F"/>
    <w:rsid w:val="00AA3433"/>
    <w:rsid w:val="00AA4FBB"/>
    <w:rsid w:val="00AA521F"/>
    <w:rsid w:val="00AA5DC8"/>
    <w:rsid w:val="00AA5E30"/>
    <w:rsid w:val="00AA719E"/>
    <w:rsid w:val="00AB0E2D"/>
    <w:rsid w:val="00AB1260"/>
    <w:rsid w:val="00AB18F9"/>
    <w:rsid w:val="00AB1C51"/>
    <w:rsid w:val="00AB240D"/>
    <w:rsid w:val="00AB25ED"/>
    <w:rsid w:val="00AB39C4"/>
    <w:rsid w:val="00AB436A"/>
    <w:rsid w:val="00AB488F"/>
    <w:rsid w:val="00AB51BA"/>
    <w:rsid w:val="00AB5A41"/>
    <w:rsid w:val="00AB626C"/>
    <w:rsid w:val="00AB6571"/>
    <w:rsid w:val="00AB66D0"/>
    <w:rsid w:val="00AB6A6F"/>
    <w:rsid w:val="00AC0071"/>
    <w:rsid w:val="00AC00C4"/>
    <w:rsid w:val="00AC0264"/>
    <w:rsid w:val="00AC06CD"/>
    <w:rsid w:val="00AC196E"/>
    <w:rsid w:val="00AC2F83"/>
    <w:rsid w:val="00AC422C"/>
    <w:rsid w:val="00AC4703"/>
    <w:rsid w:val="00AC4E42"/>
    <w:rsid w:val="00AC5F5D"/>
    <w:rsid w:val="00AD05DD"/>
    <w:rsid w:val="00AD15C5"/>
    <w:rsid w:val="00AD1DA7"/>
    <w:rsid w:val="00AD2518"/>
    <w:rsid w:val="00AD2C9C"/>
    <w:rsid w:val="00AD35F5"/>
    <w:rsid w:val="00AD3DD4"/>
    <w:rsid w:val="00AD428C"/>
    <w:rsid w:val="00AD43E2"/>
    <w:rsid w:val="00AD4460"/>
    <w:rsid w:val="00AD547F"/>
    <w:rsid w:val="00AD5E84"/>
    <w:rsid w:val="00AD6857"/>
    <w:rsid w:val="00AD7161"/>
    <w:rsid w:val="00AD7E36"/>
    <w:rsid w:val="00AE0AEF"/>
    <w:rsid w:val="00AE119D"/>
    <w:rsid w:val="00AE2A43"/>
    <w:rsid w:val="00AE2ECD"/>
    <w:rsid w:val="00AE5053"/>
    <w:rsid w:val="00AE5EF2"/>
    <w:rsid w:val="00AE68D6"/>
    <w:rsid w:val="00AE6BD0"/>
    <w:rsid w:val="00AE76D8"/>
    <w:rsid w:val="00AF0105"/>
    <w:rsid w:val="00AF2744"/>
    <w:rsid w:val="00AF4D93"/>
    <w:rsid w:val="00AF5182"/>
    <w:rsid w:val="00AF6259"/>
    <w:rsid w:val="00AF70D0"/>
    <w:rsid w:val="00AF764E"/>
    <w:rsid w:val="00B0047E"/>
    <w:rsid w:val="00B00538"/>
    <w:rsid w:val="00B00B93"/>
    <w:rsid w:val="00B00DB5"/>
    <w:rsid w:val="00B017DF"/>
    <w:rsid w:val="00B0185C"/>
    <w:rsid w:val="00B02B23"/>
    <w:rsid w:val="00B02B6F"/>
    <w:rsid w:val="00B02D07"/>
    <w:rsid w:val="00B052B6"/>
    <w:rsid w:val="00B053A2"/>
    <w:rsid w:val="00B05A2A"/>
    <w:rsid w:val="00B05ABC"/>
    <w:rsid w:val="00B067A6"/>
    <w:rsid w:val="00B071BE"/>
    <w:rsid w:val="00B07479"/>
    <w:rsid w:val="00B10293"/>
    <w:rsid w:val="00B12B0F"/>
    <w:rsid w:val="00B12FB5"/>
    <w:rsid w:val="00B12FCA"/>
    <w:rsid w:val="00B1305A"/>
    <w:rsid w:val="00B1313E"/>
    <w:rsid w:val="00B13A65"/>
    <w:rsid w:val="00B149DF"/>
    <w:rsid w:val="00B14AA8"/>
    <w:rsid w:val="00B154BA"/>
    <w:rsid w:val="00B16A66"/>
    <w:rsid w:val="00B16F0E"/>
    <w:rsid w:val="00B17FFA"/>
    <w:rsid w:val="00B20735"/>
    <w:rsid w:val="00B207B6"/>
    <w:rsid w:val="00B212C7"/>
    <w:rsid w:val="00B213C2"/>
    <w:rsid w:val="00B21939"/>
    <w:rsid w:val="00B21AC7"/>
    <w:rsid w:val="00B2229B"/>
    <w:rsid w:val="00B22607"/>
    <w:rsid w:val="00B228FD"/>
    <w:rsid w:val="00B23B4B"/>
    <w:rsid w:val="00B24537"/>
    <w:rsid w:val="00B245C2"/>
    <w:rsid w:val="00B24753"/>
    <w:rsid w:val="00B25229"/>
    <w:rsid w:val="00B254DB"/>
    <w:rsid w:val="00B25FD0"/>
    <w:rsid w:val="00B3145D"/>
    <w:rsid w:val="00B31791"/>
    <w:rsid w:val="00B31DB7"/>
    <w:rsid w:val="00B31E11"/>
    <w:rsid w:val="00B342DF"/>
    <w:rsid w:val="00B345DE"/>
    <w:rsid w:val="00B350D8"/>
    <w:rsid w:val="00B354EE"/>
    <w:rsid w:val="00B36B1A"/>
    <w:rsid w:val="00B37702"/>
    <w:rsid w:val="00B37B53"/>
    <w:rsid w:val="00B40275"/>
    <w:rsid w:val="00B40FD1"/>
    <w:rsid w:val="00B42B11"/>
    <w:rsid w:val="00B4440B"/>
    <w:rsid w:val="00B44AA7"/>
    <w:rsid w:val="00B4525B"/>
    <w:rsid w:val="00B4765D"/>
    <w:rsid w:val="00B47DD2"/>
    <w:rsid w:val="00B5087E"/>
    <w:rsid w:val="00B5285B"/>
    <w:rsid w:val="00B54130"/>
    <w:rsid w:val="00B54152"/>
    <w:rsid w:val="00B55178"/>
    <w:rsid w:val="00B55F79"/>
    <w:rsid w:val="00B56080"/>
    <w:rsid w:val="00B5621D"/>
    <w:rsid w:val="00B56C46"/>
    <w:rsid w:val="00B5714D"/>
    <w:rsid w:val="00B571DA"/>
    <w:rsid w:val="00B57387"/>
    <w:rsid w:val="00B5756E"/>
    <w:rsid w:val="00B57620"/>
    <w:rsid w:val="00B578FF"/>
    <w:rsid w:val="00B6076C"/>
    <w:rsid w:val="00B608C5"/>
    <w:rsid w:val="00B61CAA"/>
    <w:rsid w:val="00B62FE0"/>
    <w:rsid w:val="00B64830"/>
    <w:rsid w:val="00B65ABB"/>
    <w:rsid w:val="00B66545"/>
    <w:rsid w:val="00B66A97"/>
    <w:rsid w:val="00B67120"/>
    <w:rsid w:val="00B67668"/>
    <w:rsid w:val="00B70300"/>
    <w:rsid w:val="00B7169D"/>
    <w:rsid w:val="00B731EA"/>
    <w:rsid w:val="00B73A8F"/>
    <w:rsid w:val="00B73C46"/>
    <w:rsid w:val="00B73F9F"/>
    <w:rsid w:val="00B74D30"/>
    <w:rsid w:val="00B75910"/>
    <w:rsid w:val="00B759FF"/>
    <w:rsid w:val="00B75E90"/>
    <w:rsid w:val="00B760E9"/>
    <w:rsid w:val="00B766B5"/>
    <w:rsid w:val="00B76A67"/>
    <w:rsid w:val="00B76B6B"/>
    <w:rsid w:val="00B77125"/>
    <w:rsid w:val="00B80129"/>
    <w:rsid w:val="00B80569"/>
    <w:rsid w:val="00B80610"/>
    <w:rsid w:val="00B80E04"/>
    <w:rsid w:val="00B810A8"/>
    <w:rsid w:val="00B8119C"/>
    <w:rsid w:val="00B812C1"/>
    <w:rsid w:val="00B81395"/>
    <w:rsid w:val="00B82382"/>
    <w:rsid w:val="00B823E7"/>
    <w:rsid w:val="00B82FC4"/>
    <w:rsid w:val="00B8359D"/>
    <w:rsid w:val="00B8379E"/>
    <w:rsid w:val="00B83870"/>
    <w:rsid w:val="00B848DB"/>
    <w:rsid w:val="00B85116"/>
    <w:rsid w:val="00B85AD3"/>
    <w:rsid w:val="00B85CBC"/>
    <w:rsid w:val="00B865C4"/>
    <w:rsid w:val="00B86987"/>
    <w:rsid w:val="00B87709"/>
    <w:rsid w:val="00B90167"/>
    <w:rsid w:val="00B913AA"/>
    <w:rsid w:val="00B925A9"/>
    <w:rsid w:val="00B9341E"/>
    <w:rsid w:val="00B93BA4"/>
    <w:rsid w:val="00B94276"/>
    <w:rsid w:val="00B95E06"/>
    <w:rsid w:val="00B9655B"/>
    <w:rsid w:val="00B96E41"/>
    <w:rsid w:val="00B972AA"/>
    <w:rsid w:val="00B978DC"/>
    <w:rsid w:val="00BA007F"/>
    <w:rsid w:val="00BA040D"/>
    <w:rsid w:val="00BA0EC9"/>
    <w:rsid w:val="00BA16FA"/>
    <w:rsid w:val="00BA187E"/>
    <w:rsid w:val="00BA19CB"/>
    <w:rsid w:val="00BA20BB"/>
    <w:rsid w:val="00BA227A"/>
    <w:rsid w:val="00BA2524"/>
    <w:rsid w:val="00BA2E5A"/>
    <w:rsid w:val="00BA3A51"/>
    <w:rsid w:val="00BA509A"/>
    <w:rsid w:val="00BA67D3"/>
    <w:rsid w:val="00BA7FB0"/>
    <w:rsid w:val="00BB0253"/>
    <w:rsid w:val="00BB035D"/>
    <w:rsid w:val="00BB0BDF"/>
    <w:rsid w:val="00BB1DC9"/>
    <w:rsid w:val="00BB22F8"/>
    <w:rsid w:val="00BB2655"/>
    <w:rsid w:val="00BB2AA8"/>
    <w:rsid w:val="00BB2EA1"/>
    <w:rsid w:val="00BB3035"/>
    <w:rsid w:val="00BB310C"/>
    <w:rsid w:val="00BB313C"/>
    <w:rsid w:val="00BB3365"/>
    <w:rsid w:val="00BB33B5"/>
    <w:rsid w:val="00BB516E"/>
    <w:rsid w:val="00BB5AA0"/>
    <w:rsid w:val="00BB6167"/>
    <w:rsid w:val="00BB61E7"/>
    <w:rsid w:val="00BB6E56"/>
    <w:rsid w:val="00BB7774"/>
    <w:rsid w:val="00BB78E1"/>
    <w:rsid w:val="00BB7AFD"/>
    <w:rsid w:val="00BC0240"/>
    <w:rsid w:val="00BC057C"/>
    <w:rsid w:val="00BC060E"/>
    <w:rsid w:val="00BC0C59"/>
    <w:rsid w:val="00BC0FCA"/>
    <w:rsid w:val="00BC1042"/>
    <w:rsid w:val="00BC1D6C"/>
    <w:rsid w:val="00BC1F74"/>
    <w:rsid w:val="00BC29DA"/>
    <w:rsid w:val="00BC2A8F"/>
    <w:rsid w:val="00BC3A62"/>
    <w:rsid w:val="00BC3ECE"/>
    <w:rsid w:val="00BC68E0"/>
    <w:rsid w:val="00BC69CF"/>
    <w:rsid w:val="00BC6B92"/>
    <w:rsid w:val="00BC6E55"/>
    <w:rsid w:val="00BC77A9"/>
    <w:rsid w:val="00BD019C"/>
    <w:rsid w:val="00BD1A9E"/>
    <w:rsid w:val="00BD22E3"/>
    <w:rsid w:val="00BD2E64"/>
    <w:rsid w:val="00BD383C"/>
    <w:rsid w:val="00BD453C"/>
    <w:rsid w:val="00BD4CB6"/>
    <w:rsid w:val="00BD5623"/>
    <w:rsid w:val="00BD57FD"/>
    <w:rsid w:val="00BD5A06"/>
    <w:rsid w:val="00BD5ED5"/>
    <w:rsid w:val="00BD6611"/>
    <w:rsid w:val="00BE0626"/>
    <w:rsid w:val="00BE06E8"/>
    <w:rsid w:val="00BE0936"/>
    <w:rsid w:val="00BE1FB8"/>
    <w:rsid w:val="00BE28BE"/>
    <w:rsid w:val="00BE2C38"/>
    <w:rsid w:val="00BE2D59"/>
    <w:rsid w:val="00BE2E30"/>
    <w:rsid w:val="00BE368F"/>
    <w:rsid w:val="00BE3ECA"/>
    <w:rsid w:val="00BE405C"/>
    <w:rsid w:val="00BE429B"/>
    <w:rsid w:val="00BE43F6"/>
    <w:rsid w:val="00BE4855"/>
    <w:rsid w:val="00BE4996"/>
    <w:rsid w:val="00BE5919"/>
    <w:rsid w:val="00BE593A"/>
    <w:rsid w:val="00BE597F"/>
    <w:rsid w:val="00BE5AB1"/>
    <w:rsid w:val="00BE6202"/>
    <w:rsid w:val="00BE650E"/>
    <w:rsid w:val="00BE6A62"/>
    <w:rsid w:val="00BE6B62"/>
    <w:rsid w:val="00BE73C4"/>
    <w:rsid w:val="00BE7A16"/>
    <w:rsid w:val="00BF025A"/>
    <w:rsid w:val="00BF051C"/>
    <w:rsid w:val="00BF0BF6"/>
    <w:rsid w:val="00BF0E8C"/>
    <w:rsid w:val="00BF181F"/>
    <w:rsid w:val="00BF2806"/>
    <w:rsid w:val="00BF42E2"/>
    <w:rsid w:val="00BF48BD"/>
    <w:rsid w:val="00BF4D5E"/>
    <w:rsid w:val="00BF4FF0"/>
    <w:rsid w:val="00BF5F7A"/>
    <w:rsid w:val="00BF6583"/>
    <w:rsid w:val="00BF7006"/>
    <w:rsid w:val="00BF7967"/>
    <w:rsid w:val="00C016B1"/>
    <w:rsid w:val="00C01BBA"/>
    <w:rsid w:val="00C01CF5"/>
    <w:rsid w:val="00C03D4B"/>
    <w:rsid w:val="00C05325"/>
    <w:rsid w:val="00C05522"/>
    <w:rsid w:val="00C05AD7"/>
    <w:rsid w:val="00C05C68"/>
    <w:rsid w:val="00C06261"/>
    <w:rsid w:val="00C0657E"/>
    <w:rsid w:val="00C073F5"/>
    <w:rsid w:val="00C07E19"/>
    <w:rsid w:val="00C1013F"/>
    <w:rsid w:val="00C10627"/>
    <w:rsid w:val="00C117AC"/>
    <w:rsid w:val="00C125A5"/>
    <w:rsid w:val="00C1269E"/>
    <w:rsid w:val="00C13853"/>
    <w:rsid w:val="00C14DEE"/>
    <w:rsid w:val="00C1539D"/>
    <w:rsid w:val="00C161A7"/>
    <w:rsid w:val="00C16537"/>
    <w:rsid w:val="00C16F6F"/>
    <w:rsid w:val="00C173E3"/>
    <w:rsid w:val="00C17727"/>
    <w:rsid w:val="00C17D85"/>
    <w:rsid w:val="00C17FBE"/>
    <w:rsid w:val="00C212A4"/>
    <w:rsid w:val="00C21688"/>
    <w:rsid w:val="00C22C12"/>
    <w:rsid w:val="00C23201"/>
    <w:rsid w:val="00C23A0B"/>
    <w:rsid w:val="00C24B92"/>
    <w:rsid w:val="00C2529D"/>
    <w:rsid w:val="00C27DF2"/>
    <w:rsid w:val="00C30218"/>
    <w:rsid w:val="00C30D9F"/>
    <w:rsid w:val="00C31051"/>
    <w:rsid w:val="00C318CE"/>
    <w:rsid w:val="00C321E2"/>
    <w:rsid w:val="00C32A47"/>
    <w:rsid w:val="00C33227"/>
    <w:rsid w:val="00C34201"/>
    <w:rsid w:val="00C34CEA"/>
    <w:rsid w:val="00C354D7"/>
    <w:rsid w:val="00C35E9D"/>
    <w:rsid w:val="00C36242"/>
    <w:rsid w:val="00C367BC"/>
    <w:rsid w:val="00C3720D"/>
    <w:rsid w:val="00C375DB"/>
    <w:rsid w:val="00C3773F"/>
    <w:rsid w:val="00C4312D"/>
    <w:rsid w:val="00C433B1"/>
    <w:rsid w:val="00C43438"/>
    <w:rsid w:val="00C43DEA"/>
    <w:rsid w:val="00C45350"/>
    <w:rsid w:val="00C46AF6"/>
    <w:rsid w:val="00C472C5"/>
    <w:rsid w:val="00C50A42"/>
    <w:rsid w:val="00C51509"/>
    <w:rsid w:val="00C52430"/>
    <w:rsid w:val="00C54207"/>
    <w:rsid w:val="00C562D0"/>
    <w:rsid w:val="00C57505"/>
    <w:rsid w:val="00C57993"/>
    <w:rsid w:val="00C57AFB"/>
    <w:rsid w:val="00C6057A"/>
    <w:rsid w:val="00C60967"/>
    <w:rsid w:val="00C60BA3"/>
    <w:rsid w:val="00C611A6"/>
    <w:rsid w:val="00C61A5D"/>
    <w:rsid w:val="00C61B7D"/>
    <w:rsid w:val="00C6209F"/>
    <w:rsid w:val="00C62947"/>
    <w:rsid w:val="00C62AA5"/>
    <w:rsid w:val="00C633E4"/>
    <w:rsid w:val="00C645C7"/>
    <w:rsid w:val="00C6550E"/>
    <w:rsid w:val="00C65F7A"/>
    <w:rsid w:val="00C66595"/>
    <w:rsid w:val="00C67C7B"/>
    <w:rsid w:val="00C7077C"/>
    <w:rsid w:val="00C70D07"/>
    <w:rsid w:val="00C71444"/>
    <w:rsid w:val="00C71607"/>
    <w:rsid w:val="00C71CAC"/>
    <w:rsid w:val="00C72825"/>
    <w:rsid w:val="00C74464"/>
    <w:rsid w:val="00C74AD4"/>
    <w:rsid w:val="00C74EE8"/>
    <w:rsid w:val="00C7564A"/>
    <w:rsid w:val="00C75843"/>
    <w:rsid w:val="00C75D76"/>
    <w:rsid w:val="00C77DD8"/>
    <w:rsid w:val="00C81C4C"/>
    <w:rsid w:val="00C81D50"/>
    <w:rsid w:val="00C820D1"/>
    <w:rsid w:val="00C82493"/>
    <w:rsid w:val="00C8253B"/>
    <w:rsid w:val="00C839F0"/>
    <w:rsid w:val="00C845F3"/>
    <w:rsid w:val="00C85D22"/>
    <w:rsid w:val="00C865DD"/>
    <w:rsid w:val="00C875E8"/>
    <w:rsid w:val="00C91740"/>
    <w:rsid w:val="00C91773"/>
    <w:rsid w:val="00C91F8D"/>
    <w:rsid w:val="00C92512"/>
    <w:rsid w:val="00C92A2C"/>
    <w:rsid w:val="00C93077"/>
    <w:rsid w:val="00C934DB"/>
    <w:rsid w:val="00C93B7F"/>
    <w:rsid w:val="00C93EA0"/>
    <w:rsid w:val="00C9440E"/>
    <w:rsid w:val="00C95836"/>
    <w:rsid w:val="00C961A3"/>
    <w:rsid w:val="00C969FF"/>
    <w:rsid w:val="00C96ACC"/>
    <w:rsid w:val="00C975C3"/>
    <w:rsid w:val="00C97A38"/>
    <w:rsid w:val="00CA083B"/>
    <w:rsid w:val="00CA1234"/>
    <w:rsid w:val="00CA1D86"/>
    <w:rsid w:val="00CA24D3"/>
    <w:rsid w:val="00CA28E4"/>
    <w:rsid w:val="00CA2AD1"/>
    <w:rsid w:val="00CA4AF4"/>
    <w:rsid w:val="00CA5468"/>
    <w:rsid w:val="00CA54A9"/>
    <w:rsid w:val="00CA648E"/>
    <w:rsid w:val="00CB0726"/>
    <w:rsid w:val="00CB18CE"/>
    <w:rsid w:val="00CB2056"/>
    <w:rsid w:val="00CB27D8"/>
    <w:rsid w:val="00CB2CB9"/>
    <w:rsid w:val="00CB35BF"/>
    <w:rsid w:val="00CB37A0"/>
    <w:rsid w:val="00CB4C3F"/>
    <w:rsid w:val="00CB4D8A"/>
    <w:rsid w:val="00CB53CC"/>
    <w:rsid w:val="00CB5850"/>
    <w:rsid w:val="00CB68E2"/>
    <w:rsid w:val="00CB7F8D"/>
    <w:rsid w:val="00CC066B"/>
    <w:rsid w:val="00CC14A3"/>
    <w:rsid w:val="00CC19E8"/>
    <w:rsid w:val="00CC1D2C"/>
    <w:rsid w:val="00CC22B8"/>
    <w:rsid w:val="00CC32EE"/>
    <w:rsid w:val="00CC3E43"/>
    <w:rsid w:val="00CC509C"/>
    <w:rsid w:val="00CC5B6D"/>
    <w:rsid w:val="00CC62E0"/>
    <w:rsid w:val="00CC6672"/>
    <w:rsid w:val="00CC68FC"/>
    <w:rsid w:val="00CC6A19"/>
    <w:rsid w:val="00CC6CF7"/>
    <w:rsid w:val="00CC6E41"/>
    <w:rsid w:val="00CC7494"/>
    <w:rsid w:val="00CC7FCF"/>
    <w:rsid w:val="00CD0173"/>
    <w:rsid w:val="00CD2811"/>
    <w:rsid w:val="00CD2818"/>
    <w:rsid w:val="00CD31A2"/>
    <w:rsid w:val="00CD321B"/>
    <w:rsid w:val="00CD48BA"/>
    <w:rsid w:val="00CD5A3A"/>
    <w:rsid w:val="00CD5AF3"/>
    <w:rsid w:val="00CD6505"/>
    <w:rsid w:val="00CD709E"/>
    <w:rsid w:val="00CD7E47"/>
    <w:rsid w:val="00CE001D"/>
    <w:rsid w:val="00CE00B5"/>
    <w:rsid w:val="00CE0B42"/>
    <w:rsid w:val="00CE0F69"/>
    <w:rsid w:val="00CE122D"/>
    <w:rsid w:val="00CE13B7"/>
    <w:rsid w:val="00CE4880"/>
    <w:rsid w:val="00CE5980"/>
    <w:rsid w:val="00CE5B03"/>
    <w:rsid w:val="00CE6F33"/>
    <w:rsid w:val="00CE6F86"/>
    <w:rsid w:val="00CE7AE2"/>
    <w:rsid w:val="00CE7E00"/>
    <w:rsid w:val="00CE7F42"/>
    <w:rsid w:val="00CF0B8C"/>
    <w:rsid w:val="00CF4353"/>
    <w:rsid w:val="00CF49DA"/>
    <w:rsid w:val="00CF51BF"/>
    <w:rsid w:val="00CF53FF"/>
    <w:rsid w:val="00CF5DC6"/>
    <w:rsid w:val="00CF76C0"/>
    <w:rsid w:val="00CF7791"/>
    <w:rsid w:val="00CF7952"/>
    <w:rsid w:val="00CF7A35"/>
    <w:rsid w:val="00CF7C43"/>
    <w:rsid w:val="00D00469"/>
    <w:rsid w:val="00D00949"/>
    <w:rsid w:val="00D00C32"/>
    <w:rsid w:val="00D013CF"/>
    <w:rsid w:val="00D01403"/>
    <w:rsid w:val="00D0236F"/>
    <w:rsid w:val="00D02E02"/>
    <w:rsid w:val="00D03206"/>
    <w:rsid w:val="00D03C86"/>
    <w:rsid w:val="00D03E95"/>
    <w:rsid w:val="00D042B2"/>
    <w:rsid w:val="00D04440"/>
    <w:rsid w:val="00D04FD5"/>
    <w:rsid w:val="00D05137"/>
    <w:rsid w:val="00D052BF"/>
    <w:rsid w:val="00D05A45"/>
    <w:rsid w:val="00D06755"/>
    <w:rsid w:val="00D06ABA"/>
    <w:rsid w:val="00D10471"/>
    <w:rsid w:val="00D10D8B"/>
    <w:rsid w:val="00D11268"/>
    <w:rsid w:val="00D11A9A"/>
    <w:rsid w:val="00D11B22"/>
    <w:rsid w:val="00D12373"/>
    <w:rsid w:val="00D1360C"/>
    <w:rsid w:val="00D13DF2"/>
    <w:rsid w:val="00D140A1"/>
    <w:rsid w:val="00D1413F"/>
    <w:rsid w:val="00D149EE"/>
    <w:rsid w:val="00D15369"/>
    <w:rsid w:val="00D16CBF"/>
    <w:rsid w:val="00D17CD9"/>
    <w:rsid w:val="00D2075C"/>
    <w:rsid w:val="00D21353"/>
    <w:rsid w:val="00D22374"/>
    <w:rsid w:val="00D23349"/>
    <w:rsid w:val="00D2467C"/>
    <w:rsid w:val="00D257F1"/>
    <w:rsid w:val="00D268F8"/>
    <w:rsid w:val="00D2701E"/>
    <w:rsid w:val="00D27043"/>
    <w:rsid w:val="00D270B7"/>
    <w:rsid w:val="00D27FF5"/>
    <w:rsid w:val="00D30D7D"/>
    <w:rsid w:val="00D30DC7"/>
    <w:rsid w:val="00D3108A"/>
    <w:rsid w:val="00D312A7"/>
    <w:rsid w:val="00D341F9"/>
    <w:rsid w:val="00D354D8"/>
    <w:rsid w:val="00D36220"/>
    <w:rsid w:val="00D3624C"/>
    <w:rsid w:val="00D365C1"/>
    <w:rsid w:val="00D366E7"/>
    <w:rsid w:val="00D405F7"/>
    <w:rsid w:val="00D40BE3"/>
    <w:rsid w:val="00D411E6"/>
    <w:rsid w:val="00D41796"/>
    <w:rsid w:val="00D41A6C"/>
    <w:rsid w:val="00D42AAD"/>
    <w:rsid w:val="00D42F9C"/>
    <w:rsid w:val="00D43A1E"/>
    <w:rsid w:val="00D43A67"/>
    <w:rsid w:val="00D447E4"/>
    <w:rsid w:val="00D44C22"/>
    <w:rsid w:val="00D46088"/>
    <w:rsid w:val="00D46124"/>
    <w:rsid w:val="00D464DF"/>
    <w:rsid w:val="00D46B32"/>
    <w:rsid w:val="00D46CC0"/>
    <w:rsid w:val="00D476D1"/>
    <w:rsid w:val="00D47AF6"/>
    <w:rsid w:val="00D47EFF"/>
    <w:rsid w:val="00D47FEF"/>
    <w:rsid w:val="00D501A4"/>
    <w:rsid w:val="00D50216"/>
    <w:rsid w:val="00D50B8C"/>
    <w:rsid w:val="00D51BFD"/>
    <w:rsid w:val="00D51FFC"/>
    <w:rsid w:val="00D53248"/>
    <w:rsid w:val="00D561D6"/>
    <w:rsid w:val="00D56D17"/>
    <w:rsid w:val="00D56DEC"/>
    <w:rsid w:val="00D5784A"/>
    <w:rsid w:val="00D621BB"/>
    <w:rsid w:val="00D62707"/>
    <w:rsid w:val="00D6281C"/>
    <w:rsid w:val="00D62CD0"/>
    <w:rsid w:val="00D641E9"/>
    <w:rsid w:val="00D648ED"/>
    <w:rsid w:val="00D64DAE"/>
    <w:rsid w:val="00D65922"/>
    <w:rsid w:val="00D65A71"/>
    <w:rsid w:val="00D65B8E"/>
    <w:rsid w:val="00D66957"/>
    <w:rsid w:val="00D6695C"/>
    <w:rsid w:val="00D67273"/>
    <w:rsid w:val="00D67807"/>
    <w:rsid w:val="00D70DB7"/>
    <w:rsid w:val="00D7112B"/>
    <w:rsid w:val="00D71E1E"/>
    <w:rsid w:val="00D72A55"/>
    <w:rsid w:val="00D72CF3"/>
    <w:rsid w:val="00D72DAE"/>
    <w:rsid w:val="00D7437B"/>
    <w:rsid w:val="00D743E3"/>
    <w:rsid w:val="00D755D6"/>
    <w:rsid w:val="00D756E5"/>
    <w:rsid w:val="00D75B2A"/>
    <w:rsid w:val="00D76E92"/>
    <w:rsid w:val="00D77C59"/>
    <w:rsid w:val="00D81280"/>
    <w:rsid w:val="00D8196C"/>
    <w:rsid w:val="00D81FAF"/>
    <w:rsid w:val="00D82A21"/>
    <w:rsid w:val="00D83B41"/>
    <w:rsid w:val="00D84714"/>
    <w:rsid w:val="00D84EEA"/>
    <w:rsid w:val="00D85163"/>
    <w:rsid w:val="00D8524D"/>
    <w:rsid w:val="00D85DC1"/>
    <w:rsid w:val="00D8609A"/>
    <w:rsid w:val="00D86182"/>
    <w:rsid w:val="00D8624D"/>
    <w:rsid w:val="00D864B1"/>
    <w:rsid w:val="00D864C4"/>
    <w:rsid w:val="00D8690C"/>
    <w:rsid w:val="00D871B5"/>
    <w:rsid w:val="00D90659"/>
    <w:rsid w:val="00D90EB6"/>
    <w:rsid w:val="00D92369"/>
    <w:rsid w:val="00D9246E"/>
    <w:rsid w:val="00D9295C"/>
    <w:rsid w:val="00D944B0"/>
    <w:rsid w:val="00D94678"/>
    <w:rsid w:val="00D95528"/>
    <w:rsid w:val="00D95618"/>
    <w:rsid w:val="00D96591"/>
    <w:rsid w:val="00D976F6"/>
    <w:rsid w:val="00D977B7"/>
    <w:rsid w:val="00DA08DC"/>
    <w:rsid w:val="00DA0C4B"/>
    <w:rsid w:val="00DA1F6E"/>
    <w:rsid w:val="00DA2431"/>
    <w:rsid w:val="00DA2674"/>
    <w:rsid w:val="00DA36F2"/>
    <w:rsid w:val="00DA42AA"/>
    <w:rsid w:val="00DA466D"/>
    <w:rsid w:val="00DA63EC"/>
    <w:rsid w:val="00DA789C"/>
    <w:rsid w:val="00DB035D"/>
    <w:rsid w:val="00DB0501"/>
    <w:rsid w:val="00DB1587"/>
    <w:rsid w:val="00DB17BB"/>
    <w:rsid w:val="00DB25DD"/>
    <w:rsid w:val="00DB2B58"/>
    <w:rsid w:val="00DB3CAE"/>
    <w:rsid w:val="00DB403F"/>
    <w:rsid w:val="00DB4302"/>
    <w:rsid w:val="00DB4991"/>
    <w:rsid w:val="00DB4E9D"/>
    <w:rsid w:val="00DB64D9"/>
    <w:rsid w:val="00DB6A9B"/>
    <w:rsid w:val="00DB73E9"/>
    <w:rsid w:val="00DB7505"/>
    <w:rsid w:val="00DB7B5C"/>
    <w:rsid w:val="00DC094E"/>
    <w:rsid w:val="00DC0D58"/>
    <w:rsid w:val="00DC166F"/>
    <w:rsid w:val="00DC1A45"/>
    <w:rsid w:val="00DC21B6"/>
    <w:rsid w:val="00DC3969"/>
    <w:rsid w:val="00DC39DD"/>
    <w:rsid w:val="00DC3D40"/>
    <w:rsid w:val="00DC3F6F"/>
    <w:rsid w:val="00DC5349"/>
    <w:rsid w:val="00DC6923"/>
    <w:rsid w:val="00DC6BDB"/>
    <w:rsid w:val="00DC7056"/>
    <w:rsid w:val="00DC7220"/>
    <w:rsid w:val="00DC748F"/>
    <w:rsid w:val="00DC7A44"/>
    <w:rsid w:val="00DC7FBB"/>
    <w:rsid w:val="00DD08A9"/>
    <w:rsid w:val="00DD0FDA"/>
    <w:rsid w:val="00DD12C0"/>
    <w:rsid w:val="00DD1999"/>
    <w:rsid w:val="00DD1A09"/>
    <w:rsid w:val="00DD3181"/>
    <w:rsid w:val="00DD3224"/>
    <w:rsid w:val="00DD464A"/>
    <w:rsid w:val="00DD475C"/>
    <w:rsid w:val="00DD5924"/>
    <w:rsid w:val="00DD6513"/>
    <w:rsid w:val="00DE0237"/>
    <w:rsid w:val="00DE3695"/>
    <w:rsid w:val="00DE4AA5"/>
    <w:rsid w:val="00DE63F2"/>
    <w:rsid w:val="00DE6592"/>
    <w:rsid w:val="00DE6603"/>
    <w:rsid w:val="00DE7572"/>
    <w:rsid w:val="00DF1354"/>
    <w:rsid w:val="00DF177E"/>
    <w:rsid w:val="00DF317C"/>
    <w:rsid w:val="00DF34BC"/>
    <w:rsid w:val="00DF3CC9"/>
    <w:rsid w:val="00DF42C4"/>
    <w:rsid w:val="00DF4685"/>
    <w:rsid w:val="00DF4E60"/>
    <w:rsid w:val="00DF4F6A"/>
    <w:rsid w:val="00DF55E8"/>
    <w:rsid w:val="00DF66AC"/>
    <w:rsid w:val="00DF69D5"/>
    <w:rsid w:val="00E005B9"/>
    <w:rsid w:val="00E00A5D"/>
    <w:rsid w:val="00E01369"/>
    <w:rsid w:val="00E01876"/>
    <w:rsid w:val="00E018FC"/>
    <w:rsid w:val="00E02243"/>
    <w:rsid w:val="00E02AF9"/>
    <w:rsid w:val="00E02E12"/>
    <w:rsid w:val="00E040AF"/>
    <w:rsid w:val="00E04697"/>
    <w:rsid w:val="00E04862"/>
    <w:rsid w:val="00E06AF1"/>
    <w:rsid w:val="00E10E36"/>
    <w:rsid w:val="00E10E3E"/>
    <w:rsid w:val="00E10EC6"/>
    <w:rsid w:val="00E11395"/>
    <w:rsid w:val="00E11BA0"/>
    <w:rsid w:val="00E11DDC"/>
    <w:rsid w:val="00E1273A"/>
    <w:rsid w:val="00E139C6"/>
    <w:rsid w:val="00E13D48"/>
    <w:rsid w:val="00E13EDA"/>
    <w:rsid w:val="00E1402E"/>
    <w:rsid w:val="00E15A4C"/>
    <w:rsid w:val="00E15DEA"/>
    <w:rsid w:val="00E15DF7"/>
    <w:rsid w:val="00E15F72"/>
    <w:rsid w:val="00E161DB"/>
    <w:rsid w:val="00E16263"/>
    <w:rsid w:val="00E16E03"/>
    <w:rsid w:val="00E17943"/>
    <w:rsid w:val="00E179E8"/>
    <w:rsid w:val="00E17AB3"/>
    <w:rsid w:val="00E21560"/>
    <w:rsid w:val="00E22CAF"/>
    <w:rsid w:val="00E22ED2"/>
    <w:rsid w:val="00E23377"/>
    <w:rsid w:val="00E26392"/>
    <w:rsid w:val="00E27F93"/>
    <w:rsid w:val="00E301FB"/>
    <w:rsid w:val="00E30FE5"/>
    <w:rsid w:val="00E315F2"/>
    <w:rsid w:val="00E31817"/>
    <w:rsid w:val="00E32217"/>
    <w:rsid w:val="00E32FF6"/>
    <w:rsid w:val="00E332F6"/>
    <w:rsid w:val="00E333BA"/>
    <w:rsid w:val="00E33BB6"/>
    <w:rsid w:val="00E33C74"/>
    <w:rsid w:val="00E33D71"/>
    <w:rsid w:val="00E35CA3"/>
    <w:rsid w:val="00E35CEA"/>
    <w:rsid w:val="00E369D0"/>
    <w:rsid w:val="00E37350"/>
    <w:rsid w:val="00E373BA"/>
    <w:rsid w:val="00E37CCB"/>
    <w:rsid w:val="00E37EA0"/>
    <w:rsid w:val="00E40496"/>
    <w:rsid w:val="00E4099E"/>
    <w:rsid w:val="00E4251B"/>
    <w:rsid w:val="00E43229"/>
    <w:rsid w:val="00E435E2"/>
    <w:rsid w:val="00E43BC5"/>
    <w:rsid w:val="00E44AED"/>
    <w:rsid w:val="00E45015"/>
    <w:rsid w:val="00E45681"/>
    <w:rsid w:val="00E45728"/>
    <w:rsid w:val="00E45A28"/>
    <w:rsid w:val="00E45CB0"/>
    <w:rsid w:val="00E4647A"/>
    <w:rsid w:val="00E46C62"/>
    <w:rsid w:val="00E50951"/>
    <w:rsid w:val="00E50C70"/>
    <w:rsid w:val="00E50DD3"/>
    <w:rsid w:val="00E51090"/>
    <w:rsid w:val="00E5195B"/>
    <w:rsid w:val="00E5283E"/>
    <w:rsid w:val="00E52D9B"/>
    <w:rsid w:val="00E5375A"/>
    <w:rsid w:val="00E539BC"/>
    <w:rsid w:val="00E53B2D"/>
    <w:rsid w:val="00E53BD4"/>
    <w:rsid w:val="00E54AA5"/>
    <w:rsid w:val="00E555F2"/>
    <w:rsid w:val="00E5716E"/>
    <w:rsid w:val="00E57453"/>
    <w:rsid w:val="00E576FA"/>
    <w:rsid w:val="00E577FB"/>
    <w:rsid w:val="00E60118"/>
    <w:rsid w:val="00E613B1"/>
    <w:rsid w:val="00E618C7"/>
    <w:rsid w:val="00E61BC4"/>
    <w:rsid w:val="00E621A1"/>
    <w:rsid w:val="00E63397"/>
    <w:rsid w:val="00E63498"/>
    <w:rsid w:val="00E6490E"/>
    <w:rsid w:val="00E679A9"/>
    <w:rsid w:val="00E67CD5"/>
    <w:rsid w:val="00E67E13"/>
    <w:rsid w:val="00E70E05"/>
    <w:rsid w:val="00E70EAF"/>
    <w:rsid w:val="00E71452"/>
    <w:rsid w:val="00E714EF"/>
    <w:rsid w:val="00E7174A"/>
    <w:rsid w:val="00E71883"/>
    <w:rsid w:val="00E71C68"/>
    <w:rsid w:val="00E71EF3"/>
    <w:rsid w:val="00E72AA7"/>
    <w:rsid w:val="00E73190"/>
    <w:rsid w:val="00E73E42"/>
    <w:rsid w:val="00E742CC"/>
    <w:rsid w:val="00E74C81"/>
    <w:rsid w:val="00E75095"/>
    <w:rsid w:val="00E7536F"/>
    <w:rsid w:val="00E754F0"/>
    <w:rsid w:val="00E76002"/>
    <w:rsid w:val="00E761E0"/>
    <w:rsid w:val="00E7682D"/>
    <w:rsid w:val="00E76AB0"/>
    <w:rsid w:val="00E77A11"/>
    <w:rsid w:val="00E77B13"/>
    <w:rsid w:val="00E80533"/>
    <w:rsid w:val="00E8084F"/>
    <w:rsid w:val="00E81310"/>
    <w:rsid w:val="00E816B6"/>
    <w:rsid w:val="00E818A0"/>
    <w:rsid w:val="00E818D0"/>
    <w:rsid w:val="00E83685"/>
    <w:rsid w:val="00E83C03"/>
    <w:rsid w:val="00E85093"/>
    <w:rsid w:val="00E85382"/>
    <w:rsid w:val="00E86411"/>
    <w:rsid w:val="00E87454"/>
    <w:rsid w:val="00E874DB"/>
    <w:rsid w:val="00E90B72"/>
    <w:rsid w:val="00E9108B"/>
    <w:rsid w:val="00E92912"/>
    <w:rsid w:val="00E92F60"/>
    <w:rsid w:val="00E930D0"/>
    <w:rsid w:val="00E9441D"/>
    <w:rsid w:val="00E96292"/>
    <w:rsid w:val="00E96399"/>
    <w:rsid w:val="00E96BE7"/>
    <w:rsid w:val="00E97F42"/>
    <w:rsid w:val="00EA15F9"/>
    <w:rsid w:val="00EA164F"/>
    <w:rsid w:val="00EA1923"/>
    <w:rsid w:val="00EA334B"/>
    <w:rsid w:val="00EA33B3"/>
    <w:rsid w:val="00EA3858"/>
    <w:rsid w:val="00EA3872"/>
    <w:rsid w:val="00EA4FE4"/>
    <w:rsid w:val="00EA60A2"/>
    <w:rsid w:val="00EA7501"/>
    <w:rsid w:val="00EA7944"/>
    <w:rsid w:val="00EB0029"/>
    <w:rsid w:val="00EB0074"/>
    <w:rsid w:val="00EB0351"/>
    <w:rsid w:val="00EB0FF9"/>
    <w:rsid w:val="00EB10D0"/>
    <w:rsid w:val="00EB1A06"/>
    <w:rsid w:val="00EB22F6"/>
    <w:rsid w:val="00EB258C"/>
    <w:rsid w:val="00EB25E7"/>
    <w:rsid w:val="00EB2751"/>
    <w:rsid w:val="00EB35D6"/>
    <w:rsid w:val="00EB3800"/>
    <w:rsid w:val="00EB47C5"/>
    <w:rsid w:val="00EB5922"/>
    <w:rsid w:val="00EB5D8B"/>
    <w:rsid w:val="00EB675B"/>
    <w:rsid w:val="00EB7A4A"/>
    <w:rsid w:val="00EC046F"/>
    <w:rsid w:val="00EC07EA"/>
    <w:rsid w:val="00EC1259"/>
    <w:rsid w:val="00EC2305"/>
    <w:rsid w:val="00EC2992"/>
    <w:rsid w:val="00EC34C6"/>
    <w:rsid w:val="00EC4B57"/>
    <w:rsid w:val="00EC561A"/>
    <w:rsid w:val="00EC5777"/>
    <w:rsid w:val="00EC6953"/>
    <w:rsid w:val="00ED11A3"/>
    <w:rsid w:val="00ED23CD"/>
    <w:rsid w:val="00ED3A41"/>
    <w:rsid w:val="00ED4484"/>
    <w:rsid w:val="00ED49D4"/>
    <w:rsid w:val="00ED4AC4"/>
    <w:rsid w:val="00ED7869"/>
    <w:rsid w:val="00EE0281"/>
    <w:rsid w:val="00EE0CAE"/>
    <w:rsid w:val="00EE0D89"/>
    <w:rsid w:val="00EE2018"/>
    <w:rsid w:val="00EE3383"/>
    <w:rsid w:val="00EE36A3"/>
    <w:rsid w:val="00EE3774"/>
    <w:rsid w:val="00EE396F"/>
    <w:rsid w:val="00EE3B12"/>
    <w:rsid w:val="00EE4428"/>
    <w:rsid w:val="00EE5179"/>
    <w:rsid w:val="00EE786C"/>
    <w:rsid w:val="00EE78A2"/>
    <w:rsid w:val="00EF13FD"/>
    <w:rsid w:val="00EF1734"/>
    <w:rsid w:val="00EF1905"/>
    <w:rsid w:val="00EF1F61"/>
    <w:rsid w:val="00EF2FE9"/>
    <w:rsid w:val="00EF3010"/>
    <w:rsid w:val="00EF320A"/>
    <w:rsid w:val="00EF33AF"/>
    <w:rsid w:val="00EF372C"/>
    <w:rsid w:val="00EF5626"/>
    <w:rsid w:val="00EF5CD2"/>
    <w:rsid w:val="00EF5E49"/>
    <w:rsid w:val="00EF5EAC"/>
    <w:rsid w:val="00EF66C8"/>
    <w:rsid w:val="00F0066B"/>
    <w:rsid w:val="00F01E83"/>
    <w:rsid w:val="00F028CD"/>
    <w:rsid w:val="00F02E3C"/>
    <w:rsid w:val="00F0746D"/>
    <w:rsid w:val="00F07EED"/>
    <w:rsid w:val="00F10023"/>
    <w:rsid w:val="00F10FBA"/>
    <w:rsid w:val="00F11652"/>
    <w:rsid w:val="00F11F0B"/>
    <w:rsid w:val="00F12445"/>
    <w:rsid w:val="00F15594"/>
    <w:rsid w:val="00F174DE"/>
    <w:rsid w:val="00F178A3"/>
    <w:rsid w:val="00F17D8B"/>
    <w:rsid w:val="00F206C1"/>
    <w:rsid w:val="00F213EB"/>
    <w:rsid w:val="00F218E7"/>
    <w:rsid w:val="00F2209B"/>
    <w:rsid w:val="00F22C38"/>
    <w:rsid w:val="00F242B4"/>
    <w:rsid w:val="00F24F14"/>
    <w:rsid w:val="00F2511D"/>
    <w:rsid w:val="00F253A5"/>
    <w:rsid w:val="00F26502"/>
    <w:rsid w:val="00F26805"/>
    <w:rsid w:val="00F26B7F"/>
    <w:rsid w:val="00F27328"/>
    <w:rsid w:val="00F310D3"/>
    <w:rsid w:val="00F31CDB"/>
    <w:rsid w:val="00F31D32"/>
    <w:rsid w:val="00F329BA"/>
    <w:rsid w:val="00F330EF"/>
    <w:rsid w:val="00F3426A"/>
    <w:rsid w:val="00F3432F"/>
    <w:rsid w:val="00F34413"/>
    <w:rsid w:val="00F34DC8"/>
    <w:rsid w:val="00F35CD2"/>
    <w:rsid w:val="00F37AB8"/>
    <w:rsid w:val="00F40469"/>
    <w:rsid w:val="00F405BC"/>
    <w:rsid w:val="00F408FD"/>
    <w:rsid w:val="00F41B09"/>
    <w:rsid w:val="00F42CF6"/>
    <w:rsid w:val="00F43482"/>
    <w:rsid w:val="00F436AF"/>
    <w:rsid w:val="00F43CB9"/>
    <w:rsid w:val="00F44088"/>
    <w:rsid w:val="00F44C63"/>
    <w:rsid w:val="00F45037"/>
    <w:rsid w:val="00F45260"/>
    <w:rsid w:val="00F452B0"/>
    <w:rsid w:val="00F46D46"/>
    <w:rsid w:val="00F472E7"/>
    <w:rsid w:val="00F478D7"/>
    <w:rsid w:val="00F47BE8"/>
    <w:rsid w:val="00F47C78"/>
    <w:rsid w:val="00F50A26"/>
    <w:rsid w:val="00F52EFD"/>
    <w:rsid w:val="00F53063"/>
    <w:rsid w:val="00F5337F"/>
    <w:rsid w:val="00F54548"/>
    <w:rsid w:val="00F54F75"/>
    <w:rsid w:val="00F55960"/>
    <w:rsid w:val="00F55E3C"/>
    <w:rsid w:val="00F56E16"/>
    <w:rsid w:val="00F6011D"/>
    <w:rsid w:val="00F60BA2"/>
    <w:rsid w:val="00F617E2"/>
    <w:rsid w:val="00F62107"/>
    <w:rsid w:val="00F6299D"/>
    <w:rsid w:val="00F636B0"/>
    <w:rsid w:val="00F6377A"/>
    <w:rsid w:val="00F642F6"/>
    <w:rsid w:val="00F64942"/>
    <w:rsid w:val="00F64A62"/>
    <w:rsid w:val="00F64EA3"/>
    <w:rsid w:val="00F66DE2"/>
    <w:rsid w:val="00F66FEC"/>
    <w:rsid w:val="00F67031"/>
    <w:rsid w:val="00F67940"/>
    <w:rsid w:val="00F705E6"/>
    <w:rsid w:val="00F70FAB"/>
    <w:rsid w:val="00F72092"/>
    <w:rsid w:val="00F726DB"/>
    <w:rsid w:val="00F7285A"/>
    <w:rsid w:val="00F72891"/>
    <w:rsid w:val="00F72948"/>
    <w:rsid w:val="00F72977"/>
    <w:rsid w:val="00F7332E"/>
    <w:rsid w:val="00F737E7"/>
    <w:rsid w:val="00F73C37"/>
    <w:rsid w:val="00F7446C"/>
    <w:rsid w:val="00F749BF"/>
    <w:rsid w:val="00F76676"/>
    <w:rsid w:val="00F7690A"/>
    <w:rsid w:val="00F76E0D"/>
    <w:rsid w:val="00F77B1B"/>
    <w:rsid w:val="00F80102"/>
    <w:rsid w:val="00F80B0F"/>
    <w:rsid w:val="00F81353"/>
    <w:rsid w:val="00F822C5"/>
    <w:rsid w:val="00F82491"/>
    <w:rsid w:val="00F82656"/>
    <w:rsid w:val="00F826D6"/>
    <w:rsid w:val="00F82C84"/>
    <w:rsid w:val="00F82F7A"/>
    <w:rsid w:val="00F83660"/>
    <w:rsid w:val="00F836B0"/>
    <w:rsid w:val="00F8486D"/>
    <w:rsid w:val="00F848D0"/>
    <w:rsid w:val="00F84951"/>
    <w:rsid w:val="00F85AF2"/>
    <w:rsid w:val="00F86BDD"/>
    <w:rsid w:val="00F87D24"/>
    <w:rsid w:val="00F9107F"/>
    <w:rsid w:val="00F91C0D"/>
    <w:rsid w:val="00F92070"/>
    <w:rsid w:val="00F920D6"/>
    <w:rsid w:val="00F929A8"/>
    <w:rsid w:val="00F935B6"/>
    <w:rsid w:val="00F93C85"/>
    <w:rsid w:val="00F96A3E"/>
    <w:rsid w:val="00F97091"/>
    <w:rsid w:val="00FA006D"/>
    <w:rsid w:val="00FA07A6"/>
    <w:rsid w:val="00FA12A9"/>
    <w:rsid w:val="00FA1BB8"/>
    <w:rsid w:val="00FA23B0"/>
    <w:rsid w:val="00FA2EE8"/>
    <w:rsid w:val="00FA35BB"/>
    <w:rsid w:val="00FA4038"/>
    <w:rsid w:val="00FA40BB"/>
    <w:rsid w:val="00FA5016"/>
    <w:rsid w:val="00FA5F65"/>
    <w:rsid w:val="00FA62C4"/>
    <w:rsid w:val="00FA6919"/>
    <w:rsid w:val="00FB0A36"/>
    <w:rsid w:val="00FB110D"/>
    <w:rsid w:val="00FB13B2"/>
    <w:rsid w:val="00FB156A"/>
    <w:rsid w:val="00FB1804"/>
    <w:rsid w:val="00FB296A"/>
    <w:rsid w:val="00FB3599"/>
    <w:rsid w:val="00FB397E"/>
    <w:rsid w:val="00FB3C09"/>
    <w:rsid w:val="00FB3D00"/>
    <w:rsid w:val="00FB5328"/>
    <w:rsid w:val="00FB7CD4"/>
    <w:rsid w:val="00FB7E41"/>
    <w:rsid w:val="00FB7F32"/>
    <w:rsid w:val="00FC109D"/>
    <w:rsid w:val="00FC15FE"/>
    <w:rsid w:val="00FC1D7B"/>
    <w:rsid w:val="00FC1F57"/>
    <w:rsid w:val="00FC27AC"/>
    <w:rsid w:val="00FC466E"/>
    <w:rsid w:val="00FC4D8F"/>
    <w:rsid w:val="00FC4F92"/>
    <w:rsid w:val="00FC5629"/>
    <w:rsid w:val="00FC6E24"/>
    <w:rsid w:val="00FC6FEC"/>
    <w:rsid w:val="00FC787F"/>
    <w:rsid w:val="00FD076B"/>
    <w:rsid w:val="00FD133D"/>
    <w:rsid w:val="00FD1C30"/>
    <w:rsid w:val="00FD1EE3"/>
    <w:rsid w:val="00FD2DB4"/>
    <w:rsid w:val="00FD2E22"/>
    <w:rsid w:val="00FD3AC0"/>
    <w:rsid w:val="00FD3D00"/>
    <w:rsid w:val="00FD3F42"/>
    <w:rsid w:val="00FD3F75"/>
    <w:rsid w:val="00FD3FA7"/>
    <w:rsid w:val="00FD3FA9"/>
    <w:rsid w:val="00FD5845"/>
    <w:rsid w:val="00FD5EEA"/>
    <w:rsid w:val="00FD7AAC"/>
    <w:rsid w:val="00FE1053"/>
    <w:rsid w:val="00FE115E"/>
    <w:rsid w:val="00FE1703"/>
    <w:rsid w:val="00FE1FC5"/>
    <w:rsid w:val="00FE1FE4"/>
    <w:rsid w:val="00FE27DE"/>
    <w:rsid w:val="00FE2C6F"/>
    <w:rsid w:val="00FE38BB"/>
    <w:rsid w:val="00FE5BE0"/>
    <w:rsid w:val="00FE5EFE"/>
    <w:rsid w:val="00FE6F07"/>
    <w:rsid w:val="00FE6F57"/>
    <w:rsid w:val="00FE7458"/>
    <w:rsid w:val="00FE7970"/>
    <w:rsid w:val="00FE7A50"/>
    <w:rsid w:val="00FF04A3"/>
    <w:rsid w:val="00FF0AC4"/>
    <w:rsid w:val="00FF0B1E"/>
    <w:rsid w:val="00FF18B6"/>
    <w:rsid w:val="00FF2052"/>
    <w:rsid w:val="00FF3160"/>
    <w:rsid w:val="00FF3B3B"/>
    <w:rsid w:val="00FF3B51"/>
    <w:rsid w:val="00FF3D53"/>
    <w:rsid w:val="00FF4453"/>
    <w:rsid w:val="00FF47F8"/>
    <w:rsid w:val="00FF5822"/>
    <w:rsid w:val="00FF5C4B"/>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1"/>
    </o:shapelayout>
  </w:shapeDefaults>
  <w:decimalSymbol w:val="."/>
  <w:listSeparator w:val=","/>
  <w14:docId w14:val="30822D91"/>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7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iPriority w:val="99"/>
    <w:unhideWhenUsed/>
    <w:rsid w:val="00867A99"/>
    <w:pPr>
      <w:tabs>
        <w:tab w:val="center" w:pos="4419"/>
        <w:tab w:val="right" w:pos="8838"/>
      </w:tabs>
      <w:spacing w:after="0" w:line="240" w:lineRule="auto"/>
    </w:pPr>
  </w:style>
  <w:style w:type="character" w:customStyle="1" w:styleId="EncabezadoCar">
    <w:name w:val="Encabezado Car"/>
    <w:link w:val="Encabezado"/>
    <w:uiPriority w:val="99"/>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uiPriority w:val="99"/>
    <w:rsid w:val="007C78F4"/>
    <w:pPr>
      <w:spacing w:after="120" w:line="276" w:lineRule="auto"/>
    </w:pPr>
  </w:style>
  <w:style w:type="character" w:customStyle="1" w:styleId="TextoindependienteCar">
    <w:name w:val="Texto independiente Car"/>
    <w:link w:val="Textoindependiente"/>
    <w:uiPriority w:val="99"/>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5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Footnote symbol,Appel note de bas de p,Footnote Reference/,Style 12,(NECG) Footnote Reference,Style 124,o,fr,Style 13,FR,Style 17,Style 3,Appel note de bas de p + 11 pt,Italic,Footnote,Appel note de bas de p1"/>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uiPriority w:val="99"/>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uiPriority w:val="99"/>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3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character" w:styleId="Hipervnculovisitado">
    <w:name w:val="FollowedHyperlink"/>
    <w:basedOn w:val="Fuentedeprrafopredeter"/>
    <w:uiPriority w:val="99"/>
    <w:semiHidden/>
    <w:unhideWhenUsed/>
    <w:rsid w:val="00D02E02"/>
    <w:rPr>
      <w:color w:val="954F72" w:themeColor="followedHyperlink"/>
      <w:u w:val="single"/>
    </w:rPr>
  </w:style>
  <w:style w:type="paragraph" w:styleId="Textosinformato">
    <w:name w:val="Plain Text"/>
    <w:basedOn w:val="Normal"/>
    <w:link w:val="TextosinformatoCar"/>
    <w:uiPriority w:val="99"/>
    <w:semiHidden/>
    <w:unhideWhenUsed/>
    <w:rsid w:val="00D02E0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D02E02"/>
    <w:rPr>
      <w:rFonts w:ascii="Courier New" w:eastAsia="Times New Roman" w:hAnsi="Courier New" w:cs="Courier New"/>
      <w:lang w:val="es-ES" w:eastAsia="es-ES"/>
    </w:rPr>
  </w:style>
  <w:style w:type="paragraph" w:customStyle="1" w:styleId="bodytext">
    <w:name w:val="bodytext"/>
    <w:basedOn w:val="Normal"/>
    <w:uiPriority w:val="99"/>
    <w:semiHidden/>
    <w:rsid w:val="00D02E02"/>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
    <w:name w:val="Grid Table 4"/>
    <w:basedOn w:val="Tablanormal"/>
    <w:uiPriority w:val="49"/>
    <w:rsid w:val="00D02E02"/>
    <w:rPr>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4">
    <w:name w:val="List Table 4"/>
    <w:basedOn w:val="Tablanormal"/>
    <w:uiPriority w:val="49"/>
    <w:rsid w:val="00D02E02"/>
    <w:rPr>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
    <w:name w:val="Tabla con cuadrícula3"/>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39"/>
    <w:rsid w:val="00D02E0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D02E0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70D49"/>
    <w:pPr>
      <w:spacing w:before="100" w:beforeAutospacing="1" w:after="100" w:afterAutospacing="1" w:line="240" w:lineRule="auto"/>
    </w:pPr>
    <w:rPr>
      <w:rFonts w:ascii="ITC Avant Garde" w:eastAsia="Times New Roman" w:hAnsi="ITC Avant Garde"/>
      <w:color w:val="000000"/>
      <w:sz w:val="16"/>
      <w:szCs w:val="16"/>
      <w:lang w:eastAsia="es-MX"/>
    </w:rPr>
  </w:style>
  <w:style w:type="paragraph" w:customStyle="1" w:styleId="font6">
    <w:name w:val="font6"/>
    <w:basedOn w:val="Normal"/>
    <w:rsid w:val="00270D49"/>
    <w:pPr>
      <w:spacing w:before="100" w:beforeAutospacing="1" w:after="100" w:afterAutospacing="1" w:line="240" w:lineRule="auto"/>
    </w:pPr>
    <w:rPr>
      <w:rFonts w:ascii="ITC Avant Garde" w:eastAsia="Times New Roman" w:hAnsi="ITC Avant Garde"/>
      <w:color w:val="000000"/>
      <w:sz w:val="16"/>
      <w:szCs w:val="16"/>
      <w:lang w:eastAsia="es-MX"/>
    </w:rPr>
  </w:style>
  <w:style w:type="paragraph" w:customStyle="1" w:styleId="xl63">
    <w:name w:val="xl63"/>
    <w:basedOn w:val="Normal"/>
    <w:rsid w:val="00270D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4">
    <w:name w:val="xl64"/>
    <w:basedOn w:val="Normal"/>
    <w:rsid w:val="00270D49"/>
    <w:pPr>
      <w:pBdr>
        <w:top w:val="single" w:sz="8" w:space="0" w:color="FFFFFF"/>
        <w:left w:val="single" w:sz="8" w:space="0" w:color="FFFFFF"/>
        <w:bottom w:val="single" w:sz="8" w:space="0" w:color="FFFFFF"/>
        <w:right w:val="single" w:sz="8" w:space="0" w:color="FFFFFF"/>
      </w:pBdr>
      <w:shd w:val="clear" w:color="000000" w:fill="000000"/>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5">
    <w:name w:val="xl65"/>
    <w:basedOn w:val="Normal"/>
    <w:rsid w:val="00270D49"/>
    <w:pPr>
      <w:pBdr>
        <w:top w:val="single" w:sz="8" w:space="0" w:color="FFFFFF"/>
        <w:bottom w:val="single" w:sz="8" w:space="0" w:color="FFFFFF"/>
        <w:right w:val="single" w:sz="8" w:space="0" w:color="FFFFFF"/>
      </w:pBdr>
      <w:shd w:val="clear" w:color="000000" w:fill="000000"/>
      <w:spacing w:before="100" w:beforeAutospacing="1" w:after="100" w:afterAutospacing="1" w:line="240" w:lineRule="auto"/>
      <w:jc w:val="center"/>
      <w:textAlignment w:val="center"/>
    </w:pPr>
    <w:rPr>
      <w:rFonts w:ascii="ITC Avant Garde" w:eastAsia="Times New Roman" w:hAnsi="ITC Avant Garde"/>
      <w:b/>
      <w:bCs/>
      <w:color w:val="FFFFFF"/>
      <w:sz w:val="16"/>
      <w:szCs w:val="16"/>
      <w:lang w:eastAsia="es-MX"/>
    </w:rPr>
  </w:style>
  <w:style w:type="paragraph" w:customStyle="1" w:styleId="xl66">
    <w:name w:val="xl66"/>
    <w:basedOn w:val="Normal"/>
    <w:rsid w:val="00270D49"/>
    <w:pPr>
      <w:pBdr>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7">
    <w:name w:val="xl67"/>
    <w:basedOn w:val="Normal"/>
    <w:rsid w:val="00270D49"/>
    <w:pPr>
      <w:pBdr>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68">
    <w:name w:val="xl68"/>
    <w:basedOn w:val="Normal"/>
    <w:rsid w:val="00270D49"/>
    <w:pPr>
      <w:pBdr>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9">
    <w:name w:val="xl69"/>
    <w:basedOn w:val="Normal"/>
    <w:rsid w:val="00270D49"/>
    <w:pPr>
      <w:pBdr>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0">
    <w:name w:val="xl70"/>
    <w:basedOn w:val="Normal"/>
    <w:rsid w:val="00270D49"/>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1">
    <w:name w:val="xl71"/>
    <w:basedOn w:val="Normal"/>
    <w:rsid w:val="00270D49"/>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2">
    <w:name w:val="xl72"/>
    <w:basedOn w:val="Normal"/>
    <w:rsid w:val="00270D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3">
    <w:name w:val="xl73"/>
    <w:basedOn w:val="Normal"/>
    <w:rsid w:val="00270D4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4">
    <w:name w:val="xl74"/>
    <w:basedOn w:val="Normal"/>
    <w:rsid w:val="00270D49"/>
    <w:pPr>
      <w:pBdr>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5">
    <w:name w:val="xl75"/>
    <w:basedOn w:val="Normal"/>
    <w:rsid w:val="00270D4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6">
    <w:name w:val="xl76"/>
    <w:basedOn w:val="Normal"/>
    <w:rsid w:val="00270D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7">
    <w:name w:val="xl77"/>
    <w:basedOn w:val="Normal"/>
    <w:rsid w:val="00270D49"/>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8">
    <w:name w:val="xl78"/>
    <w:basedOn w:val="Normal"/>
    <w:rsid w:val="00270D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9">
    <w:name w:val="xl79"/>
    <w:basedOn w:val="Normal"/>
    <w:rsid w:val="00270D4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0">
    <w:name w:val="xl80"/>
    <w:basedOn w:val="Normal"/>
    <w:rsid w:val="00270D49"/>
    <w:pPr>
      <w:spacing w:before="100" w:beforeAutospacing="1" w:after="100" w:afterAutospacing="1" w:line="240" w:lineRule="auto"/>
      <w:jc w:val="center"/>
    </w:pPr>
    <w:rPr>
      <w:rFonts w:ascii="Times New Roman" w:eastAsia="Times New Roman" w:hAnsi="Times New Roman"/>
      <w:sz w:val="24"/>
      <w:szCs w:val="24"/>
      <w:lang w:eastAsia="es-MX"/>
    </w:rPr>
  </w:style>
  <w:style w:type="paragraph" w:styleId="Textonotaalfinal">
    <w:name w:val="endnote text"/>
    <w:basedOn w:val="Normal"/>
    <w:link w:val="TextonotaalfinalCar"/>
    <w:uiPriority w:val="99"/>
    <w:semiHidden/>
    <w:unhideWhenUsed/>
    <w:rsid w:val="00941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1ACF"/>
    <w:rPr>
      <w:lang w:eastAsia="en-US"/>
    </w:rPr>
  </w:style>
  <w:style w:type="character" w:styleId="Refdenotaalfinal">
    <w:name w:val="endnote reference"/>
    <w:basedOn w:val="Fuentedeprrafopredeter"/>
    <w:uiPriority w:val="99"/>
    <w:semiHidden/>
    <w:unhideWhenUsed/>
    <w:rsid w:val="00941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19476527">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57098102">
      <w:bodyDiv w:val="1"/>
      <w:marLeft w:val="0"/>
      <w:marRight w:val="0"/>
      <w:marTop w:val="0"/>
      <w:marBottom w:val="0"/>
      <w:divBdr>
        <w:top w:val="none" w:sz="0" w:space="0" w:color="auto"/>
        <w:left w:val="none" w:sz="0" w:space="0" w:color="auto"/>
        <w:bottom w:val="none" w:sz="0" w:space="0" w:color="auto"/>
        <w:right w:val="none" w:sz="0" w:space="0" w:color="auto"/>
      </w:divBdr>
    </w:div>
    <w:div w:id="63382359">
      <w:bodyDiv w:val="1"/>
      <w:marLeft w:val="0"/>
      <w:marRight w:val="0"/>
      <w:marTop w:val="0"/>
      <w:marBottom w:val="0"/>
      <w:divBdr>
        <w:top w:val="none" w:sz="0" w:space="0" w:color="auto"/>
        <w:left w:val="none" w:sz="0" w:space="0" w:color="auto"/>
        <w:bottom w:val="none" w:sz="0" w:space="0" w:color="auto"/>
        <w:right w:val="none" w:sz="0" w:space="0" w:color="auto"/>
      </w:divBdr>
    </w:div>
    <w:div w:id="87968089">
      <w:bodyDiv w:val="1"/>
      <w:marLeft w:val="0"/>
      <w:marRight w:val="0"/>
      <w:marTop w:val="0"/>
      <w:marBottom w:val="0"/>
      <w:divBdr>
        <w:top w:val="none" w:sz="0" w:space="0" w:color="auto"/>
        <w:left w:val="none" w:sz="0" w:space="0" w:color="auto"/>
        <w:bottom w:val="none" w:sz="0" w:space="0" w:color="auto"/>
        <w:right w:val="none" w:sz="0" w:space="0" w:color="auto"/>
      </w:divBdr>
    </w:div>
    <w:div w:id="100347586">
      <w:bodyDiv w:val="1"/>
      <w:marLeft w:val="0"/>
      <w:marRight w:val="0"/>
      <w:marTop w:val="0"/>
      <w:marBottom w:val="0"/>
      <w:divBdr>
        <w:top w:val="none" w:sz="0" w:space="0" w:color="auto"/>
        <w:left w:val="none" w:sz="0" w:space="0" w:color="auto"/>
        <w:bottom w:val="none" w:sz="0" w:space="0" w:color="auto"/>
        <w:right w:val="none" w:sz="0" w:space="0" w:color="auto"/>
      </w:divBdr>
    </w:div>
    <w:div w:id="130296281">
      <w:bodyDiv w:val="1"/>
      <w:marLeft w:val="0"/>
      <w:marRight w:val="0"/>
      <w:marTop w:val="0"/>
      <w:marBottom w:val="0"/>
      <w:divBdr>
        <w:top w:val="none" w:sz="0" w:space="0" w:color="auto"/>
        <w:left w:val="none" w:sz="0" w:space="0" w:color="auto"/>
        <w:bottom w:val="none" w:sz="0" w:space="0" w:color="auto"/>
        <w:right w:val="none" w:sz="0" w:space="0" w:color="auto"/>
      </w:divBdr>
    </w:div>
    <w:div w:id="130441186">
      <w:bodyDiv w:val="1"/>
      <w:marLeft w:val="0"/>
      <w:marRight w:val="0"/>
      <w:marTop w:val="0"/>
      <w:marBottom w:val="0"/>
      <w:divBdr>
        <w:top w:val="none" w:sz="0" w:space="0" w:color="auto"/>
        <w:left w:val="none" w:sz="0" w:space="0" w:color="auto"/>
        <w:bottom w:val="none" w:sz="0" w:space="0" w:color="auto"/>
        <w:right w:val="none" w:sz="0" w:space="0" w:color="auto"/>
      </w:divBdr>
    </w:div>
    <w:div w:id="133908530">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46164892">
      <w:bodyDiv w:val="1"/>
      <w:marLeft w:val="0"/>
      <w:marRight w:val="0"/>
      <w:marTop w:val="0"/>
      <w:marBottom w:val="0"/>
      <w:divBdr>
        <w:top w:val="none" w:sz="0" w:space="0" w:color="auto"/>
        <w:left w:val="none" w:sz="0" w:space="0" w:color="auto"/>
        <w:bottom w:val="none" w:sz="0" w:space="0" w:color="auto"/>
        <w:right w:val="none" w:sz="0" w:space="0" w:color="auto"/>
      </w:divBdr>
    </w:div>
    <w:div w:id="158154818">
      <w:bodyDiv w:val="1"/>
      <w:marLeft w:val="0"/>
      <w:marRight w:val="0"/>
      <w:marTop w:val="0"/>
      <w:marBottom w:val="0"/>
      <w:divBdr>
        <w:top w:val="none" w:sz="0" w:space="0" w:color="auto"/>
        <w:left w:val="none" w:sz="0" w:space="0" w:color="auto"/>
        <w:bottom w:val="none" w:sz="0" w:space="0" w:color="auto"/>
        <w:right w:val="none" w:sz="0" w:space="0" w:color="auto"/>
      </w:divBdr>
    </w:div>
    <w:div w:id="173962034">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14052835">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45266994">
      <w:bodyDiv w:val="1"/>
      <w:marLeft w:val="0"/>
      <w:marRight w:val="0"/>
      <w:marTop w:val="0"/>
      <w:marBottom w:val="0"/>
      <w:divBdr>
        <w:top w:val="none" w:sz="0" w:space="0" w:color="auto"/>
        <w:left w:val="none" w:sz="0" w:space="0" w:color="auto"/>
        <w:bottom w:val="none" w:sz="0" w:space="0" w:color="auto"/>
        <w:right w:val="none" w:sz="0" w:space="0" w:color="auto"/>
      </w:divBdr>
    </w:div>
    <w:div w:id="254018576">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307520225">
      <w:bodyDiv w:val="1"/>
      <w:marLeft w:val="0"/>
      <w:marRight w:val="0"/>
      <w:marTop w:val="0"/>
      <w:marBottom w:val="0"/>
      <w:divBdr>
        <w:top w:val="none" w:sz="0" w:space="0" w:color="auto"/>
        <w:left w:val="none" w:sz="0" w:space="0" w:color="auto"/>
        <w:bottom w:val="none" w:sz="0" w:space="0" w:color="auto"/>
        <w:right w:val="none" w:sz="0" w:space="0" w:color="auto"/>
      </w:divBdr>
    </w:div>
    <w:div w:id="312101647">
      <w:bodyDiv w:val="1"/>
      <w:marLeft w:val="0"/>
      <w:marRight w:val="0"/>
      <w:marTop w:val="0"/>
      <w:marBottom w:val="0"/>
      <w:divBdr>
        <w:top w:val="none" w:sz="0" w:space="0" w:color="auto"/>
        <w:left w:val="none" w:sz="0" w:space="0" w:color="auto"/>
        <w:bottom w:val="none" w:sz="0" w:space="0" w:color="auto"/>
        <w:right w:val="none" w:sz="0" w:space="0" w:color="auto"/>
      </w:divBdr>
    </w:div>
    <w:div w:id="325596731">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47097664">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0955148">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429083612">
      <w:bodyDiv w:val="1"/>
      <w:marLeft w:val="0"/>
      <w:marRight w:val="0"/>
      <w:marTop w:val="0"/>
      <w:marBottom w:val="0"/>
      <w:divBdr>
        <w:top w:val="none" w:sz="0" w:space="0" w:color="auto"/>
        <w:left w:val="none" w:sz="0" w:space="0" w:color="auto"/>
        <w:bottom w:val="none" w:sz="0" w:space="0" w:color="auto"/>
        <w:right w:val="none" w:sz="0" w:space="0" w:color="auto"/>
      </w:divBdr>
    </w:div>
    <w:div w:id="436826362">
      <w:bodyDiv w:val="1"/>
      <w:marLeft w:val="0"/>
      <w:marRight w:val="0"/>
      <w:marTop w:val="0"/>
      <w:marBottom w:val="0"/>
      <w:divBdr>
        <w:top w:val="none" w:sz="0" w:space="0" w:color="auto"/>
        <w:left w:val="none" w:sz="0" w:space="0" w:color="auto"/>
        <w:bottom w:val="none" w:sz="0" w:space="0" w:color="auto"/>
        <w:right w:val="none" w:sz="0" w:space="0" w:color="auto"/>
      </w:divBdr>
    </w:div>
    <w:div w:id="437264577">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8355728">
      <w:bodyDiv w:val="1"/>
      <w:marLeft w:val="0"/>
      <w:marRight w:val="0"/>
      <w:marTop w:val="0"/>
      <w:marBottom w:val="0"/>
      <w:divBdr>
        <w:top w:val="none" w:sz="0" w:space="0" w:color="auto"/>
        <w:left w:val="none" w:sz="0" w:space="0" w:color="auto"/>
        <w:bottom w:val="none" w:sz="0" w:space="0" w:color="auto"/>
        <w:right w:val="none" w:sz="0" w:space="0" w:color="auto"/>
      </w:divBdr>
    </w:div>
    <w:div w:id="45344669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11796557">
      <w:bodyDiv w:val="1"/>
      <w:marLeft w:val="0"/>
      <w:marRight w:val="0"/>
      <w:marTop w:val="0"/>
      <w:marBottom w:val="0"/>
      <w:divBdr>
        <w:top w:val="none" w:sz="0" w:space="0" w:color="auto"/>
        <w:left w:val="none" w:sz="0" w:space="0" w:color="auto"/>
        <w:bottom w:val="none" w:sz="0" w:space="0" w:color="auto"/>
        <w:right w:val="none" w:sz="0" w:space="0" w:color="auto"/>
      </w:divBdr>
    </w:div>
    <w:div w:id="512189100">
      <w:bodyDiv w:val="1"/>
      <w:marLeft w:val="0"/>
      <w:marRight w:val="0"/>
      <w:marTop w:val="0"/>
      <w:marBottom w:val="0"/>
      <w:divBdr>
        <w:top w:val="none" w:sz="0" w:space="0" w:color="auto"/>
        <w:left w:val="none" w:sz="0" w:space="0" w:color="auto"/>
        <w:bottom w:val="none" w:sz="0" w:space="0" w:color="auto"/>
        <w:right w:val="none" w:sz="0" w:space="0" w:color="auto"/>
      </w:divBdr>
    </w:div>
    <w:div w:id="516386079">
      <w:bodyDiv w:val="1"/>
      <w:marLeft w:val="0"/>
      <w:marRight w:val="0"/>
      <w:marTop w:val="0"/>
      <w:marBottom w:val="0"/>
      <w:divBdr>
        <w:top w:val="none" w:sz="0" w:space="0" w:color="auto"/>
        <w:left w:val="none" w:sz="0" w:space="0" w:color="auto"/>
        <w:bottom w:val="none" w:sz="0" w:space="0" w:color="auto"/>
        <w:right w:val="none" w:sz="0" w:space="0" w:color="auto"/>
      </w:divBdr>
    </w:div>
    <w:div w:id="516770100">
      <w:bodyDiv w:val="1"/>
      <w:marLeft w:val="0"/>
      <w:marRight w:val="0"/>
      <w:marTop w:val="0"/>
      <w:marBottom w:val="0"/>
      <w:divBdr>
        <w:top w:val="none" w:sz="0" w:space="0" w:color="auto"/>
        <w:left w:val="none" w:sz="0" w:space="0" w:color="auto"/>
        <w:bottom w:val="none" w:sz="0" w:space="0" w:color="auto"/>
        <w:right w:val="none" w:sz="0" w:space="0" w:color="auto"/>
      </w:divBdr>
    </w:div>
    <w:div w:id="527528912">
      <w:bodyDiv w:val="1"/>
      <w:marLeft w:val="0"/>
      <w:marRight w:val="0"/>
      <w:marTop w:val="0"/>
      <w:marBottom w:val="0"/>
      <w:divBdr>
        <w:top w:val="none" w:sz="0" w:space="0" w:color="auto"/>
        <w:left w:val="none" w:sz="0" w:space="0" w:color="auto"/>
        <w:bottom w:val="none" w:sz="0" w:space="0" w:color="auto"/>
        <w:right w:val="none" w:sz="0" w:space="0" w:color="auto"/>
      </w:divBdr>
    </w:div>
    <w:div w:id="536430492">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588465771">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2684653">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74189930">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697198911">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0950151">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69204154">
      <w:bodyDiv w:val="1"/>
      <w:marLeft w:val="0"/>
      <w:marRight w:val="0"/>
      <w:marTop w:val="0"/>
      <w:marBottom w:val="0"/>
      <w:divBdr>
        <w:top w:val="none" w:sz="0" w:space="0" w:color="auto"/>
        <w:left w:val="none" w:sz="0" w:space="0" w:color="auto"/>
        <w:bottom w:val="none" w:sz="0" w:space="0" w:color="auto"/>
        <w:right w:val="none" w:sz="0" w:space="0" w:color="auto"/>
      </w:divBdr>
    </w:div>
    <w:div w:id="777406550">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8303543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859927578">
      <w:bodyDiv w:val="1"/>
      <w:marLeft w:val="0"/>
      <w:marRight w:val="0"/>
      <w:marTop w:val="0"/>
      <w:marBottom w:val="0"/>
      <w:divBdr>
        <w:top w:val="none" w:sz="0" w:space="0" w:color="auto"/>
        <w:left w:val="none" w:sz="0" w:space="0" w:color="auto"/>
        <w:bottom w:val="none" w:sz="0" w:space="0" w:color="auto"/>
        <w:right w:val="none" w:sz="0" w:space="0" w:color="auto"/>
      </w:divBdr>
    </w:div>
    <w:div w:id="861089405">
      <w:bodyDiv w:val="1"/>
      <w:marLeft w:val="0"/>
      <w:marRight w:val="0"/>
      <w:marTop w:val="0"/>
      <w:marBottom w:val="0"/>
      <w:divBdr>
        <w:top w:val="none" w:sz="0" w:space="0" w:color="auto"/>
        <w:left w:val="none" w:sz="0" w:space="0" w:color="auto"/>
        <w:bottom w:val="none" w:sz="0" w:space="0" w:color="auto"/>
        <w:right w:val="none" w:sz="0" w:space="0" w:color="auto"/>
      </w:divBdr>
    </w:div>
    <w:div w:id="881744428">
      <w:bodyDiv w:val="1"/>
      <w:marLeft w:val="0"/>
      <w:marRight w:val="0"/>
      <w:marTop w:val="0"/>
      <w:marBottom w:val="0"/>
      <w:divBdr>
        <w:top w:val="none" w:sz="0" w:space="0" w:color="auto"/>
        <w:left w:val="none" w:sz="0" w:space="0" w:color="auto"/>
        <w:bottom w:val="none" w:sz="0" w:space="0" w:color="auto"/>
        <w:right w:val="none" w:sz="0" w:space="0" w:color="auto"/>
      </w:divBdr>
    </w:div>
    <w:div w:id="892884568">
      <w:bodyDiv w:val="1"/>
      <w:marLeft w:val="0"/>
      <w:marRight w:val="0"/>
      <w:marTop w:val="0"/>
      <w:marBottom w:val="0"/>
      <w:divBdr>
        <w:top w:val="none" w:sz="0" w:space="0" w:color="auto"/>
        <w:left w:val="none" w:sz="0" w:space="0" w:color="auto"/>
        <w:bottom w:val="none" w:sz="0" w:space="0" w:color="auto"/>
        <w:right w:val="none" w:sz="0" w:space="0" w:color="auto"/>
      </w:divBdr>
    </w:div>
    <w:div w:id="908466662">
      <w:bodyDiv w:val="1"/>
      <w:marLeft w:val="0"/>
      <w:marRight w:val="0"/>
      <w:marTop w:val="0"/>
      <w:marBottom w:val="0"/>
      <w:divBdr>
        <w:top w:val="none" w:sz="0" w:space="0" w:color="auto"/>
        <w:left w:val="none" w:sz="0" w:space="0" w:color="auto"/>
        <w:bottom w:val="none" w:sz="0" w:space="0" w:color="auto"/>
        <w:right w:val="none" w:sz="0" w:space="0" w:color="auto"/>
      </w:divBdr>
    </w:div>
    <w:div w:id="916326232">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33243574">
      <w:bodyDiv w:val="1"/>
      <w:marLeft w:val="0"/>
      <w:marRight w:val="0"/>
      <w:marTop w:val="0"/>
      <w:marBottom w:val="0"/>
      <w:divBdr>
        <w:top w:val="none" w:sz="0" w:space="0" w:color="auto"/>
        <w:left w:val="none" w:sz="0" w:space="0" w:color="auto"/>
        <w:bottom w:val="none" w:sz="0" w:space="0" w:color="auto"/>
        <w:right w:val="none" w:sz="0" w:space="0" w:color="auto"/>
      </w:divBdr>
    </w:div>
    <w:div w:id="952711798">
      <w:bodyDiv w:val="1"/>
      <w:marLeft w:val="0"/>
      <w:marRight w:val="0"/>
      <w:marTop w:val="0"/>
      <w:marBottom w:val="0"/>
      <w:divBdr>
        <w:top w:val="none" w:sz="0" w:space="0" w:color="auto"/>
        <w:left w:val="none" w:sz="0" w:space="0" w:color="auto"/>
        <w:bottom w:val="none" w:sz="0" w:space="0" w:color="auto"/>
        <w:right w:val="none" w:sz="0" w:space="0" w:color="auto"/>
      </w:divBdr>
    </w:div>
    <w:div w:id="953055999">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960573294">
      <w:bodyDiv w:val="1"/>
      <w:marLeft w:val="0"/>
      <w:marRight w:val="0"/>
      <w:marTop w:val="0"/>
      <w:marBottom w:val="0"/>
      <w:divBdr>
        <w:top w:val="none" w:sz="0" w:space="0" w:color="auto"/>
        <w:left w:val="none" w:sz="0" w:space="0" w:color="auto"/>
        <w:bottom w:val="none" w:sz="0" w:space="0" w:color="auto"/>
        <w:right w:val="none" w:sz="0" w:space="0" w:color="auto"/>
      </w:divBdr>
    </w:div>
    <w:div w:id="984353268">
      <w:bodyDiv w:val="1"/>
      <w:marLeft w:val="0"/>
      <w:marRight w:val="0"/>
      <w:marTop w:val="0"/>
      <w:marBottom w:val="0"/>
      <w:divBdr>
        <w:top w:val="none" w:sz="0" w:space="0" w:color="auto"/>
        <w:left w:val="none" w:sz="0" w:space="0" w:color="auto"/>
        <w:bottom w:val="none" w:sz="0" w:space="0" w:color="auto"/>
        <w:right w:val="none" w:sz="0" w:space="0" w:color="auto"/>
      </w:divBdr>
    </w:div>
    <w:div w:id="988748844">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04866568">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12338128">
      <w:bodyDiv w:val="1"/>
      <w:marLeft w:val="0"/>
      <w:marRight w:val="0"/>
      <w:marTop w:val="0"/>
      <w:marBottom w:val="0"/>
      <w:divBdr>
        <w:top w:val="none" w:sz="0" w:space="0" w:color="auto"/>
        <w:left w:val="none" w:sz="0" w:space="0" w:color="auto"/>
        <w:bottom w:val="none" w:sz="0" w:space="0" w:color="auto"/>
        <w:right w:val="none" w:sz="0" w:space="0" w:color="auto"/>
      </w:divBdr>
    </w:div>
    <w:div w:id="102236611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82987638">
      <w:bodyDiv w:val="1"/>
      <w:marLeft w:val="0"/>
      <w:marRight w:val="0"/>
      <w:marTop w:val="0"/>
      <w:marBottom w:val="0"/>
      <w:divBdr>
        <w:top w:val="none" w:sz="0" w:space="0" w:color="auto"/>
        <w:left w:val="none" w:sz="0" w:space="0" w:color="auto"/>
        <w:bottom w:val="none" w:sz="0" w:space="0" w:color="auto"/>
        <w:right w:val="none" w:sz="0" w:space="0" w:color="auto"/>
      </w:divBdr>
    </w:div>
    <w:div w:id="1099250449">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12163533">
      <w:bodyDiv w:val="1"/>
      <w:marLeft w:val="0"/>
      <w:marRight w:val="0"/>
      <w:marTop w:val="0"/>
      <w:marBottom w:val="0"/>
      <w:divBdr>
        <w:top w:val="none" w:sz="0" w:space="0" w:color="auto"/>
        <w:left w:val="none" w:sz="0" w:space="0" w:color="auto"/>
        <w:bottom w:val="none" w:sz="0" w:space="0" w:color="auto"/>
        <w:right w:val="none" w:sz="0" w:space="0" w:color="auto"/>
      </w:divBdr>
    </w:div>
    <w:div w:id="1115177831">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29666605">
      <w:bodyDiv w:val="1"/>
      <w:marLeft w:val="0"/>
      <w:marRight w:val="0"/>
      <w:marTop w:val="0"/>
      <w:marBottom w:val="0"/>
      <w:divBdr>
        <w:top w:val="none" w:sz="0" w:space="0" w:color="auto"/>
        <w:left w:val="none" w:sz="0" w:space="0" w:color="auto"/>
        <w:bottom w:val="none" w:sz="0" w:space="0" w:color="auto"/>
        <w:right w:val="none" w:sz="0" w:space="0" w:color="auto"/>
      </w:divBdr>
    </w:div>
    <w:div w:id="1133983577">
      <w:bodyDiv w:val="1"/>
      <w:marLeft w:val="0"/>
      <w:marRight w:val="0"/>
      <w:marTop w:val="0"/>
      <w:marBottom w:val="0"/>
      <w:divBdr>
        <w:top w:val="none" w:sz="0" w:space="0" w:color="auto"/>
        <w:left w:val="none" w:sz="0" w:space="0" w:color="auto"/>
        <w:bottom w:val="none" w:sz="0" w:space="0" w:color="auto"/>
        <w:right w:val="none" w:sz="0" w:space="0" w:color="auto"/>
      </w:divBdr>
    </w:div>
    <w:div w:id="1155414556">
      <w:bodyDiv w:val="1"/>
      <w:marLeft w:val="0"/>
      <w:marRight w:val="0"/>
      <w:marTop w:val="0"/>
      <w:marBottom w:val="0"/>
      <w:divBdr>
        <w:top w:val="none" w:sz="0" w:space="0" w:color="auto"/>
        <w:left w:val="none" w:sz="0" w:space="0" w:color="auto"/>
        <w:bottom w:val="none" w:sz="0" w:space="0" w:color="auto"/>
        <w:right w:val="none" w:sz="0" w:space="0" w:color="auto"/>
      </w:divBdr>
    </w:div>
    <w:div w:id="1157385117">
      <w:bodyDiv w:val="1"/>
      <w:marLeft w:val="0"/>
      <w:marRight w:val="0"/>
      <w:marTop w:val="0"/>
      <w:marBottom w:val="0"/>
      <w:divBdr>
        <w:top w:val="none" w:sz="0" w:space="0" w:color="auto"/>
        <w:left w:val="none" w:sz="0" w:space="0" w:color="auto"/>
        <w:bottom w:val="none" w:sz="0" w:space="0" w:color="auto"/>
        <w:right w:val="none" w:sz="0" w:space="0" w:color="auto"/>
      </w:divBdr>
    </w:div>
    <w:div w:id="1163857431">
      <w:bodyDiv w:val="1"/>
      <w:marLeft w:val="0"/>
      <w:marRight w:val="0"/>
      <w:marTop w:val="0"/>
      <w:marBottom w:val="0"/>
      <w:divBdr>
        <w:top w:val="none" w:sz="0" w:space="0" w:color="auto"/>
        <w:left w:val="none" w:sz="0" w:space="0" w:color="auto"/>
        <w:bottom w:val="none" w:sz="0" w:space="0" w:color="auto"/>
        <w:right w:val="none" w:sz="0" w:space="0" w:color="auto"/>
      </w:divBdr>
    </w:div>
    <w:div w:id="1169323346">
      <w:bodyDiv w:val="1"/>
      <w:marLeft w:val="0"/>
      <w:marRight w:val="0"/>
      <w:marTop w:val="0"/>
      <w:marBottom w:val="0"/>
      <w:divBdr>
        <w:top w:val="none" w:sz="0" w:space="0" w:color="auto"/>
        <w:left w:val="none" w:sz="0" w:space="0" w:color="auto"/>
        <w:bottom w:val="none" w:sz="0" w:space="0" w:color="auto"/>
        <w:right w:val="none" w:sz="0" w:space="0" w:color="auto"/>
      </w:divBdr>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05367950">
      <w:bodyDiv w:val="1"/>
      <w:marLeft w:val="0"/>
      <w:marRight w:val="0"/>
      <w:marTop w:val="0"/>
      <w:marBottom w:val="0"/>
      <w:divBdr>
        <w:top w:val="none" w:sz="0" w:space="0" w:color="auto"/>
        <w:left w:val="none" w:sz="0" w:space="0" w:color="auto"/>
        <w:bottom w:val="none" w:sz="0" w:space="0" w:color="auto"/>
        <w:right w:val="none" w:sz="0" w:space="0" w:color="auto"/>
      </w:divBdr>
    </w:div>
    <w:div w:id="1232042207">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42835625">
      <w:bodyDiv w:val="1"/>
      <w:marLeft w:val="0"/>
      <w:marRight w:val="0"/>
      <w:marTop w:val="0"/>
      <w:marBottom w:val="0"/>
      <w:divBdr>
        <w:top w:val="none" w:sz="0" w:space="0" w:color="auto"/>
        <w:left w:val="none" w:sz="0" w:space="0" w:color="auto"/>
        <w:bottom w:val="none" w:sz="0" w:space="0" w:color="auto"/>
        <w:right w:val="none" w:sz="0" w:space="0" w:color="auto"/>
      </w:divBdr>
      <w:divsChild>
        <w:div w:id="2039159398">
          <w:marLeft w:val="0"/>
          <w:marRight w:val="0"/>
          <w:marTop w:val="0"/>
          <w:marBottom w:val="0"/>
          <w:divBdr>
            <w:top w:val="none" w:sz="0" w:space="0" w:color="auto"/>
            <w:left w:val="none" w:sz="0" w:space="0" w:color="auto"/>
            <w:bottom w:val="none" w:sz="0" w:space="0" w:color="auto"/>
            <w:right w:val="none" w:sz="0" w:space="0" w:color="auto"/>
          </w:divBdr>
          <w:divsChild>
            <w:div w:id="365908327">
              <w:marLeft w:val="0"/>
              <w:marRight w:val="0"/>
              <w:marTop w:val="0"/>
              <w:marBottom w:val="0"/>
              <w:divBdr>
                <w:top w:val="none" w:sz="0" w:space="0" w:color="auto"/>
                <w:left w:val="none" w:sz="0" w:space="0" w:color="auto"/>
                <w:bottom w:val="none" w:sz="0" w:space="0" w:color="auto"/>
                <w:right w:val="none" w:sz="0" w:space="0" w:color="auto"/>
              </w:divBdr>
              <w:divsChild>
                <w:div w:id="979579361">
                  <w:marLeft w:val="0"/>
                  <w:marRight w:val="0"/>
                  <w:marTop w:val="0"/>
                  <w:marBottom w:val="0"/>
                  <w:divBdr>
                    <w:top w:val="none" w:sz="0" w:space="0" w:color="auto"/>
                    <w:left w:val="none" w:sz="0" w:space="0" w:color="auto"/>
                    <w:bottom w:val="none" w:sz="0" w:space="0" w:color="auto"/>
                    <w:right w:val="none" w:sz="0" w:space="0" w:color="auto"/>
                  </w:divBdr>
                  <w:divsChild>
                    <w:div w:id="1557162046">
                      <w:marLeft w:val="0"/>
                      <w:marRight w:val="0"/>
                      <w:marTop w:val="0"/>
                      <w:marBottom w:val="0"/>
                      <w:divBdr>
                        <w:top w:val="none" w:sz="0" w:space="0" w:color="auto"/>
                        <w:left w:val="none" w:sz="0" w:space="0" w:color="auto"/>
                        <w:bottom w:val="none" w:sz="0" w:space="0" w:color="auto"/>
                        <w:right w:val="none" w:sz="0" w:space="0" w:color="auto"/>
                      </w:divBdr>
                      <w:divsChild>
                        <w:div w:id="997154304">
                          <w:marLeft w:val="0"/>
                          <w:marRight w:val="0"/>
                          <w:marTop w:val="15"/>
                          <w:marBottom w:val="0"/>
                          <w:divBdr>
                            <w:top w:val="none" w:sz="0" w:space="0" w:color="auto"/>
                            <w:left w:val="none" w:sz="0" w:space="0" w:color="auto"/>
                            <w:bottom w:val="none" w:sz="0" w:space="0" w:color="auto"/>
                            <w:right w:val="none" w:sz="0" w:space="0" w:color="auto"/>
                          </w:divBdr>
                          <w:divsChild>
                            <w:div w:id="284046795">
                              <w:marLeft w:val="0"/>
                              <w:marRight w:val="0"/>
                              <w:marTop w:val="0"/>
                              <w:marBottom w:val="0"/>
                              <w:divBdr>
                                <w:top w:val="none" w:sz="0" w:space="0" w:color="auto"/>
                                <w:left w:val="none" w:sz="0" w:space="0" w:color="auto"/>
                                <w:bottom w:val="none" w:sz="0" w:space="0" w:color="auto"/>
                                <w:right w:val="none" w:sz="0" w:space="0" w:color="auto"/>
                              </w:divBdr>
                              <w:divsChild>
                                <w:div w:id="216938900">
                                  <w:marLeft w:val="0"/>
                                  <w:marRight w:val="0"/>
                                  <w:marTop w:val="0"/>
                                  <w:marBottom w:val="0"/>
                                  <w:divBdr>
                                    <w:top w:val="none" w:sz="0" w:space="0" w:color="auto"/>
                                    <w:left w:val="none" w:sz="0" w:space="0" w:color="auto"/>
                                    <w:bottom w:val="none" w:sz="0" w:space="0" w:color="auto"/>
                                    <w:right w:val="none" w:sz="0" w:space="0" w:color="auto"/>
                                  </w:divBdr>
                                </w:div>
                                <w:div w:id="1960255191">
                                  <w:marLeft w:val="0"/>
                                  <w:marRight w:val="0"/>
                                  <w:marTop w:val="0"/>
                                  <w:marBottom w:val="0"/>
                                  <w:divBdr>
                                    <w:top w:val="none" w:sz="0" w:space="0" w:color="auto"/>
                                    <w:left w:val="none" w:sz="0" w:space="0" w:color="auto"/>
                                    <w:bottom w:val="none" w:sz="0" w:space="0" w:color="auto"/>
                                    <w:right w:val="none" w:sz="0" w:space="0" w:color="auto"/>
                                  </w:divBdr>
                                </w:div>
                                <w:div w:id="1064908234">
                                  <w:marLeft w:val="0"/>
                                  <w:marRight w:val="0"/>
                                  <w:marTop w:val="0"/>
                                  <w:marBottom w:val="0"/>
                                  <w:divBdr>
                                    <w:top w:val="none" w:sz="0" w:space="0" w:color="auto"/>
                                    <w:left w:val="none" w:sz="0" w:space="0" w:color="auto"/>
                                    <w:bottom w:val="none" w:sz="0" w:space="0" w:color="auto"/>
                                    <w:right w:val="none" w:sz="0" w:space="0" w:color="auto"/>
                                  </w:divBdr>
                                </w:div>
                                <w:div w:id="688608723">
                                  <w:marLeft w:val="0"/>
                                  <w:marRight w:val="0"/>
                                  <w:marTop w:val="0"/>
                                  <w:marBottom w:val="0"/>
                                  <w:divBdr>
                                    <w:top w:val="none" w:sz="0" w:space="0" w:color="auto"/>
                                    <w:left w:val="none" w:sz="0" w:space="0" w:color="auto"/>
                                    <w:bottom w:val="none" w:sz="0" w:space="0" w:color="auto"/>
                                    <w:right w:val="none" w:sz="0" w:space="0" w:color="auto"/>
                                  </w:divBdr>
                                </w:div>
                                <w:div w:id="753284544">
                                  <w:marLeft w:val="0"/>
                                  <w:marRight w:val="0"/>
                                  <w:marTop w:val="0"/>
                                  <w:marBottom w:val="0"/>
                                  <w:divBdr>
                                    <w:top w:val="none" w:sz="0" w:space="0" w:color="auto"/>
                                    <w:left w:val="none" w:sz="0" w:space="0" w:color="auto"/>
                                    <w:bottom w:val="none" w:sz="0" w:space="0" w:color="auto"/>
                                    <w:right w:val="none" w:sz="0" w:space="0" w:color="auto"/>
                                  </w:divBdr>
                                </w:div>
                                <w:div w:id="673608127">
                                  <w:marLeft w:val="0"/>
                                  <w:marRight w:val="0"/>
                                  <w:marTop w:val="0"/>
                                  <w:marBottom w:val="0"/>
                                  <w:divBdr>
                                    <w:top w:val="none" w:sz="0" w:space="0" w:color="auto"/>
                                    <w:left w:val="none" w:sz="0" w:space="0" w:color="auto"/>
                                    <w:bottom w:val="none" w:sz="0" w:space="0" w:color="auto"/>
                                    <w:right w:val="none" w:sz="0" w:space="0" w:color="auto"/>
                                  </w:divBdr>
                                </w:div>
                                <w:div w:id="1404834734">
                                  <w:marLeft w:val="0"/>
                                  <w:marRight w:val="0"/>
                                  <w:marTop w:val="0"/>
                                  <w:marBottom w:val="0"/>
                                  <w:divBdr>
                                    <w:top w:val="none" w:sz="0" w:space="0" w:color="auto"/>
                                    <w:left w:val="none" w:sz="0" w:space="0" w:color="auto"/>
                                    <w:bottom w:val="none" w:sz="0" w:space="0" w:color="auto"/>
                                    <w:right w:val="none" w:sz="0" w:space="0" w:color="auto"/>
                                  </w:divBdr>
                                </w:div>
                                <w:div w:id="356926473">
                                  <w:marLeft w:val="0"/>
                                  <w:marRight w:val="0"/>
                                  <w:marTop w:val="0"/>
                                  <w:marBottom w:val="0"/>
                                  <w:divBdr>
                                    <w:top w:val="none" w:sz="0" w:space="0" w:color="auto"/>
                                    <w:left w:val="none" w:sz="0" w:space="0" w:color="auto"/>
                                    <w:bottom w:val="none" w:sz="0" w:space="0" w:color="auto"/>
                                    <w:right w:val="none" w:sz="0" w:space="0" w:color="auto"/>
                                  </w:divBdr>
                                </w:div>
                                <w:div w:id="409424726">
                                  <w:marLeft w:val="0"/>
                                  <w:marRight w:val="0"/>
                                  <w:marTop w:val="0"/>
                                  <w:marBottom w:val="0"/>
                                  <w:divBdr>
                                    <w:top w:val="none" w:sz="0" w:space="0" w:color="auto"/>
                                    <w:left w:val="none" w:sz="0" w:space="0" w:color="auto"/>
                                    <w:bottom w:val="none" w:sz="0" w:space="0" w:color="auto"/>
                                    <w:right w:val="none" w:sz="0" w:space="0" w:color="auto"/>
                                  </w:divBdr>
                                </w:div>
                                <w:div w:id="406807711">
                                  <w:marLeft w:val="0"/>
                                  <w:marRight w:val="0"/>
                                  <w:marTop w:val="0"/>
                                  <w:marBottom w:val="0"/>
                                  <w:divBdr>
                                    <w:top w:val="none" w:sz="0" w:space="0" w:color="auto"/>
                                    <w:left w:val="none" w:sz="0" w:space="0" w:color="auto"/>
                                    <w:bottom w:val="none" w:sz="0" w:space="0" w:color="auto"/>
                                    <w:right w:val="none" w:sz="0" w:space="0" w:color="auto"/>
                                  </w:divBdr>
                                </w:div>
                                <w:div w:id="1179931009">
                                  <w:marLeft w:val="0"/>
                                  <w:marRight w:val="0"/>
                                  <w:marTop w:val="0"/>
                                  <w:marBottom w:val="0"/>
                                  <w:divBdr>
                                    <w:top w:val="none" w:sz="0" w:space="0" w:color="auto"/>
                                    <w:left w:val="none" w:sz="0" w:space="0" w:color="auto"/>
                                    <w:bottom w:val="none" w:sz="0" w:space="0" w:color="auto"/>
                                    <w:right w:val="none" w:sz="0" w:space="0" w:color="auto"/>
                                  </w:divBdr>
                                </w:div>
                                <w:div w:id="1459295033">
                                  <w:marLeft w:val="0"/>
                                  <w:marRight w:val="0"/>
                                  <w:marTop w:val="0"/>
                                  <w:marBottom w:val="0"/>
                                  <w:divBdr>
                                    <w:top w:val="none" w:sz="0" w:space="0" w:color="auto"/>
                                    <w:left w:val="none" w:sz="0" w:space="0" w:color="auto"/>
                                    <w:bottom w:val="none" w:sz="0" w:space="0" w:color="auto"/>
                                    <w:right w:val="none" w:sz="0" w:space="0" w:color="auto"/>
                                  </w:divBdr>
                                </w:div>
                                <w:div w:id="34233767">
                                  <w:marLeft w:val="0"/>
                                  <w:marRight w:val="0"/>
                                  <w:marTop w:val="0"/>
                                  <w:marBottom w:val="0"/>
                                  <w:divBdr>
                                    <w:top w:val="none" w:sz="0" w:space="0" w:color="auto"/>
                                    <w:left w:val="none" w:sz="0" w:space="0" w:color="auto"/>
                                    <w:bottom w:val="none" w:sz="0" w:space="0" w:color="auto"/>
                                    <w:right w:val="none" w:sz="0" w:space="0" w:color="auto"/>
                                  </w:divBdr>
                                </w:div>
                                <w:div w:id="103355401">
                                  <w:marLeft w:val="0"/>
                                  <w:marRight w:val="0"/>
                                  <w:marTop w:val="0"/>
                                  <w:marBottom w:val="0"/>
                                  <w:divBdr>
                                    <w:top w:val="none" w:sz="0" w:space="0" w:color="auto"/>
                                    <w:left w:val="none" w:sz="0" w:space="0" w:color="auto"/>
                                    <w:bottom w:val="none" w:sz="0" w:space="0" w:color="auto"/>
                                    <w:right w:val="none" w:sz="0" w:space="0" w:color="auto"/>
                                  </w:divBdr>
                                </w:div>
                                <w:div w:id="942885361">
                                  <w:marLeft w:val="0"/>
                                  <w:marRight w:val="0"/>
                                  <w:marTop w:val="0"/>
                                  <w:marBottom w:val="0"/>
                                  <w:divBdr>
                                    <w:top w:val="none" w:sz="0" w:space="0" w:color="auto"/>
                                    <w:left w:val="none" w:sz="0" w:space="0" w:color="auto"/>
                                    <w:bottom w:val="none" w:sz="0" w:space="0" w:color="auto"/>
                                    <w:right w:val="none" w:sz="0" w:space="0" w:color="auto"/>
                                  </w:divBdr>
                                </w:div>
                                <w:div w:id="938759690">
                                  <w:marLeft w:val="0"/>
                                  <w:marRight w:val="0"/>
                                  <w:marTop w:val="0"/>
                                  <w:marBottom w:val="0"/>
                                  <w:divBdr>
                                    <w:top w:val="none" w:sz="0" w:space="0" w:color="auto"/>
                                    <w:left w:val="none" w:sz="0" w:space="0" w:color="auto"/>
                                    <w:bottom w:val="none" w:sz="0" w:space="0" w:color="auto"/>
                                    <w:right w:val="none" w:sz="0" w:space="0" w:color="auto"/>
                                  </w:divBdr>
                                </w:div>
                                <w:div w:id="1501891303">
                                  <w:marLeft w:val="0"/>
                                  <w:marRight w:val="0"/>
                                  <w:marTop w:val="0"/>
                                  <w:marBottom w:val="0"/>
                                  <w:divBdr>
                                    <w:top w:val="none" w:sz="0" w:space="0" w:color="auto"/>
                                    <w:left w:val="none" w:sz="0" w:space="0" w:color="auto"/>
                                    <w:bottom w:val="none" w:sz="0" w:space="0" w:color="auto"/>
                                    <w:right w:val="none" w:sz="0" w:space="0" w:color="auto"/>
                                  </w:divBdr>
                                </w:div>
                                <w:div w:id="1362823631">
                                  <w:marLeft w:val="0"/>
                                  <w:marRight w:val="0"/>
                                  <w:marTop w:val="0"/>
                                  <w:marBottom w:val="0"/>
                                  <w:divBdr>
                                    <w:top w:val="none" w:sz="0" w:space="0" w:color="auto"/>
                                    <w:left w:val="none" w:sz="0" w:space="0" w:color="auto"/>
                                    <w:bottom w:val="none" w:sz="0" w:space="0" w:color="auto"/>
                                    <w:right w:val="none" w:sz="0" w:space="0" w:color="auto"/>
                                  </w:divBdr>
                                </w:div>
                                <w:div w:id="1611744034">
                                  <w:marLeft w:val="0"/>
                                  <w:marRight w:val="0"/>
                                  <w:marTop w:val="0"/>
                                  <w:marBottom w:val="0"/>
                                  <w:divBdr>
                                    <w:top w:val="none" w:sz="0" w:space="0" w:color="auto"/>
                                    <w:left w:val="none" w:sz="0" w:space="0" w:color="auto"/>
                                    <w:bottom w:val="none" w:sz="0" w:space="0" w:color="auto"/>
                                    <w:right w:val="none" w:sz="0" w:space="0" w:color="auto"/>
                                  </w:divBdr>
                                </w:div>
                                <w:div w:id="376203324">
                                  <w:marLeft w:val="0"/>
                                  <w:marRight w:val="0"/>
                                  <w:marTop w:val="0"/>
                                  <w:marBottom w:val="0"/>
                                  <w:divBdr>
                                    <w:top w:val="none" w:sz="0" w:space="0" w:color="auto"/>
                                    <w:left w:val="none" w:sz="0" w:space="0" w:color="auto"/>
                                    <w:bottom w:val="none" w:sz="0" w:space="0" w:color="auto"/>
                                    <w:right w:val="none" w:sz="0" w:space="0" w:color="auto"/>
                                  </w:divBdr>
                                </w:div>
                                <w:div w:id="1649164105">
                                  <w:marLeft w:val="0"/>
                                  <w:marRight w:val="0"/>
                                  <w:marTop w:val="0"/>
                                  <w:marBottom w:val="0"/>
                                  <w:divBdr>
                                    <w:top w:val="none" w:sz="0" w:space="0" w:color="auto"/>
                                    <w:left w:val="none" w:sz="0" w:space="0" w:color="auto"/>
                                    <w:bottom w:val="none" w:sz="0" w:space="0" w:color="auto"/>
                                    <w:right w:val="none" w:sz="0" w:space="0" w:color="auto"/>
                                  </w:divBdr>
                                </w:div>
                                <w:div w:id="1874877392">
                                  <w:marLeft w:val="0"/>
                                  <w:marRight w:val="0"/>
                                  <w:marTop w:val="0"/>
                                  <w:marBottom w:val="0"/>
                                  <w:divBdr>
                                    <w:top w:val="none" w:sz="0" w:space="0" w:color="auto"/>
                                    <w:left w:val="none" w:sz="0" w:space="0" w:color="auto"/>
                                    <w:bottom w:val="none" w:sz="0" w:space="0" w:color="auto"/>
                                    <w:right w:val="none" w:sz="0" w:space="0" w:color="auto"/>
                                  </w:divBdr>
                                </w:div>
                                <w:div w:id="1315379147">
                                  <w:marLeft w:val="0"/>
                                  <w:marRight w:val="0"/>
                                  <w:marTop w:val="0"/>
                                  <w:marBottom w:val="0"/>
                                  <w:divBdr>
                                    <w:top w:val="none" w:sz="0" w:space="0" w:color="auto"/>
                                    <w:left w:val="none" w:sz="0" w:space="0" w:color="auto"/>
                                    <w:bottom w:val="none" w:sz="0" w:space="0" w:color="auto"/>
                                    <w:right w:val="none" w:sz="0" w:space="0" w:color="auto"/>
                                  </w:divBdr>
                                </w:div>
                                <w:div w:id="1197428447">
                                  <w:marLeft w:val="0"/>
                                  <w:marRight w:val="0"/>
                                  <w:marTop w:val="0"/>
                                  <w:marBottom w:val="0"/>
                                  <w:divBdr>
                                    <w:top w:val="none" w:sz="0" w:space="0" w:color="auto"/>
                                    <w:left w:val="none" w:sz="0" w:space="0" w:color="auto"/>
                                    <w:bottom w:val="none" w:sz="0" w:space="0" w:color="auto"/>
                                    <w:right w:val="none" w:sz="0" w:space="0" w:color="auto"/>
                                  </w:divBdr>
                                </w:div>
                                <w:div w:id="1369262172">
                                  <w:marLeft w:val="0"/>
                                  <w:marRight w:val="0"/>
                                  <w:marTop w:val="0"/>
                                  <w:marBottom w:val="0"/>
                                  <w:divBdr>
                                    <w:top w:val="none" w:sz="0" w:space="0" w:color="auto"/>
                                    <w:left w:val="none" w:sz="0" w:space="0" w:color="auto"/>
                                    <w:bottom w:val="none" w:sz="0" w:space="0" w:color="auto"/>
                                    <w:right w:val="none" w:sz="0" w:space="0" w:color="auto"/>
                                  </w:divBdr>
                                </w:div>
                                <w:div w:id="2082218824">
                                  <w:marLeft w:val="0"/>
                                  <w:marRight w:val="0"/>
                                  <w:marTop w:val="0"/>
                                  <w:marBottom w:val="0"/>
                                  <w:divBdr>
                                    <w:top w:val="none" w:sz="0" w:space="0" w:color="auto"/>
                                    <w:left w:val="none" w:sz="0" w:space="0" w:color="auto"/>
                                    <w:bottom w:val="none" w:sz="0" w:space="0" w:color="auto"/>
                                    <w:right w:val="none" w:sz="0" w:space="0" w:color="auto"/>
                                  </w:divBdr>
                                </w:div>
                                <w:div w:id="296421249">
                                  <w:marLeft w:val="0"/>
                                  <w:marRight w:val="0"/>
                                  <w:marTop w:val="0"/>
                                  <w:marBottom w:val="0"/>
                                  <w:divBdr>
                                    <w:top w:val="none" w:sz="0" w:space="0" w:color="auto"/>
                                    <w:left w:val="none" w:sz="0" w:space="0" w:color="auto"/>
                                    <w:bottom w:val="none" w:sz="0" w:space="0" w:color="auto"/>
                                    <w:right w:val="none" w:sz="0" w:space="0" w:color="auto"/>
                                  </w:divBdr>
                                </w:div>
                                <w:div w:id="2022581810">
                                  <w:marLeft w:val="0"/>
                                  <w:marRight w:val="0"/>
                                  <w:marTop w:val="0"/>
                                  <w:marBottom w:val="0"/>
                                  <w:divBdr>
                                    <w:top w:val="none" w:sz="0" w:space="0" w:color="auto"/>
                                    <w:left w:val="none" w:sz="0" w:space="0" w:color="auto"/>
                                    <w:bottom w:val="none" w:sz="0" w:space="0" w:color="auto"/>
                                    <w:right w:val="none" w:sz="0" w:space="0" w:color="auto"/>
                                  </w:divBdr>
                                </w:div>
                                <w:div w:id="1670020292">
                                  <w:marLeft w:val="0"/>
                                  <w:marRight w:val="0"/>
                                  <w:marTop w:val="0"/>
                                  <w:marBottom w:val="0"/>
                                  <w:divBdr>
                                    <w:top w:val="none" w:sz="0" w:space="0" w:color="auto"/>
                                    <w:left w:val="none" w:sz="0" w:space="0" w:color="auto"/>
                                    <w:bottom w:val="none" w:sz="0" w:space="0" w:color="auto"/>
                                    <w:right w:val="none" w:sz="0" w:space="0" w:color="auto"/>
                                  </w:divBdr>
                                </w:div>
                                <w:div w:id="458106630">
                                  <w:marLeft w:val="0"/>
                                  <w:marRight w:val="0"/>
                                  <w:marTop w:val="0"/>
                                  <w:marBottom w:val="0"/>
                                  <w:divBdr>
                                    <w:top w:val="none" w:sz="0" w:space="0" w:color="auto"/>
                                    <w:left w:val="none" w:sz="0" w:space="0" w:color="auto"/>
                                    <w:bottom w:val="none" w:sz="0" w:space="0" w:color="auto"/>
                                    <w:right w:val="none" w:sz="0" w:space="0" w:color="auto"/>
                                  </w:divBdr>
                                </w:div>
                                <w:div w:id="681473061">
                                  <w:marLeft w:val="0"/>
                                  <w:marRight w:val="0"/>
                                  <w:marTop w:val="0"/>
                                  <w:marBottom w:val="0"/>
                                  <w:divBdr>
                                    <w:top w:val="none" w:sz="0" w:space="0" w:color="auto"/>
                                    <w:left w:val="none" w:sz="0" w:space="0" w:color="auto"/>
                                    <w:bottom w:val="none" w:sz="0" w:space="0" w:color="auto"/>
                                    <w:right w:val="none" w:sz="0" w:space="0" w:color="auto"/>
                                  </w:divBdr>
                                </w:div>
                                <w:div w:id="1203131926">
                                  <w:marLeft w:val="0"/>
                                  <w:marRight w:val="0"/>
                                  <w:marTop w:val="0"/>
                                  <w:marBottom w:val="0"/>
                                  <w:divBdr>
                                    <w:top w:val="none" w:sz="0" w:space="0" w:color="auto"/>
                                    <w:left w:val="none" w:sz="0" w:space="0" w:color="auto"/>
                                    <w:bottom w:val="none" w:sz="0" w:space="0" w:color="auto"/>
                                    <w:right w:val="none" w:sz="0" w:space="0" w:color="auto"/>
                                  </w:divBdr>
                                </w:div>
                                <w:div w:id="467818065">
                                  <w:marLeft w:val="0"/>
                                  <w:marRight w:val="0"/>
                                  <w:marTop w:val="0"/>
                                  <w:marBottom w:val="0"/>
                                  <w:divBdr>
                                    <w:top w:val="none" w:sz="0" w:space="0" w:color="auto"/>
                                    <w:left w:val="none" w:sz="0" w:space="0" w:color="auto"/>
                                    <w:bottom w:val="none" w:sz="0" w:space="0" w:color="auto"/>
                                    <w:right w:val="none" w:sz="0" w:space="0" w:color="auto"/>
                                  </w:divBdr>
                                </w:div>
                                <w:div w:id="2126657694">
                                  <w:marLeft w:val="0"/>
                                  <w:marRight w:val="0"/>
                                  <w:marTop w:val="0"/>
                                  <w:marBottom w:val="0"/>
                                  <w:divBdr>
                                    <w:top w:val="none" w:sz="0" w:space="0" w:color="auto"/>
                                    <w:left w:val="none" w:sz="0" w:space="0" w:color="auto"/>
                                    <w:bottom w:val="none" w:sz="0" w:space="0" w:color="auto"/>
                                    <w:right w:val="none" w:sz="0" w:space="0" w:color="auto"/>
                                  </w:divBdr>
                                </w:div>
                                <w:div w:id="478884592">
                                  <w:marLeft w:val="0"/>
                                  <w:marRight w:val="0"/>
                                  <w:marTop w:val="0"/>
                                  <w:marBottom w:val="0"/>
                                  <w:divBdr>
                                    <w:top w:val="none" w:sz="0" w:space="0" w:color="auto"/>
                                    <w:left w:val="none" w:sz="0" w:space="0" w:color="auto"/>
                                    <w:bottom w:val="none" w:sz="0" w:space="0" w:color="auto"/>
                                    <w:right w:val="none" w:sz="0" w:space="0" w:color="auto"/>
                                  </w:divBdr>
                                </w:div>
                                <w:div w:id="724794146">
                                  <w:marLeft w:val="0"/>
                                  <w:marRight w:val="0"/>
                                  <w:marTop w:val="0"/>
                                  <w:marBottom w:val="0"/>
                                  <w:divBdr>
                                    <w:top w:val="none" w:sz="0" w:space="0" w:color="auto"/>
                                    <w:left w:val="none" w:sz="0" w:space="0" w:color="auto"/>
                                    <w:bottom w:val="none" w:sz="0" w:space="0" w:color="auto"/>
                                    <w:right w:val="none" w:sz="0" w:space="0" w:color="auto"/>
                                  </w:divBdr>
                                </w:div>
                                <w:div w:id="63143061">
                                  <w:marLeft w:val="0"/>
                                  <w:marRight w:val="0"/>
                                  <w:marTop w:val="0"/>
                                  <w:marBottom w:val="0"/>
                                  <w:divBdr>
                                    <w:top w:val="none" w:sz="0" w:space="0" w:color="auto"/>
                                    <w:left w:val="none" w:sz="0" w:space="0" w:color="auto"/>
                                    <w:bottom w:val="none" w:sz="0" w:space="0" w:color="auto"/>
                                    <w:right w:val="none" w:sz="0" w:space="0" w:color="auto"/>
                                  </w:divBdr>
                                </w:div>
                                <w:div w:id="123239842">
                                  <w:marLeft w:val="0"/>
                                  <w:marRight w:val="0"/>
                                  <w:marTop w:val="0"/>
                                  <w:marBottom w:val="0"/>
                                  <w:divBdr>
                                    <w:top w:val="none" w:sz="0" w:space="0" w:color="auto"/>
                                    <w:left w:val="none" w:sz="0" w:space="0" w:color="auto"/>
                                    <w:bottom w:val="none" w:sz="0" w:space="0" w:color="auto"/>
                                    <w:right w:val="none" w:sz="0" w:space="0" w:color="auto"/>
                                  </w:divBdr>
                                </w:div>
                                <w:div w:id="1711419951">
                                  <w:marLeft w:val="0"/>
                                  <w:marRight w:val="0"/>
                                  <w:marTop w:val="0"/>
                                  <w:marBottom w:val="0"/>
                                  <w:divBdr>
                                    <w:top w:val="none" w:sz="0" w:space="0" w:color="auto"/>
                                    <w:left w:val="none" w:sz="0" w:space="0" w:color="auto"/>
                                    <w:bottom w:val="none" w:sz="0" w:space="0" w:color="auto"/>
                                    <w:right w:val="none" w:sz="0" w:space="0" w:color="auto"/>
                                  </w:divBdr>
                                </w:div>
                                <w:div w:id="1562520529">
                                  <w:marLeft w:val="0"/>
                                  <w:marRight w:val="0"/>
                                  <w:marTop w:val="0"/>
                                  <w:marBottom w:val="0"/>
                                  <w:divBdr>
                                    <w:top w:val="none" w:sz="0" w:space="0" w:color="auto"/>
                                    <w:left w:val="none" w:sz="0" w:space="0" w:color="auto"/>
                                    <w:bottom w:val="none" w:sz="0" w:space="0" w:color="auto"/>
                                    <w:right w:val="none" w:sz="0" w:space="0" w:color="auto"/>
                                  </w:divBdr>
                                </w:div>
                                <w:div w:id="2052529659">
                                  <w:marLeft w:val="0"/>
                                  <w:marRight w:val="0"/>
                                  <w:marTop w:val="0"/>
                                  <w:marBottom w:val="0"/>
                                  <w:divBdr>
                                    <w:top w:val="none" w:sz="0" w:space="0" w:color="auto"/>
                                    <w:left w:val="none" w:sz="0" w:space="0" w:color="auto"/>
                                    <w:bottom w:val="none" w:sz="0" w:space="0" w:color="auto"/>
                                    <w:right w:val="none" w:sz="0" w:space="0" w:color="auto"/>
                                  </w:divBdr>
                                </w:div>
                                <w:div w:id="1150713343">
                                  <w:marLeft w:val="0"/>
                                  <w:marRight w:val="0"/>
                                  <w:marTop w:val="0"/>
                                  <w:marBottom w:val="0"/>
                                  <w:divBdr>
                                    <w:top w:val="none" w:sz="0" w:space="0" w:color="auto"/>
                                    <w:left w:val="none" w:sz="0" w:space="0" w:color="auto"/>
                                    <w:bottom w:val="none" w:sz="0" w:space="0" w:color="auto"/>
                                    <w:right w:val="none" w:sz="0" w:space="0" w:color="auto"/>
                                  </w:divBdr>
                                </w:div>
                                <w:div w:id="1209146067">
                                  <w:marLeft w:val="0"/>
                                  <w:marRight w:val="0"/>
                                  <w:marTop w:val="0"/>
                                  <w:marBottom w:val="0"/>
                                  <w:divBdr>
                                    <w:top w:val="none" w:sz="0" w:space="0" w:color="auto"/>
                                    <w:left w:val="none" w:sz="0" w:space="0" w:color="auto"/>
                                    <w:bottom w:val="none" w:sz="0" w:space="0" w:color="auto"/>
                                    <w:right w:val="none" w:sz="0" w:space="0" w:color="auto"/>
                                  </w:divBdr>
                                </w:div>
                                <w:div w:id="365104720">
                                  <w:marLeft w:val="0"/>
                                  <w:marRight w:val="0"/>
                                  <w:marTop w:val="0"/>
                                  <w:marBottom w:val="0"/>
                                  <w:divBdr>
                                    <w:top w:val="none" w:sz="0" w:space="0" w:color="auto"/>
                                    <w:left w:val="none" w:sz="0" w:space="0" w:color="auto"/>
                                    <w:bottom w:val="none" w:sz="0" w:space="0" w:color="auto"/>
                                    <w:right w:val="none" w:sz="0" w:space="0" w:color="auto"/>
                                  </w:divBdr>
                                </w:div>
                                <w:div w:id="297272725">
                                  <w:marLeft w:val="0"/>
                                  <w:marRight w:val="0"/>
                                  <w:marTop w:val="0"/>
                                  <w:marBottom w:val="0"/>
                                  <w:divBdr>
                                    <w:top w:val="none" w:sz="0" w:space="0" w:color="auto"/>
                                    <w:left w:val="none" w:sz="0" w:space="0" w:color="auto"/>
                                    <w:bottom w:val="none" w:sz="0" w:space="0" w:color="auto"/>
                                    <w:right w:val="none" w:sz="0" w:space="0" w:color="auto"/>
                                  </w:divBdr>
                                </w:div>
                                <w:div w:id="804733369">
                                  <w:marLeft w:val="0"/>
                                  <w:marRight w:val="0"/>
                                  <w:marTop w:val="0"/>
                                  <w:marBottom w:val="0"/>
                                  <w:divBdr>
                                    <w:top w:val="none" w:sz="0" w:space="0" w:color="auto"/>
                                    <w:left w:val="none" w:sz="0" w:space="0" w:color="auto"/>
                                    <w:bottom w:val="none" w:sz="0" w:space="0" w:color="auto"/>
                                    <w:right w:val="none" w:sz="0" w:space="0" w:color="auto"/>
                                  </w:divBdr>
                                </w:div>
                                <w:div w:id="1821075083">
                                  <w:marLeft w:val="0"/>
                                  <w:marRight w:val="0"/>
                                  <w:marTop w:val="0"/>
                                  <w:marBottom w:val="0"/>
                                  <w:divBdr>
                                    <w:top w:val="none" w:sz="0" w:space="0" w:color="auto"/>
                                    <w:left w:val="none" w:sz="0" w:space="0" w:color="auto"/>
                                    <w:bottom w:val="none" w:sz="0" w:space="0" w:color="auto"/>
                                    <w:right w:val="none" w:sz="0" w:space="0" w:color="auto"/>
                                  </w:divBdr>
                                </w:div>
                                <w:div w:id="190458691">
                                  <w:marLeft w:val="0"/>
                                  <w:marRight w:val="0"/>
                                  <w:marTop w:val="0"/>
                                  <w:marBottom w:val="0"/>
                                  <w:divBdr>
                                    <w:top w:val="none" w:sz="0" w:space="0" w:color="auto"/>
                                    <w:left w:val="none" w:sz="0" w:space="0" w:color="auto"/>
                                    <w:bottom w:val="none" w:sz="0" w:space="0" w:color="auto"/>
                                    <w:right w:val="none" w:sz="0" w:space="0" w:color="auto"/>
                                  </w:divBdr>
                                </w:div>
                                <w:div w:id="1000894165">
                                  <w:marLeft w:val="0"/>
                                  <w:marRight w:val="0"/>
                                  <w:marTop w:val="0"/>
                                  <w:marBottom w:val="0"/>
                                  <w:divBdr>
                                    <w:top w:val="none" w:sz="0" w:space="0" w:color="auto"/>
                                    <w:left w:val="none" w:sz="0" w:space="0" w:color="auto"/>
                                    <w:bottom w:val="none" w:sz="0" w:space="0" w:color="auto"/>
                                    <w:right w:val="none" w:sz="0" w:space="0" w:color="auto"/>
                                  </w:divBdr>
                                </w:div>
                                <w:div w:id="2042586928">
                                  <w:marLeft w:val="0"/>
                                  <w:marRight w:val="0"/>
                                  <w:marTop w:val="0"/>
                                  <w:marBottom w:val="0"/>
                                  <w:divBdr>
                                    <w:top w:val="none" w:sz="0" w:space="0" w:color="auto"/>
                                    <w:left w:val="none" w:sz="0" w:space="0" w:color="auto"/>
                                    <w:bottom w:val="none" w:sz="0" w:space="0" w:color="auto"/>
                                    <w:right w:val="none" w:sz="0" w:space="0" w:color="auto"/>
                                  </w:divBdr>
                                </w:div>
                                <w:div w:id="1004088347">
                                  <w:marLeft w:val="0"/>
                                  <w:marRight w:val="0"/>
                                  <w:marTop w:val="0"/>
                                  <w:marBottom w:val="0"/>
                                  <w:divBdr>
                                    <w:top w:val="none" w:sz="0" w:space="0" w:color="auto"/>
                                    <w:left w:val="none" w:sz="0" w:space="0" w:color="auto"/>
                                    <w:bottom w:val="none" w:sz="0" w:space="0" w:color="auto"/>
                                    <w:right w:val="none" w:sz="0" w:space="0" w:color="auto"/>
                                  </w:divBdr>
                                </w:div>
                                <w:div w:id="801922137">
                                  <w:marLeft w:val="0"/>
                                  <w:marRight w:val="0"/>
                                  <w:marTop w:val="0"/>
                                  <w:marBottom w:val="0"/>
                                  <w:divBdr>
                                    <w:top w:val="none" w:sz="0" w:space="0" w:color="auto"/>
                                    <w:left w:val="none" w:sz="0" w:space="0" w:color="auto"/>
                                    <w:bottom w:val="none" w:sz="0" w:space="0" w:color="auto"/>
                                    <w:right w:val="none" w:sz="0" w:space="0" w:color="auto"/>
                                  </w:divBdr>
                                </w:div>
                                <w:div w:id="1469005704">
                                  <w:marLeft w:val="0"/>
                                  <w:marRight w:val="0"/>
                                  <w:marTop w:val="0"/>
                                  <w:marBottom w:val="0"/>
                                  <w:divBdr>
                                    <w:top w:val="none" w:sz="0" w:space="0" w:color="auto"/>
                                    <w:left w:val="none" w:sz="0" w:space="0" w:color="auto"/>
                                    <w:bottom w:val="none" w:sz="0" w:space="0" w:color="auto"/>
                                    <w:right w:val="none" w:sz="0" w:space="0" w:color="auto"/>
                                  </w:divBdr>
                                </w:div>
                                <w:div w:id="1333291998">
                                  <w:marLeft w:val="0"/>
                                  <w:marRight w:val="0"/>
                                  <w:marTop w:val="0"/>
                                  <w:marBottom w:val="0"/>
                                  <w:divBdr>
                                    <w:top w:val="none" w:sz="0" w:space="0" w:color="auto"/>
                                    <w:left w:val="none" w:sz="0" w:space="0" w:color="auto"/>
                                    <w:bottom w:val="none" w:sz="0" w:space="0" w:color="auto"/>
                                    <w:right w:val="none" w:sz="0" w:space="0" w:color="auto"/>
                                  </w:divBdr>
                                </w:div>
                                <w:div w:id="1098214755">
                                  <w:marLeft w:val="0"/>
                                  <w:marRight w:val="0"/>
                                  <w:marTop w:val="0"/>
                                  <w:marBottom w:val="0"/>
                                  <w:divBdr>
                                    <w:top w:val="none" w:sz="0" w:space="0" w:color="auto"/>
                                    <w:left w:val="none" w:sz="0" w:space="0" w:color="auto"/>
                                    <w:bottom w:val="none" w:sz="0" w:space="0" w:color="auto"/>
                                    <w:right w:val="none" w:sz="0" w:space="0" w:color="auto"/>
                                  </w:divBdr>
                                </w:div>
                                <w:div w:id="356854388">
                                  <w:marLeft w:val="0"/>
                                  <w:marRight w:val="0"/>
                                  <w:marTop w:val="0"/>
                                  <w:marBottom w:val="0"/>
                                  <w:divBdr>
                                    <w:top w:val="none" w:sz="0" w:space="0" w:color="auto"/>
                                    <w:left w:val="none" w:sz="0" w:space="0" w:color="auto"/>
                                    <w:bottom w:val="none" w:sz="0" w:space="0" w:color="auto"/>
                                    <w:right w:val="none" w:sz="0" w:space="0" w:color="auto"/>
                                  </w:divBdr>
                                </w:div>
                                <w:div w:id="638925480">
                                  <w:marLeft w:val="0"/>
                                  <w:marRight w:val="0"/>
                                  <w:marTop w:val="0"/>
                                  <w:marBottom w:val="0"/>
                                  <w:divBdr>
                                    <w:top w:val="none" w:sz="0" w:space="0" w:color="auto"/>
                                    <w:left w:val="none" w:sz="0" w:space="0" w:color="auto"/>
                                    <w:bottom w:val="none" w:sz="0" w:space="0" w:color="auto"/>
                                    <w:right w:val="none" w:sz="0" w:space="0" w:color="auto"/>
                                  </w:divBdr>
                                </w:div>
                                <w:div w:id="1805469402">
                                  <w:marLeft w:val="0"/>
                                  <w:marRight w:val="0"/>
                                  <w:marTop w:val="0"/>
                                  <w:marBottom w:val="0"/>
                                  <w:divBdr>
                                    <w:top w:val="none" w:sz="0" w:space="0" w:color="auto"/>
                                    <w:left w:val="none" w:sz="0" w:space="0" w:color="auto"/>
                                    <w:bottom w:val="none" w:sz="0" w:space="0" w:color="auto"/>
                                    <w:right w:val="none" w:sz="0" w:space="0" w:color="auto"/>
                                  </w:divBdr>
                                </w:div>
                                <w:div w:id="929316923">
                                  <w:marLeft w:val="0"/>
                                  <w:marRight w:val="0"/>
                                  <w:marTop w:val="0"/>
                                  <w:marBottom w:val="0"/>
                                  <w:divBdr>
                                    <w:top w:val="none" w:sz="0" w:space="0" w:color="auto"/>
                                    <w:left w:val="none" w:sz="0" w:space="0" w:color="auto"/>
                                    <w:bottom w:val="none" w:sz="0" w:space="0" w:color="auto"/>
                                    <w:right w:val="none" w:sz="0" w:space="0" w:color="auto"/>
                                  </w:divBdr>
                                </w:div>
                                <w:div w:id="604846814">
                                  <w:marLeft w:val="0"/>
                                  <w:marRight w:val="0"/>
                                  <w:marTop w:val="0"/>
                                  <w:marBottom w:val="0"/>
                                  <w:divBdr>
                                    <w:top w:val="none" w:sz="0" w:space="0" w:color="auto"/>
                                    <w:left w:val="none" w:sz="0" w:space="0" w:color="auto"/>
                                    <w:bottom w:val="none" w:sz="0" w:space="0" w:color="auto"/>
                                    <w:right w:val="none" w:sz="0" w:space="0" w:color="auto"/>
                                  </w:divBdr>
                                </w:div>
                                <w:div w:id="2091922688">
                                  <w:marLeft w:val="0"/>
                                  <w:marRight w:val="0"/>
                                  <w:marTop w:val="0"/>
                                  <w:marBottom w:val="0"/>
                                  <w:divBdr>
                                    <w:top w:val="none" w:sz="0" w:space="0" w:color="auto"/>
                                    <w:left w:val="none" w:sz="0" w:space="0" w:color="auto"/>
                                    <w:bottom w:val="none" w:sz="0" w:space="0" w:color="auto"/>
                                    <w:right w:val="none" w:sz="0" w:space="0" w:color="auto"/>
                                  </w:divBdr>
                                </w:div>
                                <w:div w:id="1748917059">
                                  <w:marLeft w:val="0"/>
                                  <w:marRight w:val="0"/>
                                  <w:marTop w:val="0"/>
                                  <w:marBottom w:val="0"/>
                                  <w:divBdr>
                                    <w:top w:val="none" w:sz="0" w:space="0" w:color="auto"/>
                                    <w:left w:val="none" w:sz="0" w:space="0" w:color="auto"/>
                                    <w:bottom w:val="none" w:sz="0" w:space="0" w:color="auto"/>
                                    <w:right w:val="none" w:sz="0" w:space="0" w:color="auto"/>
                                  </w:divBdr>
                                </w:div>
                                <w:div w:id="1024329624">
                                  <w:marLeft w:val="0"/>
                                  <w:marRight w:val="0"/>
                                  <w:marTop w:val="0"/>
                                  <w:marBottom w:val="0"/>
                                  <w:divBdr>
                                    <w:top w:val="none" w:sz="0" w:space="0" w:color="auto"/>
                                    <w:left w:val="none" w:sz="0" w:space="0" w:color="auto"/>
                                    <w:bottom w:val="none" w:sz="0" w:space="0" w:color="auto"/>
                                    <w:right w:val="none" w:sz="0" w:space="0" w:color="auto"/>
                                  </w:divBdr>
                                </w:div>
                                <w:div w:id="1636984323">
                                  <w:marLeft w:val="0"/>
                                  <w:marRight w:val="0"/>
                                  <w:marTop w:val="0"/>
                                  <w:marBottom w:val="0"/>
                                  <w:divBdr>
                                    <w:top w:val="none" w:sz="0" w:space="0" w:color="auto"/>
                                    <w:left w:val="none" w:sz="0" w:space="0" w:color="auto"/>
                                    <w:bottom w:val="none" w:sz="0" w:space="0" w:color="auto"/>
                                    <w:right w:val="none" w:sz="0" w:space="0" w:color="auto"/>
                                  </w:divBdr>
                                </w:div>
                                <w:div w:id="438524522">
                                  <w:marLeft w:val="0"/>
                                  <w:marRight w:val="0"/>
                                  <w:marTop w:val="0"/>
                                  <w:marBottom w:val="0"/>
                                  <w:divBdr>
                                    <w:top w:val="none" w:sz="0" w:space="0" w:color="auto"/>
                                    <w:left w:val="none" w:sz="0" w:space="0" w:color="auto"/>
                                    <w:bottom w:val="none" w:sz="0" w:space="0" w:color="auto"/>
                                    <w:right w:val="none" w:sz="0" w:space="0" w:color="auto"/>
                                  </w:divBdr>
                                </w:div>
                                <w:div w:id="887573886">
                                  <w:marLeft w:val="0"/>
                                  <w:marRight w:val="0"/>
                                  <w:marTop w:val="0"/>
                                  <w:marBottom w:val="0"/>
                                  <w:divBdr>
                                    <w:top w:val="none" w:sz="0" w:space="0" w:color="auto"/>
                                    <w:left w:val="none" w:sz="0" w:space="0" w:color="auto"/>
                                    <w:bottom w:val="none" w:sz="0" w:space="0" w:color="auto"/>
                                    <w:right w:val="none" w:sz="0" w:space="0" w:color="auto"/>
                                  </w:divBdr>
                                </w:div>
                                <w:div w:id="1827479841">
                                  <w:marLeft w:val="0"/>
                                  <w:marRight w:val="0"/>
                                  <w:marTop w:val="0"/>
                                  <w:marBottom w:val="0"/>
                                  <w:divBdr>
                                    <w:top w:val="none" w:sz="0" w:space="0" w:color="auto"/>
                                    <w:left w:val="none" w:sz="0" w:space="0" w:color="auto"/>
                                    <w:bottom w:val="none" w:sz="0" w:space="0" w:color="auto"/>
                                    <w:right w:val="none" w:sz="0" w:space="0" w:color="auto"/>
                                  </w:divBdr>
                                </w:div>
                                <w:div w:id="2014524868">
                                  <w:marLeft w:val="0"/>
                                  <w:marRight w:val="0"/>
                                  <w:marTop w:val="0"/>
                                  <w:marBottom w:val="0"/>
                                  <w:divBdr>
                                    <w:top w:val="none" w:sz="0" w:space="0" w:color="auto"/>
                                    <w:left w:val="none" w:sz="0" w:space="0" w:color="auto"/>
                                    <w:bottom w:val="none" w:sz="0" w:space="0" w:color="auto"/>
                                    <w:right w:val="none" w:sz="0" w:space="0" w:color="auto"/>
                                  </w:divBdr>
                                </w:div>
                                <w:div w:id="726492834">
                                  <w:marLeft w:val="0"/>
                                  <w:marRight w:val="0"/>
                                  <w:marTop w:val="0"/>
                                  <w:marBottom w:val="0"/>
                                  <w:divBdr>
                                    <w:top w:val="none" w:sz="0" w:space="0" w:color="auto"/>
                                    <w:left w:val="none" w:sz="0" w:space="0" w:color="auto"/>
                                    <w:bottom w:val="none" w:sz="0" w:space="0" w:color="auto"/>
                                    <w:right w:val="none" w:sz="0" w:space="0" w:color="auto"/>
                                  </w:divBdr>
                                </w:div>
                                <w:div w:id="64958732">
                                  <w:marLeft w:val="0"/>
                                  <w:marRight w:val="0"/>
                                  <w:marTop w:val="0"/>
                                  <w:marBottom w:val="0"/>
                                  <w:divBdr>
                                    <w:top w:val="none" w:sz="0" w:space="0" w:color="auto"/>
                                    <w:left w:val="none" w:sz="0" w:space="0" w:color="auto"/>
                                    <w:bottom w:val="none" w:sz="0" w:space="0" w:color="auto"/>
                                    <w:right w:val="none" w:sz="0" w:space="0" w:color="auto"/>
                                  </w:divBdr>
                                </w:div>
                                <w:div w:id="670568695">
                                  <w:marLeft w:val="0"/>
                                  <w:marRight w:val="0"/>
                                  <w:marTop w:val="0"/>
                                  <w:marBottom w:val="0"/>
                                  <w:divBdr>
                                    <w:top w:val="none" w:sz="0" w:space="0" w:color="auto"/>
                                    <w:left w:val="none" w:sz="0" w:space="0" w:color="auto"/>
                                    <w:bottom w:val="none" w:sz="0" w:space="0" w:color="auto"/>
                                    <w:right w:val="none" w:sz="0" w:space="0" w:color="auto"/>
                                  </w:divBdr>
                                </w:div>
                                <w:div w:id="1492602046">
                                  <w:marLeft w:val="0"/>
                                  <w:marRight w:val="0"/>
                                  <w:marTop w:val="0"/>
                                  <w:marBottom w:val="0"/>
                                  <w:divBdr>
                                    <w:top w:val="none" w:sz="0" w:space="0" w:color="auto"/>
                                    <w:left w:val="none" w:sz="0" w:space="0" w:color="auto"/>
                                    <w:bottom w:val="none" w:sz="0" w:space="0" w:color="auto"/>
                                    <w:right w:val="none" w:sz="0" w:space="0" w:color="auto"/>
                                  </w:divBdr>
                                </w:div>
                                <w:div w:id="561331502">
                                  <w:marLeft w:val="0"/>
                                  <w:marRight w:val="0"/>
                                  <w:marTop w:val="0"/>
                                  <w:marBottom w:val="0"/>
                                  <w:divBdr>
                                    <w:top w:val="none" w:sz="0" w:space="0" w:color="auto"/>
                                    <w:left w:val="none" w:sz="0" w:space="0" w:color="auto"/>
                                    <w:bottom w:val="none" w:sz="0" w:space="0" w:color="auto"/>
                                    <w:right w:val="none" w:sz="0" w:space="0" w:color="auto"/>
                                  </w:divBdr>
                                </w:div>
                                <w:div w:id="361784281">
                                  <w:marLeft w:val="0"/>
                                  <w:marRight w:val="0"/>
                                  <w:marTop w:val="0"/>
                                  <w:marBottom w:val="0"/>
                                  <w:divBdr>
                                    <w:top w:val="none" w:sz="0" w:space="0" w:color="auto"/>
                                    <w:left w:val="none" w:sz="0" w:space="0" w:color="auto"/>
                                    <w:bottom w:val="none" w:sz="0" w:space="0" w:color="auto"/>
                                    <w:right w:val="none" w:sz="0" w:space="0" w:color="auto"/>
                                  </w:divBdr>
                                </w:div>
                                <w:div w:id="546840687">
                                  <w:marLeft w:val="0"/>
                                  <w:marRight w:val="0"/>
                                  <w:marTop w:val="0"/>
                                  <w:marBottom w:val="0"/>
                                  <w:divBdr>
                                    <w:top w:val="none" w:sz="0" w:space="0" w:color="auto"/>
                                    <w:left w:val="none" w:sz="0" w:space="0" w:color="auto"/>
                                    <w:bottom w:val="none" w:sz="0" w:space="0" w:color="auto"/>
                                    <w:right w:val="none" w:sz="0" w:space="0" w:color="auto"/>
                                  </w:divBdr>
                                </w:div>
                                <w:div w:id="1200628716">
                                  <w:marLeft w:val="0"/>
                                  <w:marRight w:val="0"/>
                                  <w:marTop w:val="0"/>
                                  <w:marBottom w:val="0"/>
                                  <w:divBdr>
                                    <w:top w:val="none" w:sz="0" w:space="0" w:color="auto"/>
                                    <w:left w:val="none" w:sz="0" w:space="0" w:color="auto"/>
                                    <w:bottom w:val="none" w:sz="0" w:space="0" w:color="auto"/>
                                    <w:right w:val="none" w:sz="0" w:space="0" w:color="auto"/>
                                  </w:divBdr>
                                </w:div>
                                <w:div w:id="448360281">
                                  <w:marLeft w:val="0"/>
                                  <w:marRight w:val="0"/>
                                  <w:marTop w:val="0"/>
                                  <w:marBottom w:val="0"/>
                                  <w:divBdr>
                                    <w:top w:val="none" w:sz="0" w:space="0" w:color="auto"/>
                                    <w:left w:val="none" w:sz="0" w:space="0" w:color="auto"/>
                                    <w:bottom w:val="none" w:sz="0" w:space="0" w:color="auto"/>
                                    <w:right w:val="none" w:sz="0" w:space="0" w:color="auto"/>
                                  </w:divBdr>
                                </w:div>
                                <w:div w:id="1681932829">
                                  <w:marLeft w:val="0"/>
                                  <w:marRight w:val="0"/>
                                  <w:marTop w:val="0"/>
                                  <w:marBottom w:val="0"/>
                                  <w:divBdr>
                                    <w:top w:val="none" w:sz="0" w:space="0" w:color="auto"/>
                                    <w:left w:val="none" w:sz="0" w:space="0" w:color="auto"/>
                                    <w:bottom w:val="none" w:sz="0" w:space="0" w:color="auto"/>
                                    <w:right w:val="none" w:sz="0" w:space="0" w:color="auto"/>
                                  </w:divBdr>
                                </w:div>
                                <w:div w:id="14380734">
                                  <w:marLeft w:val="0"/>
                                  <w:marRight w:val="0"/>
                                  <w:marTop w:val="0"/>
                                  <w:marBottom w:val="0"/>
                                  <w:divBdr>
                                    <w:top w:val="none" w:sz="0" w:space="0" w:color="auto"/>
                                    <w:left w:val="none" w:sz="0" w:space="0" w:color="auto"/>
                                    <w:bottom w:val="none" w:sz="0" w:space="0" w:color="auto"/>
                                    <w:right w:val="none" w:sz="0" w:space="0" w:color="auto"/>
                                  </w:divBdr>
                                </w:div>
                                <w:div w:id="5274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4840">
                          <w:marLeft w:val="0"/>
                          <w:marRight w:val="0"/>
                          <w:marTop w:val="15"/>
                          <w:marBottom w:val="0"/>
                          <w:divBdr>
                            <w:top w:val="none" w:sz="0" w:space="0" w:color="auto"/>
                            <w:left w:val="none" w:sz="0" w:space="0" w:color="auto"/>
                            <w:bottom w:val="none" w:sz="0" w:space="0" w:color="auto"/>
                            <w:right w:val="none" w:sz="0" w:space="0" w:color="auto"/>
                          </w:divBdr>
                          <w:divsChild>
                            <w:div w:id="39742818">
                              <w:marLeft w:val="0"/>
                              <w:marRight w:val="0"/>
                              <w:marTop w:val="0"/>
                              <w:marBottom w:val="0"/>
                              <w:divBdr>
                                <w:top w:val="none" w:sz="0" w:space="0" w:color="auto"/>
                                <w:left w:val="none" w:sz="0" w:space="0" w:color="auto"/>
                                <w:bottom w:val="none" w:sz="0" w:space="0" w:color="auto"/>
                                <w:right w:val="none" w:sz="0" w:space="0" w:color="auto"/>
                              </w:divBdr>
                              <w:divsChild>
                                <w:div w:id="1432626334">
                                  <w:marLeft w:val="0"/>
                                  <w:marRight w:val="0"/>
                                  <w:marTop w:val="0"/>
                                  <w:marBottom w:val="0"/>
                                  <w:divBdr>
                                    <w:top w:val="none" w:sz="0" w:space="0" w:color="auto"/>
                                    <w:left w:val="none" w:sz="0" w:space="0" w:color="auto"/>
                                    <w:bottom w:val="none" w:sz="0" w:space="0" w:color="auto"/>
                                    <w:right w:val="none" w:sz="0" w:space="0" w:color="auto"/>
                                  </w:divBdr>
                                </w:div>
                                <w:div w:id="1222787485">
                                  <w:marLeft w:val="0"/>
                                  <w:marRight w:val="0"/>
                                  <w:marTop w:val="0"/>
                                  <w:marBottom w:val="0"/>
                                  <w:divBdr>
                                    <w:top w:val="none" w:sz="0" w:space="0" w:color="auto"/>
                                    <w:left w:val="none" w:sz="0" w:space="0" w:color="auto"/>
                                    <w:bottom w:val="none" w:sz="0" w:space="0" w:color="auto"/>
                                    <w:right w:val="none" w:sz="0" w:space="0" w:color="auto"/>
                                  </w:divBdr>
                                </w:div>
                                <w:div w:id="761098947">
                                  <w:marLeft w:val="0"/>
                                  <w:marRight w:val="0"/>
                                  <w:marTop w:val="0"/>
                                  <w:marBottom w:val="0"/>
                                  <w:divBdr>
                                    <w:top w:val="none" w:sz="0" w:space="0" w:color="auto"/>
                                    <w:left w:val="none" w:sz="0" w:space="0" w:color="auto"/>
                                    <w:bottom w:val="none" w:sz="0" w:space="0" w:color="auto"/>
                                    <w:right w:val="none" w:sz="0" w:space="0" w:color="auto"/>
                                  </w:divBdr>
                                </w:div>
                                <w:div w:id="1300300076">
                                  <w:marLeft w:val="0"/>
                                  <w:marRight w:val="0"/>
                                  <w:marTop w:val="0"/>
                                  <w:marBottom w:val="0"/>
                                  <w:divBdr>
                                    <w:top w:val="none" w:sz="0" w:space="0" w:color="auto"/>
                                    <w:left w:val="none" w:sz="0" w:space="0" w:color="auto"/>
                                    <w:bottom w:val="none" w:sz="0" w:space="0" w:color="auto"/>
                                    <w:right w:val="none" w:sz="0" w:space="0" w:color="auto"/>
                                  </w:divBdr>
                                </w:div>
                                <w:div w:id="1832942369">
                                  <w:marLeft w:val="0"/>
                                  <w:marRight w:val="0"/>
                                  <w:marTop w:val="0"/>
                                  <w:marBottom w:val="0"/>
                                  <w:divBdr>
                                    <w:top w:val="none" w:sz="0" w:space="0" w:color="auto"/>
                                    <w:left w:val="none" w:sz="0" w:space="0" w:color="auto"/>
                                    <w:bottom w:val="none" w:sz="0" w:space="0" w:color="auto"/>
                                    <w:right w:val="none" w:sz="0" w:space="0" w:color="auto"/>
                                  </w:divBdr>
                                </w:div>
                                <w:div w:id="1376850198">
                                  <w:marLeft w:val="0"/>
                                  <w:marRight w:val="0"/>
                                  <w:marTop w:val="0"/>
                                  <w:marBottom w:val="0"/>
                                  <w:divBdr>
                                    <w:top w:val="none" w:sz="0" w:space="0" w:color="auto"/>
                                    <w:left w:val="none" w:sz="0" w:space="0" w:color="auto"/>
                                    <w:bottom w:val="none" w:sz="0" w:space="0" w:color="auto"/>
                                    <w:right w:val="none" w:sz="0" w:space="0" w:color="auto"/>
                                  </w:divBdr>
                                </w:div>
                                <w:div w:id="202524289">
                                  <w:marLeft w:val="0"/>
                                  <w:marRight w:val="0"/>
                                  <w:marTop w:val="0"/>
                                  <w:marBottom w:val="0"/>
                                  <w:divBdr>
                                    <w:top w:val="none" w:sz="0" w:space="0" w:color="auto"/>
                                    <w:left w:val="none" w:sz="0" w:space="0" w:color="auto"/>
                                    <w:bottom w:val="none" w:sz="0" w:space="0" w:color="auto"/>
                                    <w:right w:val="none" w:sz="0" w:space="0" w:color="auto"/>
                                  </w:divBdr>
                                </w:div>
                                <w:div w:id="1378313841">
                                  <w:marLeft w:val="0"/>
                                  <w:marRight w:val="0"/>
                                  <w:marTop w:val="0"/>
                                  <w:marBottom w:val="0"/>
                                  <w:divBdr>
                                    <w:top w:val="none" w:sz="0" w:space="0" w:color="auto"/>
                                    <w:left w:val="none" w:sz="0" w:space="0" w:color="auto"/>
                                    <w:bottom w:val="none" w:sz="0" w:space="0" w:color="auto"/>
                                    <w:right w:val="none" w:sz="0" w:space="0" w:color="auto"/>
                                  </w:divBdr>
                                </w:div>
                                <w:div w:id="472019633">
                                  <w:marLeft w:val="0"/>
                                  <w:marRight w:val="0"/>
                                  <w:marTop w:val="0"/>
                                  <w:marBottom w:val="0"/>
                                  <w:divBdr>
                                    <w:top w:val="none" w:sz="0" w:space="0" w:color="auto"/>
                                    <w:left w:val="none" w:sz="0" w:space="0" w:color="auto"/>
                                    <w:bottom w:val="none" w:sz="0" w:space="0" w:color="auto"/>
                                    <w:right w:val="none" w:sz="0" w:space="0" w:color="auto"/>
                                  </w:divBdr>
                                </w:div>
                                <w:div w:id="604117512">
                                  <w:marLeft w:val="0"/>
                                  <w:marRight w:val="0"/>
                                  <w:marTop w:val="0"/>
                                  <w:marBottom w:val="0"/>
                                  <w:divBdr>
                                    <w:top w:val="none" w:sz="0" w:space="0" w:color="auto"/>
                                    <w:left w:val="none" w:sz="0" w:space="0" w:color="auto"/>
                                    <w:bottom w:val="none" w:sz="0" w:space="0" w:color="auto"/>
                                    <w:right w:val="none" w:sz="0" w:space="0" w:color="auto"/>
                                  </w:divBdr>
                                </w:div>
                                <w:div w:id="844058928">
                                  <w:marLeft w:val="0"/>
                                  <w:marRight w:val="0"/>
                                  <w:marTop w:val="0"/>
                                  <w:marBottom w:val="0"/>
                                  <w:divBdr>
                                    <w:top w:val="none" w:sz="0" w:space="0" w:color="auto"/>
                                    <w:left w:val="none" w:sz="0" w:space="0" w:color="auto"/>
                                    <w:bottom w:val="none" w:sz="0" w:space="0" w:color="auto"/>
                                    <w:right w:val="none" w:sz="0" w:space="0" w:color="auto"/>
                                  </w:divBdr>
                                </w:div>
                                <w:div w:id="1261331261">
                                  <w:marLeft w:val="0"/>
                                  <w:marRight w:val="0"/>
                                  <w:marTop w:val="0"/>
                                  <w:marBottom w:val="0"/>
                                  <w:divBdr>
                                    <w:top w:val="none" w:sz="0" w:space="0" w:color="auto"/>
                                    <w:left w:val="none" w:sz="0" w:space="0" w:color="auto"/>
                                    <w:bottom w:val="none" w:sz="0" w:space="0" w:color="auto"/>
                                    <w:right w:val="none" w:sz="0" w:space="0" w:color="auto"/>
                                  </w:divBdr>
                                </w:div>
                                <w:div w:id="1111513949">
                                  <w:marLeft w:val="0"/>
                                  <w:marRight w:val="0"/>
                                  <w:marTop w:val="0"/>
                                  <w:marBottom w:val="0"/>
                                  <w:divBdr>
                                    <w:top w:val="none" w:sz="0" w:space="0" w:color="auto"/>
                                    <w:left w:val="none" w:sz="0" w:space="0" w:color="auto"/>
                                    <w:bottom w:val="none" w:sz="0" w:space="0" w:color="auto"/>
                                    <w:right w:val="none" w:sz="0" w:space="0" w:color="auto"/>
                                  </w:divBdr>
                                </w:div>
                                <w:div w:id="499662590">
                                  <w:marLeft w:val="0"/>
                                  <w:marRight w:val="0"/>
                                  <w:marTop w:val="0"/>
                                  <w:marBottom w:val="0"/>
                                  <w:divBdr>
                                    <w:top w:val="none" w:sz="0" w:space="0" w:color="auto"/>
                                    <w:left w:val="none" w:sz="0" w:space="0" w:color="auto"/>
                                    <w:bottom w:val="none" w:sz="0" w:space="0" w:color="auto"/>
                                    <w:right w:val="none" w:sz="0" w:space="0" w:color="auto"/>
                                  </w:divBdr>
                                </w:div>
                                <w:div w:id="628054033">
                                  <w:marLeft w:val="0"/>
                                  <w:marRight w:val="0"/>
                                  <w:marTop w:val="0"/>
                                  <w:marBottom w:val="0"/>
                                  <w:divBdr>
                                    <w:top w:val="none" w:sz="0" w:space="0" w:color="auto"/>
                                    <w:left w:val="none" w:sz="0" w:space="0" w:color="auto"/>
                                    <w:bottom w:val="none" w:sz="0" w:space="0" w:color="auto"/>
                                    <w:right w:val="none" w:sz="0" w:space="0" w:color="auto"/>
                                  </w:divBdr>
                                </w:div>
                                <w:div w:id="711661625">
                                  <w:marLeft w:val="0"/>
                                  <w:marRight w:val="0"/>
                                  <w:marTop w:val="0"/>
                                  <w:marBottom w:val="0"/>
                                  <w:divBdr>
                                    <w:top w:val="none" w:sz="0" w:space="0" w:color="auto"/>
                                    <w:left w:val="none" w:sz="0" w:space="0" w:color="auto"/>
                                    <w:bottom w:val="none" w:sz="0" w:space="0" w:color="auto"/>
                                    <w:right w:val="none" w:sz="0" w:space="0" w:color="auto"/>
                                  </w:divBdr>
                                </w:div>
                                <w:div w:id="1410924769">
                                  <w:marLeft w:val="0"/>
                                  <w:marRight w:val="0"/>
                                  <w:marTop w:val="0"/>
                                  <w:marBottom w:val="0"/>
                                  <w:divBdr>
                                    <w:top w:val="none" w:sz="0" w:space="0" w:color="auto"/>
                                    <w:left w:val="none" w:sz="0" w:space="0" w:color="auto"/>
                                    <w:bottom w:val="none" w:sz="0" w:space="0" w:color="auto"/>
                                    <w:right w:val="none" w:sz="0" w:space="0" w:color="auto"/>
                                  </w:divBdr>
                                </w:div>
                                <w:div w:id="1106461837">
                                  <w:marLeft w:val="0"/>
                                  <w:marRight w:val="0"/>
                                  <w:marTop w:val="0"/>
                                  <w:marBottom w:val="0"/>
                                  <w:divBdr>
                                    <w:top w:val="none" w:sz="0" w:space="0" w:color="auto"/>
                                    <w:left w:val="none" w:sz="0" w:space="0" w:color="auto"/>
                                    <w:bottom w:val="none" w:sz="0" w:space="0" w:color="auto"/>
                                    <w:right w:val="none" w:sz="0" w:space="0" w:color="auto"/>
                                  </w:divBdr>
                                </w:div>
                                <w:div w:id="1699508510">
                                  <w:marLeft w:val="0"/>
                                  <w:marRight w:val="0"/>
                                  <w:marTop w:val="0"/>
                                  <w:marBottom w:val="0"/>
                                  <w:divBdr>
                                    <w:top w:val="none" w:sz="0" w:space="0" w:color="auto"/>
                                    <w:left w:val="none" w:sz="0" w:space="0" w:color="auto"/>
                                    <w:bottom w:val="none" w:sz="0" w:space="0" w:color="auto"/>
                                    <w:right w:val="none" w:sz="0" w:space="0" w:color="auto"/>
                                  </w:divBdr>
                                </w:div>
                                <w:div w:id="791632451">
                                  <w:marLeft w:val="0"/>
                                  <w:marRight w:val="0"/>
                                  <w:marTop w:val="0"/>
                                  <w:marBottom w:val="0"/>
                                  <w:divBdr>
                                    <w:top w:val="none" w:sz="0" w:space="0" w:color="auto"/>
                                    <w:left w:val="none" w:sz="0" w:space="0" w:color="auto"/>
                                    <w:bottom w:val="none" w:sz="0" w:space="0" w:color="auto"/>
                                    <w:right w:val="none" w:sz="0" w:space="0" w:color="auto"/>
                                  </w:divBdr>
                                </w:div>
                                <w:div w:id="1449541729">
                                  <w:marLeft w:val="0"/>
                                  <w:marRight w:val="0"/>
                                  <w:marTop w:val="0"/>
                                  <w:marBottom w:val="0"/>
                                  <w:divBdr>
                                    <w:top w:val="none" w:sz="0" w:space="0" w:color="auto"/>
                                    <w:left w:val="none" w:sz="0" w:space="0" w:color="auto"/>
                                    <w:bottom w:val="none" w:sz="0" w:space="0" w:color="auto"/>
                                    <w:right w:val="none" w:sz="0" w:space="0" w:color="auto"/>
                                  </w:divBdr>
                                </w:div>
                                <w:div w:id="1700935942">
                                  <w:marLeft w:val="0"/>
                                  <w:marRight w:val="0"/>
                                  <w:marTop w:val="0"/>
                                  <w:marBottom w:val="0"/>
                                  <w:divBdr>
                                    <w:top w:val="none" w:sz="0" w:space="0" w:color="auto"/>
                                    <w:left w:val="none" w:sz="0" w:space="0" w:color="auto"/>
                                    <w:bottom w:val="none" w:sz="0" w:space="0" w:color="auto"/>
                                    <w:right w:val="none" w:sz="0" w:space="0" w:color="auto"/>
                                  </w:divBdr>
                                </w:div>
                                <w:div w:id="715474886">
                                  <w:marLeft w:val="0"/>
                                  <w:marRight w:val="0"/>
                                  <w:marTop w:val="0"/>
                                  <w:marBottom w:val="0"/>
                                  <w:divBdr>
                                    <w:top w:val="none" w:sz="0" w:space="0" w:color="auto"/>
                                    <w:left w:val="none" w:sz="0" w:space="0" w:color="auto"/>
                                    <w:bottom w:val="none" w:sz="0" w:space="0" w:color="auto"/>
                                    <w:right w:val="none" w:sz="0" w:space="0" w:color="auto"/>
                                  </w:divBdr>
                                </w:div>
                                <w:div w:id="41246897">
                                  <w:marLeft w:val="0"/>
                                  <w:marRight w:val="0"/>
                                  <w:marTop w:val="0"/>
                                  <w:marBottom w:val="0"/>
                                  <w:divBdr>
                                    <w:top w:val="none" w:sz="0" w:space="0" w:color="auto"/>
                                    <w:left w:val="none" w:sz="0" w:space="0" w:color="auto"/>
                                    <w:bottom w:val="none" w:sz="0" w:space="0" w:color="auto"/>
                                    <w:right w:val="none" w:sz="0" w:space="0" w:color="auto"/>
                                  </w:divBdr>
                                </w:div>
                                <w:div w:id="152726883">
                                  <w:marLeft w:val="0"/>
                                  <w:marRight w:val="0"/>
                                  <w:marTop w:val="0"/>
                                  <w:marBottom w:val="0"/>
                                  <w:divBdr>
                                    <w:top w:val="none" w:sz="0" w:space="0" w:color="auto"/>
                                    <w:left w:val="none" w:sz="0" w:space="0" w:color="auto"/>
                                    <w:bottom w:val="none" w:sz="0" w:space="0" w:color="auto"/>
                                    <w:right w:val="none" w:sz="0" w:space="0" w:color="auto"/>
                                  </w:divBdr>
                                </w:div>
                                <w:div w:id="109017286">
                                  <w:marLeft w:val="0"/>
                                  <w:marRight w:val="0"/>
                                  <w:marTop w:val="0"/>
                                  <w:marBottom w:val="0"/>
                                  <w:divBdr>
                                    <w:top w:val="none" w:sz="0" w:space="0" w:color="auto"/>
                                    <w:left w:val="none" w:sz="0" w:space="0" w:color="auto"/>
                                    <w:bottom w:val="none" w:sz="0" w:space="0" w:color="auto"/>
                                    <w:right w:val="none" w:sz="0" w:space="0" w:color="auto"/>
                                  </w:divBdr>
                                </w:div>
                                <w:div w:id="1724677947">
                                  <w:marLeft w:val="0"/>
                                  <w:marRight w:val="0"/>
                                  <w:marTop w:val="0"/>
                                  <w:marBottom w:val="0"/>
                                  <w:divBdr>
                                    <w:top w:val="none" w:sz="0" w:space="0" w:color="auto"/>
                                    <w:left w:val="none" w:sz="0" w:space="0" w:color="auto"/>
                                    <w:bottom w:val="none" w:sz="0" w:space="0" w:color="auto"/>
                                    <w:right w:val="none" w:sz="0" w:space="0" w:color="auto"/>
                                  </w:divBdr>
                                </w:div>
                                <w:div w:id="494761185">
                                  <w:marLeft w:val="0"/>
                                  <w:marRight w:val="0"/>
                                  <w:marTop w:val="0"/>
                                  <w:marBottom w:val="0"/>
                                  <w:divBdr>
                                    <w:top w:val="none" w:sz="0" w:space="0" w:color="auto"/>
                                    <w:left w:val="none" w:sz="0" w:space="0" w:color="auto"/>
                                    <w:bottom w:val="none" w:sz="0" w:space="0" w:color="auto"/>
                                    <w:right w:val="none" w:sz="0" w:space="0" w:color="auto"/>
                                  </w:divBdr>
                                </w:div>
                                <w:div w:id="2128310440">
                                  <w:marLeft w:val="0"/>
                                  <w:marRight w:val="0"/>
                                  <w:marTop w:val="0"/>
                                  <w:marBottom w:val="0"/>
                                  <w:divBdr>
                                    <w:top w:val="none" w:sz="0" w:space="0" w:color="auto"/>
                                    <w:left w:val="none" w:sz="0" w:space="0" w:color="auto"/>
                                    <w:bottom w:val="none" w:sz="0" w:space="0" w:color="auto"/>
                                    <w:right w:val="none" w:sz="0" w:space="0" w:color="auto"/>
                                  </w:divBdr>
                                </w:div>
                                <w:div w:id="38676885">
                                  <w:marLeft w:val="0"/>
                                  <w:marRight w:val="0"/>
                                  <w:marTop w:val="0"/>
                                  <w:marBottom w:val="0"/>
                                  <w:divBdr>
                                    <w:top w:val="none" w:sz="0" w:space="0" w:color="auto"/>
                                    <w:left w:val="none" w:sz="0" w:space="0" w:color="auto"/>
                                    <w:bottom w:val="none" w:sz="0" w:space="0" w:color="auto"/>
                                    <w:right w:val="none" w:sz="0" w:space="0" w:color="auto"/>
                                  </w:divBdr>
                                </w:div>
                                <w:div w:id="1447652823">
                                  <w:marLeft w:val="0"/>
                                  <w:marRight w:val="0"/>
                                  <w:marTop w:val="0"/>
                                  <w:marBottom w:val="0"/>
                                  <w:divBdr>
                                    <w:top w:val="none" w:sz="0" w:space="0" w:color="auto"/>
                                    <w:left w:val="none" w:sz="0" w:space="0" w:color="auto"/>
                                    <w:bottom w:val="none" w:sz="0" w:space="0" w:color="auto"/>
                                    <w:right w:val="none" w:sz="0" w:space="0" w:color="auto"/>
                                  </w:divBdr>
                                </w:div>
                                <w:div w:id="1740201662">
                                  <w:marLeft w:val="0"/>
                                  <w:marRight w:val="0"/>
                                  <w:marTop w:val="0"/>
                                  <w:marBottom w:val="0"/>
                                  <w:divBdr>
                                    <w:top w:val="none" w:sz="0" w:space="0" w:color="auto"/>
                                    <w:left w:val="none" w:sz="0" w:space="0" w:color="auto"/>
                                    <w:bottom w:val="none" w:sz="0" w:space="0" w:color="auto"/>
                                    <w:right w:val="none" w:sz="0" w:space="0" w:color="auto"/>
                                  </w:divBdr>
                                </w:div>
                                <w:div w:id="1103844221">
                                  <w:marLeft w:val="0"/>
                                  <w:marRight w:val="0"/>
                                  <w:marTop w:val="0"/>
                                  <w:marBottom w:val="0"/>
                                  <w:divBdr>
                                    <w:top w:val="none" w:sz="0" w:space="0" w:color="auto"/>
                                    <w:left w:val="none" w:sz="0" w:space="0" w:color="auto"/>
                                    <w:bottom w:val="none" w:sz="0" w:space="0" w:color="auto"/>
                                    <w:right w:val="none" w:sz="0" w:space="0" w:color="auto"/>
                                  </w:divBdr>
                                </w:div>
                                <w:div w:id="2121215793">
                                  <w:marLeft w:val="0"/>
                                  <w:marRight w:val="0"/>
                                  <w:marTop w:val="0"/>
                                  <w:marBottom w:val="0"/>
                                  <w:divBdr>
                                    <w:top w:val="none" w:sz="0" w:space="0" w:color="auto"/>
                                    <w:left w:val="none" w:sz="0" w:space="0" w:color="auto"/>
                                    <w:bottom w:val="none" w:sz="0" w:space="0" w:color="auto"/>
                                    <w:right w:val="none" w:sz="0" w:space="0" w:color="auto"/>
                                  </w:divBdr>
                                </w:div>
                                <w:div w:id="2080668820">
                                  <w:marLeft w:val="0"/>
                                  <w:marRight w:val="0"/>
                                  <w:marTop w:val="0"/>
                                  <w:marBottom w:val="0"/>
                                  <w:divBdr>
                                    <w:top w:val="none" w:sz="0" w:space="0" w:color="auto"/>
                                    <w:left w:val="none" w:sz="0" w:space="0" w:color="auto"/>
                                    <w:bottom w:val="none" w:sz="0" w:space="0" w:color="auto"/>
                                    <w:right w:val="none" w:sz="0" w:space="0" w:color="auto"/>
                                  </w:divBdr>
                                </w:div>
                                <w:div w:id="1723014338">
                                  <w:marLeft w:val="0"/>
                                  <w:marRight w:val="0"/>
                                  <w:marTop w:val="0"/>
                                  <w:marBottom w:val="0"/>
                                  <w:divBdr>
                                    <w:top w:val="none" w:sz="0" w:space="0" w:color="auto"/>
                                    <w:left w:val="none" w:sz="0" w:space="0" w:color="auto"/>
                                    <w:bottom w:val="none" w:sz="0" w:space="0" w:color="auto"/>
                                    <w:right w:val="none" w:sz="0" w:space="0" w:color="auto"/>
                                  </w:divBdr>
                                </w:div>
                                <w:div w:id="1203595298">
                                  <w:marLeft w:val="0"/>
                                  <w:marRight w:val="0"/>
                                  <w:marTop w:val="0"/>
                                  <w:marBottom w:val="0"/>
                                  <w:divBdr>
                                    <w:top w:val="none" w:sz="0" w:space="0" w:color="auto"/>
                                    <w:left w:val="none" w:sz="0" w:space="0" w:color="auto"/>
                                    <w:bottom w:val="none" w:sz="0" w:space="0" w:color="auto"/>
                                    <w:right w:val="none" w:sz="0" w:space="0" w:color="auto"/>
                                  </w:divBdr>
                                </w:div>
                                <w:div w:id="429280742">
                                  <w:marLeft w:val="0"/>
                                  <w:marRight w:val="0"/>
                                  <w:marTop w:val="0"/>
                                  <w:marBottom w:val="0"/>
                                  <w:divBdr>
                                    <w:top w:val="none" w:sz="0" w:space="0" w:color="auto"/>
                                    <w:left w:val="none" w:sz="0" w:space="0" w:color="auto"/>
                                    <w:bottom w:val="none" w:sz="0" w:space="0" w:color="auto"/>
                                    <w:right w:val="none" w:sz="0" w:space="0" w:color="auto"/>
                                  </w:divBdr>
                                </w:div>
                                <w:div w:id="279262319">
                                  <w:marLeft w:val="0"/>
                                  <w:marRight w:val="0"/>
                                  <w:marTop w:val="0"/>
                                  <w:marBottom w:val="0"/>
                                  <w:divBdr>
                                    <w:top w:val="none" w:sz="0" w:space="0" w:color="auto"/>
                                    <w:left w:val="none" w:sz="0" w:space="0" w:color="auto"/>
                                    <w:bottom w:val="none" w:sz="0" w:space="0" w:color="auto"/>
                                    <w:right w:val="none" w:sz="0" w:space="0" w:color="auto"/>
                                  </w:divBdr>
                                </w:div>
                                <w:div w:id="565840467">
                                  <w:marLeft w:val="0"/>
                                  <w:marRight w:val="0"/>
                                  <w:marTop w:val="0"/>
                                  <w:marBottom w:val="0"/>
                                  <w:divBdr>
                                    <w:top w:val="none" w:sz="0" w:space="0" w:color="auto"/>
                                    <w:left w:val="none" w:sz="0" w:space="0" w:color="auto"/>
                                    <w:bottom w:val="none" w:sz="0" w:space="0" w:color="auto"/>
                                    <w:right w:val="none" w:sz="0" w:space="0" w:color="auto"/>
                                  </w:divBdr>
                                </w:div>
                                <w:div w:id="634062439">
                                  <w:marLeft w:val="0"/>
                                  <w:marRight w:val="0"/>
                                  <w:marTop w:val="0"/>
                                  <w:marBottom w:val="0"/>
                                  <w:divBdr>
                                    <w:top w:val="none" w:sz="0" w:space="0" w:color="auto"/>
                                    <w:left w:val="none" w:sz="0" w:space="0" w:color="auto"/>
                                    <w:bottom w:val="none" w:sz="0" w:space="0" w:color="auto"/>
                                    <w:right w:val="none" w:sz="0" w:space="0" w:color="auto"/>
                                  </w:divBdr>
                                </w:div>
                                <w:div w:id="492988951">
                                  <w:marLeft w:val="0"/>
                                  <w:marRight w:val="0"/>
                                  <w:marTop w:val="0"/>
                                  <w:marBottom w:val="0"/>
                                  <w:divBdr>
                                    <w:top w:val="none" w:sz="0" w:space="0" w:color="auto"/>
                                    <w:left w:val="none" w:sz="0" w:space="0" w:color="auto"/>
                                    <w:bottom w:val="none" w:sz="0" w:space="0" w:color="auto"/>
                                    <w:right w:val="none" w:sz="0" w:space="0" w:color="auto"/>
                                  </w:divBdr>
                                </w:div>
                                <w:div w:id="599486025">
                                  <w:marLeft w:val="0"/>
                                  <w:marRight w:val="0"/>
                                  <w:marTop w:val="0"/>
                                  <w:marBottom w:val="0"/>
                                  <w:divBdr>
                                    <w:top w:val="none" w:sz="0" w:space="0" w:color="auto"/>
                                    <w:left w:val="none" w:sz="0" w:space="0" w:color="auto"/>
                                    <w:bottom w:val="none" w:sz="0" w:space="0" w:color="auto"/>
                                    <w:right w:val="none" w:sz="0" w:space="0" w:color="auto"/>
                                  </w:divBdr>
                                </w:div>
                                <w:div w:id="2097095958">
                                  <w:marLeft w:val="0"/>
                                  <w:marRight w:val="0"/>
                                  <w:marTop w:val="0"/>
                                  <w:marBottom w:val="0"/>
                                  <w:divBdr>
                                    <w:top w:val="none" w:sz="0" w:space="0" w:color="auto"/>
                                    <w:left w:val="none" w:sz="0" w:space="0" w:color="auto"/>
                                    <w:bottom w:val="none" w:sz="0" w:space="0" w:color="auto"/>
                                    <w:right w:val="none" w:sz="0" w:space="0" w:color="auto"/>
                                  </w:divBdr>
                                </w:div>
                                <w:div w:id="1423069563">
                                  <w:marLeft w:val="0"/>
                                  <w:marRight w:val="0"/>
                                  <w:marTop w:val="0"/>
                                  <w:marBottom w:val="0"/>
                                  <w:divBdr>
                                    <w:top w:val="none" w:sz="0" w:space="0" w:color="auto"/>
                                    <w:left w:val="none" w:sz="0" w:space="0" w:color="auto"/>
                                    <w:bottom w:val="none" w:sz="0" w:space="0" w:color="auto"/>
                                    <w:right w:val="none" w:sz="0" w:space="0" w:color="auto"/>
                                  </w:divBdr>
                                </w:div>
                                <w:div w:id="1955405436">
                                  <w:marLeft w:val="0"/>
                                  <w:marRight w:val="0"/>
                                  <w:marTop w:val="0"/>
                                  <w:marBottom w:val="0"/>
                                  <w:divBdr>
                                    <w:top w:val="none" w:sz="0" w:space="0" w:color="auto"/>
                                    <w:left w:val="none" w:sz="0" w:space="0" w:color="auto"/>
                                    <w:bottom w:val="none" w:sz="0" w:space="0" w:color="auto"/>
                                    <w:right w:val="none" w:sz="0" w:space="0" w:color="auto"/>
                                  </w:divBdr>
                                </w:div>
                                <w:div w:id="2129010383">
                                  <w:marLeft w:val="0"/>
                                  <w:marRight w:val="0"/>
                                  <w:marTop w:val="0"/>
                                  <w:marBottom w:val="0"/>
                                  <w:divBdr>
                                    <w:top w:val="none" w:sz="0" w:space="0" w:color="auto"/>
                                    <w:left w:val="none" w:sz="0" w:space="0" w:color="auto"/>
                                    <w:bottom w:val="none" w:sz="0" w:space="0" w:color="auto"/>
                                    <w:right w:val="none" w:sz="0" w:space="0" w:color="auto"/>
                                  </w:divBdr>
                                </w:div>
                                <w:div w:id="2020966270">
                                  <w:marLeft w:val="0"/>
                                  <w:marRight w:val="0"/>
                                  <w:marTop w:val="0"/>
                                  <w:marBottom w:val="0"/>
                                  <w:divBdr>
                                    <w:top w:val="none" w:sz="0" w:space="0" w:color="auto"/>
                                    <w:left w:val="none" w:sz="0" w:space="0" w:color="auto"/>
                                    <w:bottom w:val="none" w:sz="0" w:space="0" w:color="auto"/>
                                    <w:right w:val="none" w:sz="0" w:space="0" w:color="auto"/>
                                  </w:divBdr>
                                </w:div>
                                <w:div w:id="563371702">
                                  <w:marLeft w:val="0"/>
                                  <w:marRight w:val="0"/>
                                  <w:marTop w:val="0"/>
                                  <w:marBottom w:val="0"/>
                                  <w:divBdr>
                                    <w:top w:val="none" w:sz="0" w:space="0" w:color="auto"/>
                                    <w:left w:val="none" w:sz="0" w:space="0" w:color="auto"/>
                                    <w:bottom w:val="none" w:sz="0" w:space="0" w:color="auto"/>
                                    <w:right w:val="none" w:sz="0" w:space="0" w:color="auto"/>
                                  </w:divBdr>
                                </w:div>
                                <w:div w:id="133915196">
                                  <w:marLeft w:val="0"/>
                                  <w:marRight w:val="0"/>
                                  <w:marTop w:val="0"/>
                                  <w:marBottom w:val="0"/>
                                  <w:divBdr>
                                    <w:top w:val="none" w:sz="0" w:space="0" w:color="auto"/>
                                    <w:left w:val="none" w:sz="0" w:space="0" w:color="auto"/>
                                    <w:bottom w:val="none" w:sz="0" w:space="0" w:color="auto"/>
                                    <w:right w:val="none" w:sz="0" w:space="0" w:color="auto"/>
                                  </w:divBdr>
                                </w:div>
                                <w:div w:id="747581695">
                                  <w:marLeft w:val="0"/>
                                  <w:marRight w:val="0"/>
                                  <w:marTop w:val="0"/>
                                  <w:marBottom w:val="0"/>
                                  <w:divBdr>
                                    <w:top w:val="none" w:sz="0" w:space="0" w:color="auto"/>
                                    <w:left w:val="none" w:sz="0" w:space="0" w:color="auto"/>
                                    <w:bottom w:val="none" w:sz="0" w:space="0" w:color="auto"/>
                                    <w:right w:val="none" w:sz="0" w:space="0" w:color="auto"/>
                                  </w:divBdr>
                                </w:div>
                                <w:div w:id="1012495791">
                                  <w:marLeft w:val="0"/>
                                  <w:marRight w:val="0"/>
                                  <w:marTop w:val="0"/>
                                  <w:marBottom w:val="0"/>
                                  <w:divBdr>
                                    <w:top w:val="none" w:sz="0" w:space="0" w:color="auto"/>
                                    <w:left w:val="none" w:sz="0" w:space="0" w:color="auto"/>
                                    <w:bottom w:val="none" w:sz="0" w:space="0" w:color="auto"/>
                                    <w:right w:val="none" w:sz="0" w:space="0" w:color="auto"/>
                                  </w:divBdr>
                                </w:div>
                                <w:div w:id="1848666203">
                                  <w:marLeft w:val="0"/>
                                  <w:marRight w:val="0"/>
                                  <w:marTop w:val="0"/>
                                  <w:marBottom w:val="0"/>
                                  <w:divBdr>
                                    <w:top w:val="none" w:sz="0" w:space="0" w:color="auto"/>
                                    <w:left w:val="none" w:sz="0" w:space="0" w:color="auto"/>
                                    <w:bottom w:val="none" w:sz="0" w:space="0" w:color="auto"/>
                                    <w:right w:val="none" w:sz="0" w:space="0" w:color="auto"/>
                                  </w:divBdr>
                                </w:div>
                                <w:div w:id="5694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00501327">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33215842">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02369871">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31386510">
      <w:bodyDiv w:val="1"/>
      <w:marLeft w:val="0"/>
      <w:marRight w:val="0"/>
      <w:marTop w:val="0"/>
      <w:marBottom w:val="0"/>
      <w:divBdr>
        <w:top w:val="none" w:sz="0" w:space="0" w:color="auto"/>
        <w:left w:val="none" w:sz="0" w:space="0" w:color="auto"/>
        <w:bottom w:val="none" w:sz="0" w:space="0" w:color="auto"/>
        <w:right w:val="none" w:sz="0" w:space="0" w:color="auto"/>
      </w:divBdr>
    </w:div>
    <w:div w:id="1435515857">
      <w:bodyDiv w:val="1"/>
      <w:marLeft w:val="0"/>
      <w:marRight w:val="0"/>
      <w:marTop w:val="0"/>
      <w:marBottom w:val="0"/>
      <w:divBdr>
        <w:top w:val="none" w:sz="0" w:space="0" w:color="auto"/>
        <w:left w:val="none" w:sz="0" w:space="0" w:color="auto"/>
        <w:bottom w:val="none" w:sz="0" w:space="0" w:color="auto"/>
        <w:right w:val="none" w:sz="0" w:space="0" w:color="auto"/>
      </w:divBdr>
    </w:div>
    <w:div w:id="1438481025">
      <w:bodyDiv w:val="1"/>
      <w:marLeft w:val="0"/>
      <w:marRight w:val="0"/>
      <w:marTop w:val="0"/>
      <w:marBottom w:val="0"/>
      <w:divBdr>
        <w:top w:val="none" w:sz="0" w:space="0" w:color="auto"/>
        <w:left w:val="none" w:sz="0" w:space="0" w:color="auto"/>
        <w:bottom w:val="none" w:sz="0" w:space="0" w:color="auto"/>
        <w:right w:val="none" w:sz="0" w:space="0" w:color="auto"/>
      </w:divBdr>
    </w:div>
    <w:div w:id="1448967487">
      <w:bodyDiv w:val="1"/>
      <w:marLeft w:val="0"/>
      <w:marRight w:val="0"/>
      <w:marTop w:val="0"/>
      <w:marBottom w:val="0"/>
      <w:divBdr>
        <w:top w:val="none" w:sz="0" w:space="0" w:color="auto"/>
        <w:left w:val="none" w:sz="0" w:space="0" w:color="auto"/>
        <w:bottom w:val="none" w:sz="0" w:space="0" w:color="auto"/>
        <w:right w:val="none" w:sz="0" w:space="0" w:color="auto"/>
      </w:divBdr>
    </w:div>
    <w:div w:id="1452090794">
      <w:bodyDiv w:val="1"/>
      <w:marLeft w:val="0"/>
      <w:marRight w:val="0"/>
      <w:marTop w:val="0"/>
      <w:marBottom w:val="0"/>
      <w:divBdr>
        <w:top w:val="none" w:sz="0" w:space="0" w:color="auto"/>
        <w:left w:val="none" w:sz="0" w:space="0" w:color="auto"/>
        <w:bottom w:val="none" w:sz="0" w:space="0" w:color="auto"/>
        <w:right w:val="none" w:sz="0" w:space="0" w:color="auto"/>
      </w:divBdr>
    </w:div>
    <w:div w:id="1479029901">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486122511">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41623425">
      <w:bodyDiv w:val="1"/>
      <w:marLeft w:val="0"/>
      <w:marRight w:val="0"/>
      <w:marTop w:val="0"/>
      <w:marBottom w:val="0"/>
      <w:divBdr>
        <w:top w:val="none" w:sz="0" w:space="0" w:color="auto"/>
        <w:left w:val="none" w:sz="0" w:space="0" w:color="auto"/>
        <w:bottom w:val="none" w:sz="0" w:space="0" w:color="auto"/>
        <w:right w:val="none" w:sz="0" w:space="0" w:color="auto"/>
      </w:divBdr>
    </w:div>
    <w:div w:id="1545823405">
      <w:bodyDiv w:val="1"/>
      <w:marLeft w:val="0"/>
      <w:marRight w:val="0"/>
      <w:marTop w:val="0"/>
      <w:marBottom w:val="0"/>
      <w:divBdr>
        <w:top w:val="none" w:sz="0" w:space="0" w:color="auto"/>
        <w:left w:val="none" w:sz="0" w:space="0" w:color="auto"/>
        <w:bottom w:val="none" w:sz="0" w:space="0" w:color="auto"/>
        <w:right w:val="none" w:sz="0" w:space="0" w:color="auto"/>
      </w:divBdr>
    </w:div>
    <w:div w:id="1546065941">
      <w:bodyDiv w:val="1"/>
      <w:marLeft w:val="0"/>
      <w:marRight w:val="0"/>
      <w:marTop w:val="0"/>
      <w:marBottom w:val="0"/>
      <w:divBdr>
        <w:top w:val="none" w:sz="0" w:space="0" w:color="auto"/>
        <w:left w:val="none" w:sz="0" w:space="0" w:color="auto"/>
        <w:bottom w:val="none" w:sz="0" w:space="0" w:color="auto"/>
        <w:right w:val="none" w:sz="0" w:space="0" w:color="auto"/>
      </w:divBdr>
    </w:div>
    <w:div w:id="1554999169">
      <w:bodyDiv w:val="1"/>
      <w:marLeft w:val="0"/>
      <w:marRight w:val="0"/>
      <w:marTop w:val="0"/>
      <w:marBottom w:val="0"/>
      <w:divBdr>
        <w:top w:val="none" w:sz="0" w:space="0" w:color="auto"/>
        <w:left w:val="none" w:sz="0" w:space="0" w:color="auto"/>
        <w:bottom w:val="none" w:sz="0" w:space="0" w:color="auto"/>
        <w:right w:val="none" w:sz="0" w:space="0" w:color="auto"/>
      </w:divBdr>
    </w:div>
    <w:div w:id="1557357698">
      <w:bodyDiv w:val="1"/>
      <w:marLeft w:val="0"/>
      <w:marRight w:val="0"/>
      <w:marTop w:val="0"/>
      <w:marBottom w:val="0"/>
      <w:divBdr>
        <w:top w:val="none" w:sz="0" w:space="0" w:color="auto"/>
        <w:left w:val="none" w:sz="0" w:space="0" w:color="auto"/>
        <w:bottom w:val="none" w:sz="0" w:space="0" w:color="auto"/>
        <w:right w:val="none" w:sz="0" w:space="0" w:color="auto"/>
      </w:divBdr>
    </w:div>
    <w:div w:id="1559171330">
      <w:bodyDiv w:val="1"/>
      <w:marLeft w:val="0"/>
      <w:marRight w:val="0"/>
      <w:marTop w:val="0"/>
      <w:marBottom w:val="0"/>
      <w:divBdr>
        <w:top w:val="none" w:sz="0" w:space="0" w:color="auto"/>
        <w:left w:val="none" w:sz="0" w:space="0" w:color="auto"/>
        <w:bottom w:val="none" w:sz="0" w:space="0" w:color="auto"/>
        <w:right w:val="none" w:sz="0" w:space="0" w:color="auto"/>
      </w:divBdr>
    </w:div>
    <w:div w:id="1562476207">
      <w:bodyDiv w:val="1"/>
      <w:marLeft w:val="0"/>
      <w:marRight w:val="0"/>
      <w:marTop w:val="0"/>
      <w:marBottom w:val="0"/>
      <w:divBdr>
        <w:top w:val="none" w:sz="0" w:space="0" w:color="auto"/>
        <w:left w:val="none" w:sz="0" w:space="0" w:color="auto"/>
        <w:bottom w:val="none" w:sz="0" w:space="0" w:color="auto"/>
        <w:right w:val="none" w:sz="0" w:space="0" w:color="auto"/>
      </w:divBdr>
    </w:div>
    <w:div w:id="1578401313">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12474792">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34553872">
      <w:bodyDiv w:val="1"/>
      <w:marLeft w:val="0"/>
      <w:marRight w:val="0"/>
      <w:marTop w:val="0"/>
      <w:marBottom w:val="0"/>
      <w:divBdr>
        <w:top w:val="none" w:sz="0" w:space="0" w:color="auto"/>
        <w:left w:val="none" w:sz="0" w:space="0" w:color="auto"/>
        <w:bottom w:val="none" w:sz="0" w:space="0" w:color="auto"/>
        <w:right w:val="none" w:sz="0" w:space="0" w:color="auto"/>
      </w:divBdr>
    </w:div>
    <w:div w:id="1647662521">
      <w:bodyDiv w:val="1"/>
      <w:marLeft w:val="0"/>
      <w:marRight w:val="0"/>
      <w:marTop w:val="0"/>
      <w:marBottom w:val="0"/>
      <w:divBdr>
        <w:top w:val="none" w:sz="0" w:space="0" w:color="auto"/>
        <w:left w:val="none" w:sz="0" w:space="0" w:color="auto"/>
        <w:bottom w:val="none" w:sz="0" w:space="0" w:color="auto"/>
        <w:right w:val="none" w:sz="0" w:space="0" w:color="auto"/>
      </w:divBdr>
    </w:div>
    <w:div w:id="1647776793">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62542054">
      <w:bodyDiv w:val="1"/>
      <w:marLeft w:val="0"/>
      <w:marRight w:val="0"/>
      <w:marTop w:val="0"/>
      <w:marBottom w:val="0"/>
      <w:divBdr>
        <w:top w:val="none" w:sz="0" w:space="0" w:color="auto"/>
        <w:left w:val="none" w:sz="0" w:space="0" w:color="auto"/>
        <w:bottom w:val="none" w:sz="0" w:space="0" w:color="auto"/>
        <w:right w:val="none" w:sz="0" w:space="0" w:color="auto"/>
      </w:divBdr>
    </w:div>
    <w:div w:id="1694841577">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2125575">
      <w:bodyDiv w:val="1"/>
      <w:marLeft w:val="0"/>
      <w:marRight w:val="0"/>
      <w:marTop w:val="0"/>
      <w:marBottom w:val="0"/>
      <w:divBdr>
        <w:top w:val="none" w:sz="0" w:space="0" w:color="auto"/>
        <w:left w:val="none" w:sz="0" w:space="0" w:color="auto"/>
        <w:bottom w:val="none" w:sz="0" w:space="0" w:color="auto"/>
        <w:right w:val="none" w:sz="0" w:space="0" w:color="auto"/>
      </w:divBdr>
    </w:div>
    <w:div w:id="1702899610">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48266479">
      <w:bodyDiv w:val="1"/>
      <w:marLeft w:val="0"/>
      <w:marRight w:val="0"/>
      <w:marTop w:val="0"/>
      <w:marBottom w:val="0"/>
      <w:divBdr>
        <w:top w:val="none" w:sz="0" w:space="0" w:color="auto"/>
        <w:left w:val="none" w:sz="0" w:space="0" w:color="auto"/>
        <w:bottom w:val="none" w:sz="0" w:space="0" w:color="auto"/>
        <w:right w:val="none" w:sz="0" w:space="0" w:color="auto"/>
      </w:divBdr>
    </w:div>
    <w:div w:id="1771656134">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84761018">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05149685">
      <w:bodyDiv w:val="1"/>
      <w:marLeft w:val="0"/>
      <w:marRight w:val="0"/>
      <w:marTop w:val="0"/>
      <w:marBottom w:val="0"/>
      <w:divBdr>
        <w:top w:val="none" w:sz="0" w:space="0" w:color="auto"/>
        <w:left w:val="none" w:sz="0" w:space="0" w:color="auto"/>
        <w:bottom w:val="none" w:sz="0" w:space="0" w:color="auto"/>
        <w:right w:val="none" w:sz="0" w:space="0" w:color="auto"/>
      </w:divBdr>
    </w:div>
    <w:div w:id="18178420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834486864">
      <w:bodyDiv w:val="1"/>
      <w:marLeft w:val="0"/>
      <w:marRight w:val="0"/>
      <w:marTop w:val="0"/>
      <w:marBottom w:val="0"/>
      <w:divBdr>
        <w:top w:val="none" w:sz="0" w:space="0" w:color="auto"/>
        <w:left w:val="none" w:sz="0" w:space="0" w:color="auto"/>
        <w:bottom w:val="none" w:sz="0" w:space="0" w:color="auto"/>
        <w:right w:val="none" w:sz="0" w:space="0" w:color="auto"/>
      </w:divBdr>
    </w:div>
    <w:div w:id="1834949905">
      <w:bodyDiv w:val="1"/>
      <w:marLeft w:val="0"/>
      <w:marRight w:val="0"/>
      <w:marTop w:val="0"/>
      <w:marBottom w:val="0"/>
      <w:divBdr>
        <w:top w:val="none" w:sz="0" w:space="0" w:color="auto"/>
        <w:left w:val="none" w:sz="0" w:space="0" w:color="auto"/>
        <w:bottom w:val="none" w:sz="0" w:space="0" w:color="auto"/>
        <w:right w:val="none" w:sz="0" w:space="0" w:color="auto"/>
      </w:divBdr>
    </w:div>
    <w:div w:id="1838224159">
      <w:bodyDiv w:val="1"/>
      <w:marLeft w:val="0"/>
      <w:marRight w:val="0"/>
      <w:marTop w:val="0"/>
      <w:marBottom w:val="0"/>
      <w:divBdr>
        <w:top w:val="none" w:sz="0" w:space="0" w:color="auto"/>
        <w:left w:val="none" w:sz="0" w:space="0" w:color="auto"/>
        <w:bottom w:val="none" w:sz="0" w:space="0" w:color="auto"/>
        <w:right w:val="none" w:sz="0" w:space="0" w:color="auto"/>
      </w:divBdr>
    </w:div>
    <w:div w:id="1841693439">
      <w:bodyDiv w:val="1"/>
      <w:marLeft w:val="0"/>
      <w:marRight w:val="0"/>
      <w:marTop w:val="0"/>
      <w:marBottom w:val="0"/>
      <w:divBdr>
        <w:top w:val="none" w:sz="0" w:space="0" w:color="auto"/>
        <w:left w:val="none" w:sz="0" w:space="0" w:color="auto"/>
        <w:bottom w:val="none" w:sz="0" w:space="0" w:color="auto"/>
        <w:right w:val="none" w:sz="0" w:space="0" w:color="auto"/>
      </w:divBdr>
    </w:div>
    <w:div w:id="1842238491">
      <w:bodyDiv w:val="1"/>
      <w:marLeft w:val="0"/>
      <w:marRight w:val="0"/>
      <w:marTop w:val="0"/>
      <w:marBottom w:val="0"/>
      <w:divBdr>
        <w:top w:val="none" w:sz="0" w:space="0" w:color="auto"/>
        <w:left w:val="none" w:sz="0" w:space="0" w:color="auto"/>
        <w:bottom w:val="none" w:sz="0" w:space="0" w:color="auto"/>
        <w:right w:val="none" w:sz="0" w:space="0" w:color="auto"/>
      </w:divBdr>
    </w:div>
    <w:div w:id="1845894038">
      <w:bodyDiv w:val="1"/>
      <w:marLeft w:val="0"/>
      <w:marRight w:val="0"/>
      <w:marTop w:val="0"/>
      <w:marBottom w:val="0"/>
      <w:divBdr>
        <w:top w:val="none" w:sz="0" w:space="0" w:color="auto"/>
        <w:left w:val="none" w:sz="0" w:space="0" w:color="auto"/>
        <w:bottom w:val="none" w:sz="0" w:space="0" w:color="auto"/>
        <w:right w:val="none" w:sz="0" w:space="0" w:color="auto"/>
      </w:divBdr>
    </w:div>
    <w:div w:id="1847937947">
      <w:bodyDiv w:val="1"/>
      <w:marLeft w:val="0"/>
      <w:marRight w:val="0"/>
      <w:marTop w:val="0"/>
      <w:marBottom w:val="0"/>
      <w:divBdr>
        <w:top w:val="none" w:sz="0" w:space="0" w:color="auto"/>
        <w:left w:val="none" w:sz="0" w:space="0" w:color="auto"/>
        <w:bottom w:val="none" w:sz="0" w:space="0" w:color="auto"/>
        <w:right w:val="none" w:sz="0" w:space="0" w:color="auto"/>
      </w:divBdr>
    </w:div>
    <w:div w:id="1895653042">
      <w:bodyDiv w:val="1"/>
      <w:marLeft w:val="0"/>
      <w:marRight w:val="0"/>
      <w:marTop w:val="0"/>
      <w:marBottom w:val="0"/>
      <w:divBdr>
        <w:top w:val="none" w:sz="0" w:space="0" w:color="auto"/>
        <w:left w:val="none" w:sz="0" w:space="0" w:color="auto"/>
        <w:bottom w:val="none" w:sz="0" w:space="0" w:color="auto"/>
        <w:right w:val="none" w:sz="0" w:space="0" w:color="auto"/>
      </w:divBdr>
      <w:divsChild>
        <w:div w:id="2067484003">
          <w:marLeft w:val="0"/>
          <w:marRight w:val="0"/>
          <w:marTop w:val="0"/>
          <w:marBottom w:val="0"/>
          <w:divBdr>
            <w:top w:val="none" w:sz="0" w:space="0" w:color="auto"/>
            <w:left w:val="none" w:sz="0" w:space="0" w:color="auto"/>
            <w:bottom w:val="none" w:sz="0" w:space="0" w:color="auto"/>
            <w:right w:val="none" w:sz="0" w:space="0" w:color="auto"/>
          </w:divBdr>
          <w:divsChild>
            <w:div w:id="97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8791">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36209565">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62615718">
      <w:bodyDiv w:val="1"/>
      <w:marLeft w:val="0"/>
      <w:marRight w:val="0"/>
      <w:marTop w:val="0"/>
      <w:marBottom w:val="0"/>
      <w:divBdr>
        <w:top w:val="none" w:sz="0" w:space="0" w:color="auto"/>
        <w:left w:val="none" w:sz="0" w:space="0" w:color="auto"/>
        <w:bottom w:val="none" w:sz="0" w:space="0" w:color="auto"/>
        <w:right w:val="none" w:sz="0" w:space="0" w:color="auto"/>
      </w:divBdr>
    </w:div>
    <w:div w:id="1964000627">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4870002">
      <w:bodyDiv w:val="1"/>
      <w:marLeft w:val="0"/>
      <w:marRight w:val="0"/>
      <w:marTop w:val="0"/>
      <w:marBottom w:val="0"/>
      <w:divBdr>
        <w:top w:val="none" w:sz="0" w:space="0" w:color="auto"/>
        <w:left w:val="none" w:sz="0" w:space="0" w:color="auto"/>
        <w:bottom w:val="none" w:sz="0" w:space="0" w:color="auto"/>
        <w:right w:val="none" w:sz="0" w:space="0" w:color="auto"/>
      </w:divBdr>
    </w:div>
    <w:div w:id="1992321325">
      <w:bodyDiv w:val="1"/>
      <w:marLeft w:val="0"/>
      <w:marRight w:val="0"/>
      <w:marTop w:val="0"/>
      <w:marBottom w:val="0"/>
      <w:divBdr>
        <w:top w:val="none" w:sz="0" w:space="0" w:color="auto"/>
        <w:left w:val="none" w:sz="0" w:space="0" w:color="auto"/>
        <w:bottom w:val="none" w:sz="0" w:space="0" w:color="auto"/>
        <w:right w:val="none" w:sz="0" w:space="0" w:color="auto"/>
      </w:divBdr>
      <w:divsChild>
        <w:div w:id="2055426664">
          <w:marLeft w:val="0"/>
          <w:marRight w:val="0"/>
          <w:marTop w:val="0"/>
          <w:marBottom w:val="0"/>
          <w:divBdr>
            <w:top w:val="none" w:sz="0" w:space="0" w:color="auto"/>
            <w:left w:val="none" w:sz="0" w:space="0" w:color="auto"/>
            <w:bottom w:val="none" w:sz="0" w:space="0" w:color="auto"/>
            <w:right w:val="none" w:sz="0" w:space="0" w:color="auto"/>
          </w:divBdr>
          <w:divsChild>
            <w:div w:id="13372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4419">
      <w:bodyDiv w:val="1"/>
      <w:marLeft w:val="0"/>
      <w:marRight w:val="0"/>
      <w:marTop w:val="0"/>
      <w:marBottom w:val="0"/>
      <w:divBdr>
        <w:top w:val="none" w:sz="0" w:space="0" w:color="auto"/>
        <w:left w:val="none" w:sz="0" w:space="0" w:color="auto"/>
        <w:bottom w:val="none" w:sz="0" w:space="0" w:color="auto"/>
        <w:right w:val="none" w:sz="0" w:space="0" w:color="auto"/>
      </w:divBdr>
    </w:div>
    <w:div w:id="2010787963">
      <w:bodyDiv w:val="1"/>
      <w:marLeft w:val="0"/>
      <w:marRight w:val="0"/>
      <w:marTop w:val="0"/>
      <w:marBottom w:val="0"/>
      <w:divBdr>
        <w:top w:val="none" w:sz="0" w:space="0" w:color="auto"/>
        <w:left w:val="none" w:sz="0" w:space="0" w:color="auto"/>
        <w:bottom w:val="none" w:sz="0" w:space="0" w:color="auto"/>
        <w:right w:val="none" w:sz="0" w:space="0" w:color="auto"/>
      </w:divBdr>
    </w:div>
    <w:div w:id="2012298079">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6693758">
      <w:bodyDiv w:val="1"/>
      <w:marLeft w:val="0"/>
      <w:marRight w:val="0"/>
      <w:marTop w:val="0"/>
      <w:marBottom w:val="0"/>
      <w:divBdr>
        <w:top w:val="none" w:sz="0" w:space="0" w:color="auto"/>
        <w:left w:val="none" w:sz="0" w:space="0" w:color="auto"/>
        <w:bottom w:val="none" w:sz="0" w:space="0" w:color="auto"/>
        <w:right w:val="none" w:sz="0" w:space="0" w:color="auto"/>
      </w:divBdr>
    </w:div>
    <w:div w:id="2038580434">
      <w:bodyDiv w:val="1"/>
      <w:marLeft w:val="0"/>
      <w:marRight w:val="0"/>
      <w:marTop w:val="0"/>
      <w:marBottom w:val="0"/>
      <w:divBdr>
        <w:top w:val="none" w:sz="0" w:space="0" w:color="auto"/>
        <w:left w:val="none" w:sz="0" w:space="0" w:color="auto"/>
        <w:bottom w:val="none" w:sz="0" w:space="0" w:color="auto"/>
        <w:right w:val="none" w:sz="0" w:space="0" w:color="auto"/>
      </w:divBdr>
    </w:div>
    <w:div w:id="2055613943">
      <w:bodyDiv w:val="1"/>
      <w:marLeft w:val="0"/>
      <w:marRight w:val="0"/>
      <w:marTop w:val="0"/>
      <w:marBottom w:val="0"/>
      <w:divBdr>
        <w:top w:val="none" w:sz="0" w:space="0" w:color="auto"/>
        <w:left w:val="none" w:sz="0" w:space="0" w:color="auto"/>
        <w:bottom w:val="none" w:sz="0" w:space="0" w:color="auto"/>
        <w:right w:val="none" w:sz="0" w:space="0" w:color="auto"/>
      </w:divBdr>
    </w:div>
    <w:div w:id="2061707641">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084402869">
      <w:bodyDiv w:val="1"/>
      <w:marLeft w:val="0"/>
      <w:marRight w:val="0"/>
      <w:marTop w:val="0"/>
      <w:marBottom w:val="0"/>
      <w:divBdr>
        <w:top w:val="none" w:sz="0" w:space="0" w:color="auto"/>
        <w:left w:val="none" w:sz="0" w:space="0" w:color="auto"/>
        <w:bottom w:val="none" w:sz="0" w:space="0" w:color="auto"/>
        <w:right w:val="none" w:sz="0" w:space="0" w:color="auto"/>
      </w:divBdr>
    </w:div>
    <w:div w:id="2096707075">
      <w:bodyDiv w:val="1"/>
      <w:marLeft w:val="0"/>
      <w:marRight w:val="0"/>
      <w:marTop w:val="0"/>
      <w:marBottom w:val="0"/>
      <w:divBdr>
        <w:top w:val="none" w:sz="0" w:space="0" w:color="auto"/>
        <w:left w:val="none" w:sz="0" w:space="0" w:color="auto"/>
        <w:bottom w:val="none" w:sz="0" w:space="0" w:color="auto"/>
        <w:right w:val="none" w:sz="0" w:space="0" w:color="auto"/>
      </w:divBdr>
    </w:div>
    <w:div w:id="2111777756">
      <w:bodyDiv w:val="1"/>
      <w:marLeft w:val="0"/>
      <w:marRight w:val="0"/>
      <w:marTop w:val="0"/>
      <w:marBottom w:val="0"/>
      <w:divBdr>
        <w:top w:val="none" w:sz="0" w:space="0" w:color="auto"/>
        <w:left w:val="none" w:sz="0" w:space="0" w:color="auto"/>
        <w:bottom w:val="none" w:sz="0" w:space="0" w:color="auto"/>
        <w:right w:val="none" w:sz="0" w:space="0" w:color="auto"/>
      </w:divBdr>
    </w:div>
    <w:div w:id="2115400782">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2029474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4232-31AB-4D66-B595-45B1CE00D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B4FEF-E93B-4D4E-932F-1C3F3775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64F04E-83A2-45FA-B767-C62763B14E8F}">
  <ds:schemaRefs>
    <ds:schemaRef ds:uri="http://schemas.microsoft.com/sharepoint/v3/contenttype/forms"/>
  </ds:schemaRefs>
</ds:datastoreItem>
</file>

<file path=customXml/itemProps4.xml><?xml version="1.0" encoding="utf-8"?>
<ds:datastoreItem xmlns:ds="http://schemas.openxmlformats.org/officeDocument/2006/customXml" ds:itemID="{9A87D4D2-D157-451F-992A-6C60BCE6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14520</Words>
  <Characters>79861</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8</cp:revision>
  <cp:lastPrinted>2018-02-21T23:28:00Z</cp:lastPrinted>
  <dcterms:created xsi:type="dcterms:W3CDTF">2018-07-27T16:01:00Z</dcterms:created>
  <dcterms:modified xsi:type="dcterms:W3CDTF">2018-10-09T16:57:00Z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