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44F8F" w14:textId="27A2EE9E" w:rsidR="00D7412C" w:rsidRDefault="00D7412C" w:rsidP="00D7412C">
      <w:pPr>
        <w:pStyle w:val="TDC1"/>
        <w:tabs>
          <w:tab w:val="left" w:pos="440"/>
          <w:tab w:val="right" w:leader="dot" w:pos="9394"/>
        </w:tabs>
        <w:spacing w:after="240"/>
        <w:jc w:val="center"/>
        <w:rPr>
          <w:b/>
        </w:rPr>
      </w:pPr>
      <w:r>
        <w:rPr>
          <w:b/>
        </w:rPr>
        <w:t>Índice de contenido</w:t>
      </w:r>
    </w:p>
    <w:p w14:paraId="0FECCB96" w14:textId="2B4DCFA1" w:rsidR="009C4EFC" w:rsidRDefault="00D7412C">
      <w:pPr>
        <w:pStyle w:val="TDC1"/>
        <w:tabs>
          <w:tab w:val="right" w:leader="dot" w:pos="9394"/>
        </w:tabs>
        <w:rPr>
          <w:rFonts w:asciiTheme="minorHAnsi" w:eastAsiaTheme="minorEastAsia" w:hAnsiTheme="minorHAnsi" w:cstheme="minorBidi"/>
          <w:noProof/>
          <w:sz w:val="22"/>
          <w:szCs w:val="22"/>
          <w:lang w:val="es-MX" w:eastAsia="es-MX"/>
        </w:rPr>
      </w:pPr>
      <w:r>
        <w:rPr>
          <w:b/>
        </w:rPr>
        <w:fldChar w:fldCharType="begin"/>
      </w:r>
      <w:r>
        <w:rPr>
          <w:b/>
        </w:rPr>
        <w:instrText xml:space="preserve"> TOC \o "1-4" \h \z \u </w:instrText>
      </w:r>
      <w:r>
        <w:rPr>
          <w:b/>
        </w:rPr>
        <w:fldChar w:fldCharType="separate"/>
      </w:r>
      <w:hyperlink w:anchor="_Toc511061390" w:history="1">
        <w:r w:rsidR="009C4EFC" w:rsidRPr="00AA6BF1">
          <w:rPr>
            <w:rStyle w:val="Hipervnculo"/>
            <w:noProof/>
          </w:rPr>
          <w:t>I. ANTECEDENTES</w:t>
        </w:r>
        <w:r w:rsidR="009C4EFC">
          <w:rPr>
            <w:noProof/>
            <w:webHidden/>
          </w:rPr>
          <w:tab/>
        </w:r>
        <w:r w:rsidR="009C4EFC">
          <w:rPr>
            <w:noProof/>
            <w:webHidden/>
          </w:rPr>
          <w:fldChar w:fldCharType="begin"/>
        </w:r>
        <w:r w:rsidR="009C4EFC">
          <w:rPr>
            <w:noProof/>
            <w:webHidden/>
          </w:rPr>
          <w:instrText xml:space="preserve"> PAGEREF _Toc511061390 \h </w:instrText>
        </w:r>
        <w:r w:rsidR="009C4EFC">
          <w:rPr>
            <w:noProof/>
            <w:webHidden/>
          </w:rPr>
        </w:r>
        <w:r w:rsidR="009C4EFC">
          <w:rPr>
            <w:noProof/>
            <w:webHidden/>
          </w:rPr>
          <w:fldChar w:fldCharType="separate"/>
        </w:r>
        <w:r w:rsidR="00F437FF">
          <w:rPr>
            <w:noProof/>
            <w:webHidden/>
          </w:rPr>
          <w:t>3</w:t>
        </w:r>
        <w:r w:rsidR="009C4EFC">
          <w:rPr>
            <w:noProof/>
            <w:webHidden/>
          </w:rPr>
          <w:fldChar w:fldCharType="end"/>
        </w:r>
      </w:hyperlink>
    </w:p>
    <w:p w14:paraId="0A4AFA89" w14:textId="7091563F" w:rsidR="009C4EFC" w:rsidRDefault="00AF5B84">
      <w:pPr>
        <w:pStyle w:val="TDC1"/>
        <w:tabs>
          <w:tab w:val="right" w:leader="dot" w:pos="9394"/>
        </w:tabs>
        <w:rPr>
          <w:rFonts w:asciiTheme="minorHAnsi" w:eastAsiaTheme="minorEastAsia" w:hAnsiTheme="minorHAnsi" w:cstheme="minorBidi"/>
          <w:noProof/>
          <w:sz w:val="22"/>
          <w:szCs w:val="22"/>
          <w:lang w:val="es-MX" w:eastAsia="es-MX"/>
        </w:rPr>
      </w:pPr>
      <w:hyperlink w:anchor="_Toc511061391" w:history="1">
        <w:r w:rsidR="009C4EFC" w:rsidRPr="00AA6BF1">
          <w:rPr>
            <w:rStyle w:val="Hipervnculo"/>
            <w:noProof/>
          </w:rPr>
          <w:t>II. CONSIDERANDO</w:t>
        </w:r>
        <w:r w:rsidR="009C4EFC">
          <w:rPr>
            <w:noProof/>
            <w:webHidden/>
          </w:rPr>
          <w:tab/>
        </w:r>
        <w:r w:rsidR="009C4EFC">
          <w:rPr>
            <w:noProof/>
            <w:webHidden/>
          </w:rPr>
          <w:fldChar w:fldCharType="begin"/>
        </w:r>
        <w:r w:rsidR="009C4EFC">
          <w:rPr>
            <w:noProof/>
            <w:webHidden/>
          </w:rPr>
          <w:instrText xml:space="preserve"> PAGEREF _Toc511061391 \h </w:instrText>
        </w:r>
        <w:r w:rsidR="009C4EFC">
          <w:rPr>
            <w:noProof/>
            <w:webHidden/>
          </w:rPr>
        </w:r>
        <w:r w:rsidR="009C4EFC">
          <w:rPr>
            <w:noProof/>
            <w:webHidden/>
          </w:rPr>
          <w:fldChar w:fldCharType="separate"/>
        </w:r>
        <w:r w:rsidR="00F437FF">
          <w:rPr>
            <w:noProof/>
            <w:webHidden/>
          </w:rPr>
          <w:t>6</w:t>
        </w:r>
        <w:r w:rsidR="009C4EFC">
          <w:rPr>
            <w:noProof/>
            <w:webHidden/>
          </w:rPr>
          <w:fldChar w:fldCharType="end"/>
        </w:r>
      </w:hyperlink>
    </w:p>
    <w:p w14:paraId="797A005B" w14:textId="1DF429FC" w:rsidR="009C4EFC" w:rsidRDefault="00AF5B84">
      <w:pPr>
        <w:pStyle w:val="TDC2"/>
        <w:tabs>
          <w:tab w:val="right" w:leader="dot" w:pos="9394"/>
        </w:tabs>
        <w:rPr>
          <w:rFonts w:asciiTheme="minorHAnsi" w:eastAsiaTheme="minorEastAsia" w:hAnsiTheme="minorHAnsi" w:cstheme="minorBidi"/>
          <w:noProof/>
          <w:sz w:val="22"/>
          <w:szCs w:val="22"/>
          <w:lang w:val="es-MX" w:eastAsia="es-MX"/>
        </w:rPr>
      </w:pPr>
      <w:hyperlink w:anchor="_Toc511061392" w:history="1">
        <w:r w:rsidR="009C4EFC" w:rsidRPr="00AA6BF1">
          <w:rPr>
            <w:rStyle w:val="Hipervnculo"/>
            <w:noProof/>
          </w:rPr>
          <w:t>PRIMERO. Competencia del Instituto para conocer y resolver sobre el Aviso de Concentración</w:t>
        </w:r>
        <w:r w:rsidR="009C4EFC">
          <w:rPr>
            <w:noProof/>
            <w:webHidden/>
          </w:rPr>
          <w:tab/>
        </w:r>
        <w:r w:rsidR="009C4EFC">
          <w:rPr>
            <w:noProof/>
            <w:webHidden/>
          </w:rPr>
          <w:fldChar w:fldCharType="begin"/>
        </w:r>
        <w:r w:rsidR="009C4EFC">
          <w:rPr>
            <w:noProof/>
            <w:webHidden/>
          </w:rPr>
          <w:instrText xml:space="preserve"> PAGEREF _Toc511061392 \h </w:instrText>
        </w:r>
        <w:r w:rsidR="009C4EFC">
          <w:rPr>
            <w:noProof/>
            <w:webHidden/>
          </w:rPr>
        </w:r>
        <w:r w:rsidR="009C4EFC">
          <w:rPr>
            <w:noProof/>
            <w:webHidden/>
          </w:rPr>
          <w:fldChar w:fldCharType="separate"/>
        </w:r>
        <w:r w:rsidR="00F437FF">
          <w:rPr>
            <w:noProof/>
            <w:webHidden/>
          </w:rPr>
          <w:t>6</w:t>
        </w:r>
        <w:r w:rsidR="009C4EFC">
          <w:rPr>
            <w:noProof/>
            <w:webHidden/>
          </w:rPr>
          <w:fldChar w:fldCharType="end"/>
        </w:r>
      </w:hyperlink>
    </w:p>
    <w:p w14:paraId="586C91CD" w14:textId="5CEE4B56" w:rsidR="009C4EFC" w:rsidRDefault="00AF5B84">
      <w:pPr>
        <w:pStyle w:val="TDC2"/>
        <w:tabs>
          <w:tab w:val="right" w:leader="dot" w:pos="9394"/>
        </w:tabs>
        <w:rPr>
          <w:rFonts w:asciiTheme="minorHAnsi" w:eastAsiaTheme="minorEastAsia" w:hAnsiTheme="minorHAnsi" w:cstheme="minorBidi"/>
          <w:noProof/>
          <w:sz w:val="22"/>
          <w:szCs w:val="22"/>
          <w:lang w:val="es-MX" w:eastAsia="es-MX"/>
        </w:rPr>
      </w:pPr>
      <w:hyperlink w:anchor="_Toc511061393" w:history="1">
        <w:r w:rsidR="009C4EFC" w:rsidRPr="00AA6BF1">
          <w:rPr>
            <w:rStyle w:val="Hipervnculo"/>
            <w:noProof/>
          </w:rPr>
          <w:t>SEGUNDO. Alcances de esta resolución</w:t>
        </w:r>
        <w:r w:rsidR="009C4EFC">
          <w:rPr>
            <w:noProof/>
            <w:webHidden/>
          </w:rPr>
          <w:tab/>
        </w:r>
        <w:r w:rsidR="009C4EFC">
          <w:rPr>
            <w:noProof/>
            <w:webHidden/>
          </w:rPr>
          <w:fldChar w:fldCharType="begin"/>
        </w:r>
        <w:r w:rsidR="009C4EFC">
          <w:rPr>
            <w:noProof/>
            <w:webHidden/>
          </w:rPr>
          <w:instrText xml:space="preserve"> PAGEREF _Toc511061393 \h </w:instrText>
        </w:r>
        <w:r w:rsidR="009C4EFC">
          <w:rPr>
            <w:noProof/>
            <w:webHidden/>
          </w:rPr>
        </w:r>
        <w:r w:rsidR="009C4EFC">
          <w:rPr>
            <w:noProof/>
            <w:webHidden/>
          </w:rPr>
          <w:fldChar w:fldCharType="separate"/>
        </w:r>
        <w:r w:rsidR="00F437FF">
          <w:rPr>
            <w:noProof/>
            <w:webHidden/>
          </w:rPr>
          <w:t>7</w:t>
        </w:r>
        <w:r w:rsidR="009C4EFC">
          <w:rPr>
            <w:noProof/>
            <w:webHidden/>
          </w:rPr>
          <w:fldChar w:fldCharType="end"/>
        </w:r>
      </w:hyperlink>
    </w:p>
    <w:p w14:paraId="5822514B" w14:textId="1F31A054"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394" w:history="1">
        <w:r w:rsidR="009C4EFC" w:rsidRPr="00AA6BF1">
          <w:rPr>
            <w:rStyle w:val="Hipervnculo"/>
            <w:noProof/>
          </w:rPr>
          <w:t>2.1. Fundamentación</w:t>
        </w:r>
        <w:r w:rsidR="009C4EFC">
          <w:rPr>
            <w:noProof/>
            <w:webHidden/>
          </w:rPr>
          <w:tab/>
        </w:r>
        <w:r w:rsidR="009C4EFC">
          <w:rPr>
            <w:noProof/>
            <w:webHidden/>
          </w:rPr>
          <w:fldChar w:fldCharType="begin"/>
        </w:r>
        <w:r w:rsidR="009C4EFC">
          <w:rPr>
            <w:noProof/>
            <w:webHidden/>
          </w:rPr>
          <w:instrText xml:space="preserve"> PAGEREF _Toc511061394 \h </w:instrText>
        </w:r>
        <w:r w:rsidR="009C4EFC">
          <w:rPr>
            <w:noProof/>
            <w:webHidden/>
          </w:rPr>
        </w:r>
        <w:r w:rsidR="009C4EFC">
          <w:rPr>
            <w:noProof/>
            <w:webHidden/>
          </w:rPr>
          <w:fldChar w:fldCharType="separate"/>
        </w:r>
        <w:r w:rsidR="00F437FF">
          <w:rPr>
            <w:noProof/>
            <w:webHidden/>
          </w:rPr>
          <w:t>7</w:t>
        </w:r>
        <w:r w:rsidR="009C4EFC">
          <w:rPr>
            <w:noProof/>
            <w:webHidden/>
          </w:rPr>
          <w:fldChar w:fldCharType="end"/>
        </w:r>
      </w:hyperlink>
    </w:p>
    <w:p w14:paraId="379592B2" w14:textId="3848C4AD"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395" w:history="1">
        <w:r w:rsidR="009C4EFC" w:rsidRPr="00AA6BF1">
          <w:rPr>
            <w:rStyle w:val="Hipervnculo"/>
            <w:noProof/>
          </w:rPr>
          <w:t>2.2. Procedimiento aplicable al Aviso de Concentración</w:t>
        </w:r>
        <w:r w:rsidR="009C4EFC">
          <w:rPr>
            <w:noProof/>
            <w:webHidden/>
          </w:rPr>
          <w:tab/>
        </w:r>
        <w:r w:rsidR="009C4EFC">
          <w:rPr>
            <w:noProof/>
            <w:webHidden/>
          </w:rPr>
          <w:fldChar w:fldCharType="begin"/>
        </w:r>
        <w:r w:rsidR="009C4EFC">
          <w:rPr>
            <w:noProof/>
            <w:webHidden/>
          </w:rPr>
          <w:instrText xml:space="preserve"> PAGEREF _Toc511061395 \h </w:instrText>
        </w:r>
        <w:r w:rsidR="009C4EFC">
          <w:rPr>
            <w:noProof/>
            <w:webHidden/>
          </w:rPr>
        </w:r>
        <w:r w:rsidR="009C4EFC">
          <w:rPr>
            <w:noProof/>
            <w:webHidden/>
          </w:rPr>
          <w:fldChar w:fldCharType="separate"/>
        </w:r>
        <w:r w:rsidR="00F437FF">
          <w:rPr>
            <w:noProof/>
            <w:webHidden/>
          </w:rPr>
          <w:t>8</w:t>
        </w:r>
        <w:r w:rsidR="009C4EFC">
          <w:rPr>
            <w:noProof/>
            <w:webHidden/>
          </w:rPr>
          <w:fldChar w:fldCharType="end"/>
        </w:r>
      </w:hyperlink>
    </w:p>
    <w:p w14:paraId="00299873" w14:textId="5CB6C34B" w:rsidR="009C4EFC" w:rsidRDefault="00AF5B84">
      <w:pPr>
        <w:pStyle w:val="TDC2"/>
        <w:tabs>
          <w:tab w:val="right" w:leader="dot" w:pos="9394"/>
        </w:tabs>
        <w:rPr>
          <w:rFonts w:asciiTheme="minorHAnsi" w:eastAsiaTheme="minorEastAsia" w:hAnsiTheme="minorHAnsi" w:cstheme="minorBidi"/>
          <w:noProof/>
          <w:sz w:val="22"/>
          <w:szCs w:val="22"/>
          <w:lang w:val="es-MX" w:eastAsia="es-MX"/>
        </w:rPr>
      </w:pPr>
      <w:hyperlink w:anchor="_Toc511061396" w:history="1">
        <w:r w:rsidR="009C4EFC" w:rsidRPr="00AA6BF1">
          <w:rPr>
            <w:rStyle w:val="Hipervnculo"/>
            <w:noProof/>
          </w:rPr>
          <w:t>TERCERO. Operación materia del Aviso de Concentración</w:t>
        </w:r>
        <w:r w:rsidR="009C4EFC">
          <w:rPr>
            <w:noProof/>
            <w:webHidden/>
          </w:rPr>
          <w:tab/>
        </w:r>
        <w:r w:rsidR="009C4EFC">
          <w:rPr>
            <w:noProof/>
            <w:webHidden/>
          </w:rPr>
          <w:fldChar w:fldCharType="begin"/>
        </w:r>
        <w:r w:rsidR="009C4EFC">
          <w:rPr>
            <w:noProof/>
            <w:webHidden/>
          </w:rPr>
          <w:instrText xml:space="preserve"> PAGEREF _Toc511061396 \h </w:instrText>
        </w:r>
        <w:r w:rsidR="009C4EFC">
          <w:rPr>
            <w:noProof/>
            <w:webHidden/>
          </w:rPr>
        </w:r>
        <w:r w:rsidR="009C4EFC">
          <w:rPr>
            <w:noProof/>
            <w:webHidden/>
          </w:rPr>
          <w:fldChar w:fldCharType="separate"/>
        </w:r>
        <w:r w:rsidR="00F437FF">
          <w:rPr>
            <w:noProof/>
            <w:webHidden/>
          </w:rPr>
          <w:t>11</w:t>
        </w:r>
        <w:r w:rsidR="009C4EFC">
          <w:rPr>
            <w:noProof/>
            <w:webHidden/>
          </w:rPr>
          <w:fldChar w:fldCharType="end"/>
        </w:r>
      </w:hyperlink>
    </w:p>
    <w:p w14:paraId="56CA28D3" w14:textId="3E73DF5C"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397" w:history="1">
        <w:r w:rsidR="009C4EFC" w:rsidRPr="00AA6BF1">
          <w:rPr>
            <w:rStyle w:val="Hipervnculo"/>
            <w:noProof/>
          </w:rPr>
          <w:t>Actos constitutivos de la Operación</w:t>
        </w:r>
        <w:r w:rsidR="009C4EFC">
          <w:rPr>
            <w:noProof/>
            <w:webHidden/>
          </w:rPr>
          <w:tab/>
        </w:r>
        <w:r w:rsidR="009C4EFC">
          <w:rPr>
            <w:noProof/>
            <w:webHidden/>
          </w:rPr>
          <w:fldChar w:fldCharType="begin"/>
        </w:r>
        <w:r w:rsidR="009C4EFC">
          <w:rPr>
            <w:noProof/>
            <w:webHidden/>
          </w:rPr>
          <w:instrText xml:space="preserve"> PAGEREF _Toc511061397 \h </w:instrText>
        </w:r>
        <w:r w:rsidR="009C4EFC">
          <w:rPr>
            <w:noProof/>
            <w:webHidden/>
          </w:rPr>
        </w:r>
        <w:r w:rsidR="009C4EFC">
          <w:rPr>
            <w:noProof/>
            <w:webHidden/>
          </w:rPr>
          <w:fldChar w:fldCharType="separate"/>
        </w:r>
        <w:r w:rsidR="00F437FF">
          <w:rPr>
            <w:noProof/>
            <w:webHidden/>
          </w:rPr>
          <w:t>11</w:t>
        </w:r>
        <w:r w:rsidR="009C4EFC">
          <w:rPr>
            <w:noProof/>
            <w:webHidden/>
          </w:rPr>
          <w:fldChar w:fldCharType="end"/>
        </w:r>
      </w:hyperlink>
    </w:p>
    <w:p w14:paraId="248D1793" w14:textId="5E4841DD"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398" w:history="1">
        <w:r w:rsidR="009C4EFC" w:rsidRPr="00AA6BF1">
          <w:rPr>
            <w:rStyle w:val="Hipervnculo"/>
            <w:noProof/>
          </w:rPr>
          <w:t>Fecha en la que se realizó la concentración</w:t>
        </w:r>
        <w:r w:rsidR="009C4EFC">
          <w:rPr>
            <w:noProof/>
            <w:webHidden/>
          </w:rPr>
          <w:tab/>
        </w:r>
        <w:r w:rsidR="009C4EFC">
          <w:rPr>
            <w:noProof/>
            <w:webHidden/>
          </w:rPr>
          <w:fldChar w:fldCharType="begin"/>
        </w:r>
        <w:r w:rsidR="009C4EFC">
          <w:rPr>
            <w:noProof/>
            <w:webHidden/>
          </w:rPr>
          <w:instrText xml:space="preserve"> PAGEREF _Toc511061398 \h </w:instrText>
        </w:r>
        <w:r w:rsidR="009C4EFC">
          <w:rPr>
            <w:noProof/>
            <w:webHidden/>
          </w:rPr>
        </w:r>
        <w:r w:rsidR="009C4EFC">
          <w:rPr>
            <w:noProof/>
            <w:webHidden/>
          </w:rPr>
          <w:fldChar w:fldCharType="separate"/>
        </w:r>
        <w:r w:rsidR="00F437FF">
          <w:rPr>
            <w:noProof/>
            <w:webHidden/>
          </w:rPr>
          <w:t>11</w:t>
        </w:r>
        <w:r w:rsidR="009C4EFC">
          <w:rPr>
            <w:noProof/>
            <w:webHidden/>
          </w:rPr>
          <w:fldChar w:fldCharType="end"/>
        </w:r>
      </w:hyperlink>
    </w:p>
    <w:p w14:paraId="53CE1A00" w14:textId="2C946F8E"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399" w:history="1">
        <w:r w:rsidR="009C4EFC" w:rsidRPr="00AA6BF1">
          <w:rPr>
            <w:rStyle w:val="Hipervnculo"/>
            <w:noProof/>
          </w:rPr>
          <w:t>Cambios en las estructuras accionarias de las sociedades Adquiridas</w:t>
        </w:r>
        <w:r w:rsidR="009C4EFC">
          <w:rPr>
            <w:noProof/>
            <w:webHidden/>
          </w:rPr>
          <w:tab/>
        </w:r>
        <w:r w:rsidR="009C4EFC">
          <w:rPr>
            <w:noProof/>
            <w:webHidden/>
          </w:rPr>
          <w:fldChar w:fldCharType="begin"/>
        </w:r>
        <w:r w:rsidR="009C4EFC">
          <w:rPr>
            <w:noProof/>
            <w:webHidden/>
          </w:rPr>
          <w:instrText xml:space="preserve"> PAGEREF _Toc511061399 \h </w:instrText>
        </w:r>
        <w:r w:rsidR="009C4EFC">
          <w:rPr>
            <w:noProof/>
            <w:webHidden/>
          </w:rPr>
        </w:r>
        <w:r w:rsidR="009C4EFC">
          <w:rPr>
            <w:noProof/>
            <w:webHidden/>
          </w:rPr>
          <w:fldChar w:fldCharType="separate"/>
        </w:r>
        <w:r w:rsidR="00F437FF">
          <w:rPr>
            <w:noProof/>
            <w:webHidden/>
          </w:rPr>
          <w:t>11</w:t>
        </w:r>
        <w:r w:rsidR="009C4EFC">
          <w:rPr>
            <w:noProof/>
            <w:webHidden/>
          </w:rPr>
          <w:fldChar w:fldCharType="end"/>
        </w:r>
      </w:hyperlink>
    </w:p>
    <w:p w14:paraId="24C8434D" w14:textId="6D6BDC57"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400" w:history="1">
        <w:r w:rsidR="009C4EFC" w:rsidRPr="00AA6BF1">
          <w:rPr>
            <w:rStyle w:val="Hipervnculo"/>
            <w:noProof/>
          </w:rPr>
          <w:t>Títulos de concesión, permisos y/o autorizaciones de las Sociedades Adquiridas</w:t>
        </w:r>
        <w:r w:rsidR="009C4EFC">
          <w:rPr>
            <w:noProof/>
            <w:webHidden/>
          </w:rPr>
          <w:tab/>
        </w:r>
        <w:r w:rsidR="009C4EFC">
          <w:rPr>
            <w:noProof/>
            <w:webHidden/>
          </w:rPr>
          <w:fldChar w:fldCharType="begin"/>
        </w:r>
        <w:r w:rsidR="009C4EFC">
          <w:rPr>
            <w:noProof/>
            <w:webHidden/>
          </w:rPr>
          <w:instrText xml:space="preserve"> PAGEREF _Toc511061400 \h </w:instrText>
        </w:r>
        <w:r w:rsidR="009C4EFC">
          <w:rPr>
            <w:noProof/>
            <w:webHidden/>
          </w:rPr>
        </w:r>
        <w:r w:rsidR="009C4EFC">
          <w:rPr>
            <w:noProof/>
            <w:webHidden/>
          </w:rPr>
          <w:fldChar w:fldCharType="separate"/>
        </w:r>
        <w:r w:rsidR="00F437FF">
          <w:rPr>
            <w:noProof/>
            <w:webHidden/>
          </w:rPr>
          <w:t>12</w:t>
        </w:r>
        <w:r w:rsidR="009C4EFC">
          <w:rPr>
            <w:noProof/>
            <w:webHidden/>
          </w:rPr>
          <w:fldChar w:fldCharType="end"/>
        </w:r>
      </w:hyperlink>
    </w:p>
    <w:p w14:paraId="31CA9786" w14:textId="7B4A4F09"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401" w:history="1">
        <w:r w:rsidR="009C4EFC" w:rsidRPr="00AA6BF1">
          <w:rPr>
            <w:rStyle w:val="Hipervnculo"/>
            <w:noProof/>
          </w:rPr>
          <w:t>Acuerdo comercial entre las Partes</w:t>
        </w:r>
        <w:r w:rsidR="009C4EFC">
          <w:rPr>
            <w:noProof/>
            <w:webHidden/>
          </w:rPr>
          <w:tab/>
        </w:r>
        <w:r w:rsidR="009C4EFC">
          <w:rPr>
            <w:noProof/>
            <w:webHidden/>
          </w:rPr>
          <w:fldChar w:fldCharType="begin"/>
        </w:r>
        <w:r w:rsidR="009C4EFC">
          <w:rPr>
            <w:noProof/>
            <w:webHidden/>
          </w:rPr>
          <w:instrText xml:space="preserve"> PAGEREF _Toc511061401 \h </w:instrText>
        </w:r>
        <w:r w:rsidR="009C4EFC">
          <w:rPr>
            <w:noProof/>
            <w:webHidden/>
          </w:rPr>
        </w:r>
        <w:r w:rsidR="009C4EFC">
          <w:rPr>
            <w:noProof/>
            <w:webHidden/>
          </w:rPr>
          <w:fldChar w:fldCharType="separate"/>
        </w:r>
        <w:r w:rsidR="00F437FF">
          <w:rPr>
            <w:noProof/>
            <w:webHidden/>
          </w:rPr>
          <w:t>12</w:t>
        </w:r>
        <w:r w:rsidR="009C4EFC">
          <w:rPr>
            <w:noProof/>
            <w:webHidden/>
          </w:rPr>
          <w:fldChar w:fldCharType="end"/>
        </w:r>
      </w:hyperlink>
    </w:p>
    <w:p w14:paraId="4423AC26" w14:textId="2AD1B428"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402" w:history="1">
        <w:r w:rsidR="009C4EFC" w:rsidRPr="00AA6BF1">
          <w:rPr>
            <w:rStyle w:val="Hipervnculo"/>
            <w:noProof/>
          </w:rPr>
          <w:t>Objetivos de la Operación</w:t>
        </w:r>
        <w:r w:rsidR="009C4EFC">
          <w:rPr>
            <w:noProof/>
            <w:webHidden/>
          </w:rPr>
          <w:tab/>
        </w:r>
        <w:r w:rsidR="009C4EFC">
          <w:rPr>
            <w:noProof/>
            <w:webHidden/>
          </w:rPr>
          <w:fldChar w:fldCharType="begin"/>
        </w:r>
        <w:r w:rsidR="009C4EFC">
          <w:rPr>
            <w:noProof/>
            <w:webHidden/>
          </w:rPr>
          <w:instrText xml:space="preserve"> PAGEREF _Toc511061402 \h </w:instrText>
        </w:r>
        <w:r w:rsidR="009C4EFC">
          <w:rPr>
            <w:noProof/>
            <w:webHidden/>
          </w:rPr>
        </w:r>
        <w:r w:rsidR="009C4EFC">
          <w:rPr>
            <w:noProof/>
            <w:webHidden/>
          </w:rPr>
          <w:fldChar w:fldCharType="separate"/>
        </w:r>
        <w:r w:rsidR="00F437FF">
          <w:rPr>
            <w:noProof/>
            <w:webHidden/>
          </w:rPr>
          <w:t>13</w:t>
        </w:r>
        <w:r w:rsidR="009C4EFC">
          <w:rPr>
            <w:noProof/>
            <w:webHidden/>
          </w:rPr>
          <w:fldChar w:fldCharType="end"/>
        </w:r>
      </w:hyperlink>
    </w:p>
    <w:p w14:paraId="278FF7B0" w14:textId="781DEABC" w:rsidR="009C4EFC" w:rsidRDefault="00AF5B84">
      <w:pPr>
        <w:pStyle w:val="TDC2"/>
        <w:tabs>
          <w:tab w:val="right" w:leader="dot" w:pos="9394"/>
        </w:tabs>
        <w:rPr>
          <w:rFonts w:asciiTheme="minorHAnsi" w:eastAsiaTheme="minorEastAsia" w:hAnsiTheme="minorHAnsi" w:cstheme="minorBidi"/>
          <w:noProof/>
          <w:sz w:val="22"/>
          <w:szCs w:val="22"/>
          <w:lang w:val="es-MX" w:eastAsia="es-MX"/>
        </w:rPr>
      </w:pPr>
      <w:hyperlink w:anchor="_Toc511061403" w:history="1">
        <w:r w:rsidR="009C4EFC" w:rsidRPr="00AA6BF1">
          <w:rPr>
            <w:rStyle w:val="Hipervnculo"/>
            <w:noProof/>
          </w:rPr>
          <w:t>CUARTO. Descripción de las Partes involucradas en la Operación</w:t>
        </w:r>
        <w:r w:rsidR="009C4EFC">
          <w:rPr>
            <w:noProof/>
            <w:webHidden/>
          </w:rPr>
          <w:tab/>
        </w:r>
        <w:r w:rsidR="009C4EFC">
          <w:rPr>
            <w:noProof/>
            <w:webHidden/>
          </w:rPr>
          <w:fldChar w:fldCharType="begin"/>
        </w:r>
        <w:r w:rsidR="009C4EFC">
          <w:rPr>
            <w:noProof/>
            <w:webHidden/>
          </w:rPr>
          <w:instrText xml:space="preserve"> PAGEREF _Toc511061403 \h </w:instrText>
        </w:r>
        <w:r w:rsidR="009C4EFC">
          <w:rPr>
            <w:noProof/>
            <w:webHidden/>
          </w:rPr>
        </w:r>
        <w:r w:rsidR="009C4EFC">
          <w:rPr>
            <w:noProof/>
            <w:webHidden/>
          </w:rPr>
          <w:fldChar w:fldCharType="separate"/>
        </w:r>
        <w:r w:rsidR="00F437FF">
          <w:rPr>
            <w:noProof/>
            <w:webHidden/>
          </w:rPr>
          <w:t>13</w:t>
        </w:r>
        <w:r w:rsidR="009C4EFC">
          <w:rPr>
            <w:noProof/>
            <w:webHidden/>
          </w:rPr>
          <w:fldChar w:fldCharType="end"/>
        </w:r>
      </w:hyperlink>
    </w:p>
    <w:p w14:paraId="591DD229" w14:textId="0F5A8794"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404" w:history="1">
        <w:r w:rsidR="009C4EFC" w:rsidRPr="00AA6BF1">
          <w:rPr>
            <w:rStyle w:val="Hipervnculo"/>
            <w:noProof/>
          </w:rPr>
          <w:t>4.1. Los Vendedores</w:t>
        </w:r>
        <w:r w:rsidR="009C4EFC">
          <w:rPr>
            <w:noProof/>
            <w:webHidden/>
          </w:rPr>
          <w:tab/>
        </w:r>
        <w:r w:rsidR="009C4EFC">
          <w:rPr>
            <w:noProof/>
            <w:webHidden/>
          </w:rPr>
          <w:fldChar w:fldCharType="begin"/>
        </w:r>
        <w:r w:rsidR="009C4EFC">
          <w:rPr>
            <w:noProof/>
            <w:webHidden/>
          </w:rPr>
          <w:instrText xml:space="preserve"> PAGEREF _Toc511061404 \h </w:instrText>
        </w:r>
        <w:r w:rsidR="009C4EFC">
          <w:rPr>
            <w:noProof/>
            <w:webHidden/>
          </w:rPr>
        </w:r>
        <w:r w:rsidR="009C4EFC">
          <w:rPr>
            <w:noProof/>
            <w:webHidden/>
          </w:rPr>
          <w:fldChar w:fldCharType="separate"/>
        </w:r>
        <w:r w:rsidR="00F437FF">
          <w:rPr>
            <w:noProof/>
            <w:webHidden/>
          </w:rPr>
          <w:t>13</w:t>
        </w:r>
        <w:r w:rsidR="009C4EFC">
          <w:rPr>
            <w:noProof/>
            <w:webHidden/>
          </w:rPr>
          <w:fldChar w:fldCharType="end"/>
        </w:r>
      </w:hyperlink>
    </w:p>
    <w:p w14:paraId="681443B6" w14:textId="442592D2"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405" w:history="1">
        <w:r w:rsidR="009C4EFC" w:rsidRPr="00AA6BF1">
          <w:rPr>
            <w:rStyle w:val="Hipervnculo"/>
            <w:noProof/>
          </w:rPr>
          <w:t>4.1.1. KIO</w:t>
        </w:r>
        <w:r w:rsidR="009C4EFC">
          <w:rPr>
            <w:noProof/>
            <w:webHidden/>
          </w:rPr>
          <w:tab/>
        </w:r>
        <w:r w:rsidR="009C4EFC">
          <w:rPr>
            <w:noProof/>
            <w:webHidden/>
          </w:rPr>
          <w:fldChar w:fldCharType="begin"/>
        </w:r>
        <w:r w:rsidR="009C4EFC">
          <w:rPr>
            <w:noProof/>
            <w:webHidden/>
          </w:rPr>
          <w:instrText xml:space="preserve"> PAGEREF _Toc511061405 \h </w:instrText>
        </w:r>
        <w:r w:rsidR="009C4EFC">
          <w:rPr>
            <w:noProof/>
            <w:webHidden/>
          </w:rPr>
        </w:r>
        <w:r w:rsidR="009C4EFC">
          <w:rPr>
            <w:noProof/>
            <w:webHidden/>
          </w:rPr>
          <w:fldChar w:fldCharType="separate"/>
        </w:r>
        <w:r w:rsidR="00F437FF">
          <w:rPr>
            <w:noProof/>
            <w:webHidden/>
          </w:rPr>
          <w:t>13</w:t>
        </w:r>
        <w:r w:rsidR="009C4EFC">
          <w:rPr>
            <w:noProof/>
            <w:webHidden/>
          </w:rPr>
          <w:fldChar w:fldCharType="end"/>
        </w:r>
      </w:hyperlink>
    </w:p>
    <w:p w14:paraId="6C768EA2" w14:textId="3A4DD369"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406" w:history="1">
        <w:r w:rsidR="009C4EFC" w:rsidRPr="00AA6BF1">
          <w:rPr>
            <w:rStyle w:val="Hipervnculo"/>
            <w:noProof/>
          </w:rPr>
          <w:t>4.1.2. Wingu</w:t>
        </w:r>
        <w:r w:rsidR="009C4EFC">
          <w:rPr>
            <w:noProof/>
            <w:webHidden/>
          </w:rPr>
          <w:tab/>
        </w:r>
        <w:r w:rsidR="009C4EFC">
          <w:rPr>
            <w:noProof/>
            <w:webHidden/>
          </w:rPr>
          <w:fldChar w:fldCharType="begin"/>
        </w:r>
        <w:r w:rsidR="009C4EFC">
          <w:rPr>
            <w:noProof/>
            <w:webHidden/>
          </w:rPr>
          <w:instrText xml:space="preserve"> PAGEREF _Toc511061406 \h </w:instrText>
        </w:r>
        <w:r w:rsidR="009C4EFC">
          <w:rPr>
            <w:noProof/>
            <w:webHidden/>
          </w:rPr>
        </w:r>
        <w:r w:rsidR="009C4EFC">
          <w:rPr>
            <w:noProof/>
            <w:webHidden/>
          </w:rPr>
          <w:fldChar w:fldCharType="separate"/>
        </w:r>
        <w:r w:rsidR="00F437FF">
          <w:rPr>
            <w:noProof/>
            <w:webHidden/>
          </w:rPr>
          <w:t>15</w:t>
        </w:r>
        <w:r w:rsidR="009C4EFC">
          <w:rPr>
            <w:noProof/>
            <w:webHidden/>
          </w:rPr>
          <w:fldChar w:fldCharType="end"/>
        </w:r>
      </w:hyperlink>
    </w:p>
    <w:p w14:paraId="1B4ABDD0" w14:textId="5C2F9A3C"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407" w:history="1">
        <w:r w:rsidR="009C4EFC" w:rsidRPr="00AA6BF1">
          <w:rPr>
            <w:rStyle w:val="Hipervnculo"/>
            <w:noProof/>
          </w:rPr>
          <w:t>4.1.3. Metro Net</w:t>
        </w:r>
        <w:r w:rsidR="009C4EFC">
          <w:rPr>
            <w:noProof/>
            <w:webHidden/>
          </w:rPr>
          <w:tab/>
        </w:r>
        <w:r w:rsidR="009C4EFC">
          <w:rPr>
            <w:noProof/>
            <w:webHidden/>
          </w:rPr>
          <w:fldChar w:fldCharType="begin"/>
        </w:r>
        <w:r w:rsidR="009C4EFC">
          <w:rPr>
            <w:noProof/>
            <w:webHidden/>
          </w:rPr>
          <w:instrText xml:space="preserve"> PAGEREF _Toc511061407 \h </w:instrText>
        </w:r>
        <w:r w:rsidR="009C4EFC">
          <w:rPr>
            <w:noProof/>
            <w:webHidden/>
          </w:rPr>
        </w:r>
        <w:r w:rsidR="009C4EFC">
          <w:rPr>
            <w:noProof/>
            <w:webHidden/>
          </w:rPr>
          <w:fldChar w:fldCharType="separate"/>
        </w:r>
        <w:r w:rsidR="00F437FF">
          <w:rPr>
            <w:noProof/>
            <w:webHidden/>
          </w:rPr>
          <w:t>16</w:t>
        </w:r>
        <w:r w:rsidR="009C4EFC">
          <w:rPr>
            <w:noProof/>
            <w:webHidden/>
          </w:rPr>
          <w:fldChar w:fldCharType="end"/>
        </w:r>
      </w:hyperlink>
    </w:p>
    <w:p w14:paraId="1D6089D7" w14:textId="1D243779"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408" w:history="1">
        <w:r w:rsidR="009C4EFC" w:rsidRPr="00AA6BF1">
          <w:rPr>
            <w:rStyle w:val="Hipervnculo"/>
            <w:noProof/>
          </w:rPr>
          <w:t>4.1.4. GIE al que pertenecen los Vendedores</w:t>
        </w:r>
        <w:r w:rsidR="009C4EFC">
          <w:rPr>
            <w:noProof/>
            <w:webHidden/>
          </w:rPr>
          <w:tab/>
        </w:r>
        <w:r w:rsidR="009C4EFC">
          <w:rPr>
            <w:noProof/>
            <w:webHidden/>
          </w:rPr>
          <w:fldChar w:fldCharType="begin"/>
        </w:r>
        <w:r w:rsidR="009C4EFC">
          <w:rPr>
            <w:noProof/>
            <w:webHidden/>
          </w:rPr>
          <w:instrText xml:space="preserve"> PAGEREF _Toc511061408 \h </w:instrText>
        </w:r>
        <w:r w:rsidR="009C4EFC">
          <w:rPr>
            <w:noProof/>
            <w:webHidden/>
          </w:rPr>
        </w:r>
        <w:r w:rsidR="009C4EFC">
          <w:rPr>
            <w:noProof/>
            <w:webHidden/>
          </w:rPr>
          <w:fldChar w:fldCharType="separate"/>
        </w:r>
        <w:r w:rsidR="00F437FF">
          <w:rPr>
            <w:noProof/>
            <w:webHidden/>
          </w:rPr>
          <w:t>19</w:t>
        </w:r>
        <w:r w:rsidR="009C4EFC">
          <w:rPr>
            <w:noProof/>
            <w:webHidden/>
          </w:rPr>
          <w:fldChar w:fldCharType="end"/>
        </w:r>
      </w:hyperlink>
    </w:p>
    <w:p w14:paraId="1B94B634" w14:textId="33DB9740"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409" w:history="1">
        <w:r w:rsidR="009C4EFC" w:rsidRPr="00AA6BF1">
          <w:rPr>
            <w:rStyle w:val="Hipervnculo"/>
            <w:noProof/>
          </w:rPr>
          <w:t>4.1.5. Actividades del GIE Grupo KIO</w:t>
        </w:r>
        <w:r w:rsidR="009C4EFC">
          <w:rPr>
            <w:noProof/>
            <w:webHidden/>
          </w:rPr>
          <w:tab/>
        </w:r>
        <w:r w:rsidR="009C4EFC">
          <w:rPr>
            <w:noProof/>
            <w:webHidden/>
          </w:rPr>
          <w:fldChar w:fldCharType="begin"/>
        </w:r>
        <w:r w:rsidR="009C4EFC">
          <w:rPr>
            <w:noProof/>
            <w:webHidden/>
          </w:rPr>
          <w:instrText xml:space="preserve"> PAGEREF _Toc511061409 \h </w:instrText>
        </w:r>
        <w:r w:rsidR="009C4EFC">
          <w:rPr>
            <w:noProof/>
            <w:webHidden/>
          </w:rPr>
        </w:r>
        <w:r w:rsidR="009C4EFC">
          <w:rPr>
            <w:noProof/>
            <w:webHidden/>
          </w:rPr>
          <w:fldChar w:fldCharType="separate"/>
        </w:r>
        <w:r w:rsidR="00F437FF">
          <w:rPr>
            <w:noProof/>
            <w:webHidden/>
          </w:rPr>
          <w:t>20</w:t>
        </w:r>
        <w:r w:rsidR="009C4EFC">
          <w:rPr>
            <w:noProof/>
            <w:webHidden/>
          </w:rPr>
          <w:fldChar w:fldCharType="end"/>
        </w:r>
      </w:hyperlink>
    </w:p>
    <w:p w14:paraId="331EAC1A" w14:textId="44D96BED"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410" w:history="1">
        <w:r w:rsidR="009C4EFC" w:rsidRPr="00AA6BF1">
          <w:rPr>
            <w:rStyle w:val="Hipervnculo"/>
            <w:noProof/>
          </w:rPr>
          <w:t>4.2. Sociedades Adquiridas</w:t>
        </w:r>
        <w:r w:rsidR="009C4EFC">
          <w:rPr>
            <w:noProof/>
            <w:webHidden/>
          </w:rPr>
          <w:tab/>
        </w:r>
        <w:r w:rsidR="009C4EFC">
          <w:rPr>
            <w:noProof/>
            <w:webHidden/>
          </w:rPr>
          <w:fldChar w:fldCharType="begin"/>
        </w:r>
        <w:r w:rsidR="009C4EFC">
          <w:rPr>
            <w:noProof/>
            <w:webHidden/>
          </w:rPr>
          <w:instrText xml:space="preserve"> PAGEREF _Toc511061410 \h </w:instrText>
        </w:r>
        <w:r w:rsidR="009C4EFC">
          <w:rPr>
            <w:noProof/>
            <w:webHidden/>
          </w:rPr>
        </w:r>
        <w:r w:rsidR="009C4EFC">
          <w:rPr>
            <w:noProof/>
            <w:webHidden/>
          </w:rPr>
          <w:fldChar w:fldCharType="separate"/>
        </w:r>
        <w:r w:rsidR="00F437FF">
          <w:rPr>
            <w:noProof/>
            <w:webHidden/>
          </w:rPr>
          <w:t>21</w:t>
        </w:r>
        <w:r w:rsidR="009C4EFC">
          <w:rPr>
            <w:noProof/>
            <w:webHidden/>
          </w:rPr>
          <w:fldChar w:fldCharType="end"/>
        </w:r>
      </w:hyperlink>
    </w:p>
    <w:p w14:paraId="3ABD38AA" w14:textId="1086DD66"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411" w:history="1">
        <w:r w:rsidR="009C4EFC" w:rsidRPr="00AA6BF1">
          <w:rPr>
            <w:rStyle w:val="Hipervnculo"/>
            <w:noProof/>
          </w:rPr>
          <w:t>4.2.1. CFCA</w:t>
        </w:r>
        <w:r w:rsidR="009C4EFC">
          <w:rPr>
            <w:noProof/>
            <w:webHidden/>
          </w:rPr>
          <w:tab/>
        </w:r>
        <w:r w:rsidR="009C4EFC">
          <w:rPr>
            <w:noProof/>
            <w:webHidden/>
          </w:rPr>
          <w:fldChar w:fldCharType="begin"/>
        </w:r>
        <w:r w:rsidR="009C4EFC">
          <w:rPr>
            <w:noProof/>
            <w:webHidden/>
          </w:rPr>
          <w:instrText xml:space="preserve"> PAGEREF _Toc511061411 \h </w:instrText>
        </w:r>
        <w:r w:rsidR="009C4EFC">
          <w:rPr>
            <w:noProof/>
            <w:webHidden/>
          </w:rPr>
        </w:r>
        <w:r w:rsidR="009C4EFC">
          <w:rPr>
            <w:noProof/>
            <w:webHidden/>
          </w:rPr>
          <w:fldChar w:fldCharType="separate"/>
        </w:r>
        <w:r w:rsidR="00F437FF">
          <w:rPr>
            <w:noProof/>
            <w:webHidden/>
          </w:rPr>
          <w:t>21</w:t>
        </w:r>
        <w:r w:rsidR="009C4EFC">
          <w:rPr>
            <w:noProof/>
            <w:webHidden/>
          </w:rPr>
          <w:fldChar w:fldCharType="end"/>
        </w:r>
      </w:hyperlink>
    </w:p>
    <w:p w14:paraId="083395B9" w14:textId="0A333EE9"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412" w:history="1">
        <w:r w:rsidR="009C4EFC" w:rsidRPr="00AA6BF1">
          <w:rPr>
            <w:rStyle w:val="Hipervnculo"/>
            <w:noProof/>
            <w:lang w:val="es-MX"/>
          </w:rPr>
          <w:t>Autorización otorgada a</w:t>
        </w:r>
        <w:r w:rsidR="009C4EFC" w:rsidRPr="00AA6BF1">
          <w:rPr>
            <w:rStyle w:val="Hipervnculo"/>
            <w:noProof/>
            <w:lang w:val="es-MX"/>
          </w:rPr>
          <w:t xml:space="preserve"> </w:t>
        </w:r>
        <w:r w:rsidR="009C4EFC" w:rsidRPr="00AA6BF1">
          <w:rPr>
            <w:rStyle w:val="Hipervnculo"/>
            <w:noProof/>
            <w:lang w:val="es-MX"/>
          </w:rPr>
          <w:t>CFCA</w:t>
        </w:r>
        <w:r w:rsidR="009C4EFC">
          <w:rPr>
            <w:noProof/>
            <w:webHidden/>
          </w:rPr>
          <w:tab/>
        </w:r>
        <w:r w:rsidR="009C4EFC">
          <w:rPr>
            <w:noProof/>
            <w:webHidden/>
          </w:rPr>
          <w:fldChar w:fldCharType="begin"/>
        </w:r>
        <w:r w:rsidR="009C4EFC">
          <w:rPr>
            <w:noProof/>
            <w:webHidden/>
          </w:rPr>
          <w:instrText xml:space="preserve"> PAGEREF _Toc511061412 \h </w:instrText>
        </w:r>
        <w:r w:rsidR="009C4EFC">
          <w:rPr>
            <w:noProof/>
            <w:webHidden/>
          </w:rPr>
        </w:r>
        <w:r w:rsidR="009C4EFC">
          <w:rPr>
            <w:noProof/>
            <w:webHidden/>
          </w:rPr>
          <w:fldChar w:fldCharType="separate"/>
        </w:r>
        <w:r w:rsidR="00F437FF">
          <w:rPr>
            <w:noProof/>
            <w:webHidden/>
          </w:rPr>
          <w:t>22</w:t>
        </w:r>
        <w:r w:rsidR="009C4EFC">
          <w:rPr>
            <w:noProof/>
            <w:webHidden/>
          </w:rPr>
          <w:fldChar w:fldCharType="end"/>
        </w:r>
      </w:hyperlink>
    </w:p>
    <w:p w14:paraId="3E038404" w14:textId="3E4A5B3F"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413" w:history="1">
        <w:r w:rsidR="009C4EFC" w:rsidRPr="00AA6BF1">
          <w:rPr>
            <w:rStyle w:val="Hipervnculo"/>
            <w:noProof/>
          </w:rPr>
          <w:t>Evolución de la relación entre Metro Net y CFCA</w:t>
        </w:r>
        <w:r w:rsidR="009C4EFC">
          <w:rPr>
            <w:noProof/>
            <w:webHidden/>
          </w:rPr>
          <w:tab/>
        </w:r>
        <w:r>
          <w:rPr>
            <w:noProof/>
            <w:webHidden/>
          </w:rPr>
          <w:t>…</w:t>
        </w:r>
      </w:hyperlink>
      <w:r>
        <w:rPr>
          <w:noProof/>
        </w:rPr>
        <w:t>22</w:t>
      </w:r>
    </w:p>
    <w:p w14:paraId="27EC74EE" w14:textId="55E658B4"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414" w:history="1">
        <w:r w:rsidR="009C4EFC" w:rsidRPr="00AA6BF1">
          <w:rPr>
            <w:rStyle w:val="Hipervnculo"/>
            <w:noProof/>
          </w:rPr>
          <w:t>4.2.2. Telco</w:t>
        </w:r>
        <w:r w:rsidR="009C4EFC">
          <w:rPr>
            <w:noProof/>
            <w:webHidden/>
          </w:rPr>
          <w:tab/>
        </w:r>
        <w:r w:rsidR="009C4EFC">
          <w:rPr>
            <w:noProof/>
            <w:webHidden/>
          </w:rPr>
          <w:fldChar w:fldCharType="begin"/>
        </w:r>
        <w:r w:rsidR="009C4EFC">
          <w:rPr>
            <w:noProof/>
            <w:webHidden/>
          </w:rPr>
          <w:instrText xml:space="preserve"> PAGEREF _Toc511061414 \h </w:instrText>
        </w:r>
        <w:r w:rsidR="009C4EFC">
          <w:rPr>
            <w:noProof/>
            <w:webHidden/>
          </w:rPr>
        </w:r>
        <w:r w:rsidR="009C4EFC">
          <w:rPr>
            <w:noProof/>
            <w:webHidden/>
          </w:rPr>
          <w:fldChar w:fldCharType="separate"/>
        </w:r>
        <w:r w:rsidR="00F437FF">
          <w:rPr>
            <w:noProof/>
            <w:webHidden/>
          </w:rPr>
          <w:t>24</w:t>
        </w:r>
        <w:r w:rsidR="009C4EFC">
          <w:rPr>
            <w:noProof/>
            <w:webHidden/>
          </w:rPr>
          <w:fldChar w:fldCharType="end"/>
        </w:r>
      </w:hyperlink>
    </w:p>
    <w:p w14:paraId="354EA262" w14:textId="0D953DE0"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415" w:history="1">
        <w:r w:rsidR="009C4EFC" w:rsidRPr="00AA6BF1">
          <w:rPr>
            <w:rStyle w:val="Hipervnculo"/>
            <w:noProof/>
            <w:lang w:val="es-MX"/>
          </w:rPr>
          <w:t>Concesión otorgada a Telco</w:t>
        </w:r>
        <w:r w:rsidR="009C4EFC">
          <w:rPr>
            <w:noProof/>
            <w:webHidden/>
          </w:rPr>
          <w:tab/>
        </w:r>
        <w:r w:rsidR="009C4EFC">
          <w:rPr>
            <w:noProof/>
            <w:webHidden/>
          </w:rPr>
          <w:fldChar w:fldCharType="begin"/>
        </w:r>
        <w:r w:rsidR="009C4EFC">
          <w:rPr>
            <w:noProof/>
            <w:webHidden/>
          </w:rPr>
          <w:instrText xml:space="preserve"> PAGEREF _Toc511061415 \h </w:instrText>
        </w:r>
        <w:r w:rsidR="009C4EFC">
          <w:rPr>
            <w:noProof/>
            <w:webHidden/>
          </w:rPr>
        </w:r>
        <w:r w:rsidR="009C4EFC">
          <w:rPr>
            <w:noProof/>
            <w:webHidden/>
          </w:rPr>
          <w:fldChar w:fldCharType="separate"/>
        </w:r>
        <w:r w:rsidR="00F437FF">
          <w:rPr>
            <w:noProof/>
            <w:webHidden/>
          </w:rPr>
          <w:t>25</w:t>
        </w:r>
        <w:r w:rsidR="009C4EFC">
          <w:rPr>
            <w:noProof/>
            <w:webHidden/>
          </w:rPr>
          <w:fldChar w:fldCharType="end"/>
        </w:r>
      </w:hyperlink>
    </w:p>
    <w:p w14:paraId="24B84DDD" w14:textId="351ED7CD"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416" w:history="1">
        <w:r w:rsidR="009C4EFC" w:rsidRPr="00AA6BF1">
          <w:rPr>
            <w:rStyle w:val="Hipervnculo"/>
            <w:noProof/>
          </w:rPr>
          <w:t>4.3. Compradores</w:t>
        </w:r>
        <w:r w:rsidR="009C4EFC">
          <w:rPr>
            <w:noProof/>
            <w:webHidden/>
          </w:rPr>
          <w:tab/>
        </w:r>
        <w:r w:rsidR="009C4EFC">
          <w:rPr>
            <w:noProof/>
            <w:webHidden/>
          </w:rPr>
          <w:fldChar w:fldCharType="begin"/>
        </w:r>
        <w:r w:rsidR="009C4EFC">
          <w:rPr>
            <w:noProof/>
            <w:webHidden/>
          </w:rPr>
          <w:instrText xml:space="preserve"> PAGEREF _Toc511061416 \h </w:instrText>
        </w:r>
        <w:r w:rsidR="009C4EFC">
          <w:rPr>
            <w:noProof/>
            <w:webHidden/>
          </w:rPr>
        </w:r>
        <w:r w:rsidR="009C4EFC">
          <w:rPr>
            <w:noProof/>
            <w:webHidden/>
          </w:rPr>
          <w:fldChar w:fldCharType="separate"/>
        </w:r>
        <w:r w:rsidR="00F437FF">
          <w:rPr>
            <w:noProof/>
            <w:webHidden/>
          </w:rPr>
          <w:t>26</w:t>
        </w:r>
        <w:r w:rsidR="009C4EFC">
          <w:rPr>
            <w:noProof/>
            <w:webHidden/>
          </w:rPr>
          <w:fldChar w:fldCharType="end"/>
        </w:r>
      </w:hyperlink>
    </w:p>
    <w:p w14:paraId="4D8FDCF8" w14:textId="51365E14"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417" w:history="1">
        <w:r w:rsidR="009C4EFC" w:rsidRPr="00AA6BF1">
          <w:rPr>
            <w:rStyle w:val="Hipervnculo"/>
            <w:noProof/>
          </w:rPr>
          <w:t>4.3.1. ATC MexHold</w:t>
        </w:r>
        <w:r w:rsidR="009C4EFC">
          <w:rPr>
            <w:noProof/>
            <w:webHidden/>
          </w:rPr>
          <w:tab/>
        </w:r>
        <w:r w:rsidR="009C4EFC">
          <w:rPr>
            <w:noProof/>
            <w:webHidden/>
          </w:rPr>
          <w:fldChar w:fldCharType="begin"/>
        </w:r>
        <w:r w:rsidR="009C4EFC">
          <w:rPr>
            <w:noProof/>
            <w:webHidden/>
          </w:rPr>
          <w:instrText xml:space="preserve"> PAGEREF _Toc511061417 \h </w:instrText>
        </w:r>
        <w:r w:rsidR="009C4EFC">
          <w:rPr>
            <w:noProof/>
            <w:webHidden/>
          </w:rPr>
        </w:r>
        <w:r w:rsidR="009C4EFC">
          <w:rPr>
            <w:noProof/>
            <w:webHidden/>
          </w:rPr>
          <w:fldChar w:fldCharType="separate"/>
        </w:r>
        <w:r w:rsidR="00F437FF">
          <w:rPr>
            <w:noProof/>
            <w:webHidden/>
          </w:rPr>
          <w:t>26</w:t>
        </w:r>
        <w:r w:rsidR="009C4EFC">
          <w:rPr>
            <w:noProof/>
            <w:webHidden/>
          </w:rPr>
          <w:fldChar w:fldCharType="end"/>
        </w:r>
      </w:hyperlink>
    </w:p>
    <w:p w14:paraId="231CED16" w14:textId="5512A9FA"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418" w:history="1">
        <w:r w:rsidR="009C4EFC" w:rsidRPr="00AA6BF1">
          <w:rPr>
            <w:rStyle w:val="Hipervnculo"/>
            <w:noProof/>
          </w:rPr>
          <w:t>4.3.2. ATC HFM</w:t>
        </w:r>
        <w:r w:rsidR="009C4EFC">
          <w:rPr>
            <w:noProof/>
            <w:webHidden/>
          </w:rPr>
          <w:tab/>
        </w:r>
        <w:r w:rsidR="009C4EFC">
          <w:rPr>
            <w:noProof/>
            <w:webHidden/>
          </w:rPr>
          <w:fldChar w:fldCharType="begin"/>
        </w:r>
        <w:r w:rsidR="009C4EFC">
          <w:rPr>
            <w:noProof/>
            <w:webHidden/>
          </w:rPr>
          <w:instrText xml:space="preserve"> PAGEREF _Toc511061418 \h </w:instrText>
        </w:r>
        <w:r w:rsidR="009C4EFC">
          <w:rPr>
            <w:noProof/>
            <w:webHidden/>
          </w:rPr>
        </w:r>
        <w:r w:rsidR="009C4EFC">
          <w:rPr>
            <w:noProof/>
            <w:webHidden/>
          </w:rPr>
          <w:fldChar w:fldCharType="separate"/>
        </w:r>
        <w:r w:rsidR="00F437FF">
          <w:rPr>
            <w:noProof/>
            <w:webHidden/>
          </w:rPr>
          <w:t>26</w:t>
        </w:r>
        <w:r w:rsidR="009C4EFC">
          <w:rPr>
            <w:noProof/>
            <w:webHidden/>
          </w:rPr>
          <w:fldChar w:fldCharType="end"/>
        </w:r>
      </w:hyperlink>
    </w:p>
    <w:p w14:paraId="27C03A6A" w14:textId="1F6DD269"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419" w:history="1">
        <w:r w:rsidR="009C4EFC" w:rsidRPr="00AA6BF1">
          <w:rPr>
            <w:rStyle w:val="Hipervnculo"/>
            <w:noProof/>
          </w:rPr>
          <w:t>4.3.3. ATC</w:t>
        </w:r>
        <w:r w:rsidR="009C4EFC">
          <w:rPr>
            <w:noProof/>
            <w:webHidden/>
          </w:rPr>
          <w:tab/>
        </w:r>
        <w:r w:rsidR="009C4EFC">
          <w:rPr>
            <w:noProof/>
            <w:webHidden/>
          </w:rPr>
          <w:fldChar w:fldCharType="begin"/>
        </w:r>
        <w:r w:rsidR="009C4EFC">
          <w:rPr>
            <w:noProof/>
            <w:webHidden/>
          </w:rPr>
          <w:instrText xml:space="preserve"> PAGEREF _Toc511061419 \h </w:instrText>
        </w:r>
        <w:r w:rsidR="009C4EFC">
          <w:rPr>
            <w:noProof/>
            <w:webHidden/>
          </w:rPr>
        </w:r>
        <w:r w:rsidR="009C4EFC">
          <w:rPr>
            <w:noProof/>
            <w:webHidden/>
          </w:rPr>
          <w:fldChar w:fldCharType="separate"/>
        </w:r>
        <w:r w:rsidR="00F437FF">
          <w:rPr>
            <w:noProof/>
            <w:webHidden/>
          </w:rPr>
          <w:t>27</w:t>
        </w:r>
        <w:r w:rsidR="009C4EFC">
          <w:rPr>
            <w:noProof/>
            <w:webHidden/>
          </w:rPr>
          <w:fldChar w:fldCharType="end"/>
        </w:r>
      </w:hyperlink>
    </w:p>
    <w:p w14:paraId="148DAAAF" w14:textId="20026EB9"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420" w:history="1">
        <w:r w:rsidR="009C4EFC" w:rsidRPr="00AA6BF1">
          <w:rPr>
            <w:rStyle w:val="Hipervnculo"/>
            <w:noProof/>
          </w:rPr>
          <w:t>Firmas de inversión que son accionistas en ATC</w:t>
        </w:r>
        <w:r w:rsidR="009C4EFC">
          <w:rPr>
            <w:noProof/>
            <w:webHidden/>
          </w:rPr>
          <w:tab/>
        </w:r>
        <w:r w:rsidR="009C4EFC">
          <w:rPr>
            <w:noProof/>
            <w:webHidden/>
          </w:rPr>
          <w:fldChar w:fldCharType="begin"/>
        </w:r>
        <w:r w:rsidR="009C4EFC">
          <w:rPr>
            <w:noProof/>
            <w:webHidden/>
          </w:rPr>
          <w:instrText xml:space="preserve"> PAGEREF _Toc511061420 \h </w:instrText>
        </w:r>
        <w:r w:rsidR="009C4EFC">
          <w:rPr>
            <w:noProof/>
            <w:webHidden/>
          </w:rPr>
        </w:r>
        <w:r w:rsidR="009C4EFC">
          <w:rPr>
            <w:noProof/>
            <w:webHidden/>
          </w:rPr>
          <w:fldChar w:fldCharType="separate"/>
        </w:r>
        <w:r w:rsidR="00F437FF">
          <w:rPr>
            <w:noProof/>
            <w:webHidden/>
          </w:rPr>
          <w:t>28</w:t>
        </w:r>
        <w:r w:rsidR="009C4EFC">
          <w:rPr>
            <w:noProof/>
            <w:webHidden/>
          </w:rPr>
          <w:fldChar w:fldCharType="end"/>
        </w:r>
      </w:hyperlink>
    </w:p>
    <w:p w14:paraId="19D9BB91" w14:textId="7BE4F83D"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421" w:history="1">
        <w:r w:rsidR="009C4EFC" w:rsidRPr="00AA6BF1">
          <w:rPr>
            <w:rStyle w:val="Hipervnculo"/>
            <w:noProof/>
          </w:rPr>
          <w:t>Estructura de control de los Compradores</w:t>
        </w:r>
        <w:r w:rsidR="009C4EFC">
          <w:rPr>
            <w:noProof/>
            <w:webHidden/>
          </w:rPr>
          <w:tab/>
        </w:r>
        <w:r w:rsidR="009C4EFC">
          <w:rPr>
            <w:noProof/>
            <w:webHidden/>
          </w:rPr>
          <w:fldChar w:fldCharType="begin"/>
        </w:r>
        <w:r w:rsidR="009C4EFC">
          <w:rPr>
            <w:noProof/>
            <w:webHidden/>
          </w:rPr>
          <w:instrText xml:space="preserve"> PAGEREF _Toc511061421 \h </w:instrText>
        </w:r>
        <w:r w:rsidR="009C4EFC">
          <w:rPr>
            <w:noProof/>
            <w:webHidden/>
          </w:rPr>
        </w:r>
        <w:r w:rsidR="009C4EFC">
          <w:rPr>
            <w:noProof/>
            <w:webHidden/>
          </w:rPr>
          <w:fldChar w:fldCharType="separate"/>
        </w:r>
        <w:r w:rsidR="00F437FF">
          <w:rPr>
            <w:noProof/>
            <w:webHidden/>
          </w:rPr>
          <w:t>28</w:t>
        </w:r>
        <w:r w:rsidR="009C4EFC">
          <w:rPr>
            <w:noProof/>
            <w:webHidden/>
          </w:rPr>
          <w:fldChar w:fldCharType="end"/>
        </w:r>
      </w:hyperlink>
    </w:p>
    <w:p w14:paraId="50FD61CC" w14:textId="1317E7A9"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422" w:history="1">
        <w:r w:rsidR="009C4EFC" w:rsidRPr="00AA6BF1">
          <w:rPr>
            <w:rStyle w:val="Hipervnculo"/>
            <w:noProof/>
          </w:rPr>
          <w:t>4.3.4. GIE al que pertenecen los Compradores</w:t>
        </w:r>
        <w:r w:rsidR="009C4EFC">
          <w:rPr>
            <w:noProof/>
            <w:webHidden/>
          </w:rPr>
          <w:tab/>
        </w:r>
        <w:r w:rsidR="009C4EFC">
          <w:rPr>
            <w:noProof/>
            <w:webHidden/>
          </w:rPr>
          <w:fldChar w:fldCharType="begin"/>
        </w:r>
        <w:r w:rsidR="009C4EFC">
          <w:rPr>
            <w:noProof/>
            <w:webHidden/>
          </w:rPr>
          <w:instrText xml:space="preserve"> PAGEREF _Toc511061422 \h </w:instrText>
        </w:r>
        <w:r w:rsidR="009C4EFC">
          <w:rPr>
            <w:noProof/>
            <w:webHidden/>
          </w:rPr>
        </w:r>
        <w:r w:rsidR="009C4EFC">
          <w:rPr>
            <w:noProof/>
            <w:webHidden/>
          </w:rPr>
          <w:fldChar w:fldCharType="separate"/>
        </w:r>
        <w:r w:rsidR="00F437FF">
          <w:rPr>
            <w:noProof/>
            <w:webHidden/>
          </w:rPr>
          <w:t>31</w:t>
        </w:r>
        <w:r w:rsidR="009C4EFC">
          <w:rPr>
            <w:noProof/>
            <w:webHidden/>
          </w:rPr>
          <w:fldChar w:fldCharType="end"/>
        </w:r>
      </w:hyperlink>
    </w:p>
    <w:p w14:paraId="239DAAD3" w14:textId="1871325A"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423" w:history="1">
        <w:r w:rsidR="009C4EFC" w:rsidRPr="00AA6BF1">
          <w:rPr>
            <w:rStyle w:val="Hipervnculo"/>
            <w:noProof/>
          </w:rPr>
          <w:t>4.3.5. Actividades del GIE Grupo ATC</w:t>
        </w:r>
        <w:r w:rsidR="009C4EFC">
          <w:rPr>
            <w:noProof/>
            <w:webHidden/>
          </w:rPr>
          <w:tab/>
        </w:r>
        <w:r w:rsidR="009C4EFC">
          <w:rPr>
            <w:noProof/>
            <w:webHidden/>
          </w:rPr>
          <w:fldChar w:fldCharType="begin"/>
        </w:r>
        <w:r w:rsidR="009C4EFC">
          <w:rPr>
            <w:noProof/>
            <w:webHidden/>
          </w:rPr>
          <w:instrText xml:space="preserve"> PAGEREF _Toc511061423 \h </w:instrText>
        </w:r>
        <w:r w:rsidR="009C4EFC">
          <w:rPr>
            <w:noProof/>
            <w:webHidden/>
          </w:rPr>
        </w:r>
        <w:r w:rsidR="009C4EFC">
          <w:rPr>
            <w:noProof/>
            <w:webHidden/>
          </w:rPr>
          <w:fldChar w:fldCharType="separate"/>
        </w:r>
        <w:r w:rsidR="00F437FF">
          <w:rPr>
            <w:noProof/>
            <w:webHidden/>
          </w:rPr>
          <w:t>32</w:t>
        </w:r>
        <w:r w:rsidR="009C4EFC">
          <w:rPr>
            <w:noProof/>
            <w:webHidden/>
          </w:rPr>
          <w:fldChar w:fldCharType="end"/>
        </w:r>
      </w:hyperlink>
    </w:p>
    <w:p w14:paraId="72AF20B7" w14:textId="68922F5E"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424" w:history="1">
        <w:r w:rsidR="009C4EFC" w:rsidRPr="00AA6BF1">
          <w:rPr>
            <w:rStyle w:val="Hipervnculo"/>
            <w:noProof/>
          </w:rPr>
          <w:t>4.4. Coincidencias en las actividades económicas de las Partes</w:t>
        </w:r>
        <w:r w:rsidR="009C4EFC">
          <w:rPr>
            <w:noProof/>
            <w:webHidden/>
          </w:rPr>
          <w:tab/>
        </w:r>
        <w:r w:rsidR="009C4EFC">
          <w:rPr>
            <w:noProof/>
            <w:webHidden/>
          </w:rPr>
          <w:fldChar w:fldCharType="begin"/>
        </w:r>
        <w:r w:rsidR="009C4EFC">
          <w:rPr>
            <w:noProof/>
            <w:webHidden/>
          </w:rPr>
          <w:instrText xml:space="preserve"> PAGEREF _Toc511061424 \h </w:instrText>
        </w:r>
        <w:r w:rsidR="009C4EFC">
          <w:rPr>
            <w:noProof/>
            <w:webHidden/>
          </w:rPr>
        </w:r>
        <w:r w:rsidR="009C4EFC">
          <w:rPr>
            <w:noProof/>
            <w:webHidden/>
          </w:rPr>
          <w:fldChar w:fldCharType="separate"/>
        </w:r>
        <w:r w:rsidR="00F437FF">
          <w:rPr>
            <w:noProof/>
            <w:webHidden/>
          </w:rPr>
          <w:t>36</w:t>
        </w:r>
        <w:r w:rsidR="009C4EFC">
          <w:rPr>
            <w:noProof/>
            <w:webHidden/>
          </w:rPr>
          <w:fldChar w:fldCharType="end"/>
        </w:r>
      </w:hyperlink>
    </w:p>
    <w:p w14:paraId="4386F1EF" w14:textId="107021BA" w:rsidR="009C4EFC" w:rsidRDefault="00AF5B84">
      <w:pPr>
        <w:pStyle w:val="TDC2"/>
        <w:tabs>
          <w:tab w:val="right" w:leader="dot" w:pos="9394"/>
        </w:tabs>
        <w:rPr>
          <w:rFonts w:asciiTheme="minorHAnsi" w:eastAsiaTheme="minorEastAsia" w:hAnsiTheme="minorHAnsi" w:cstheme="minorBidi"/>
          <w:noProof/>
          <w:sz w:val="22"/>
          <w:szCs w:val="22"/>
          <w:lang w:val="es-MX" w:eastAsia="es-MX"/>
        </w:rPr>
      </w:pPr>
      <w:hyperlink w:anchor="_Toc511061425" w:history="1">
        <w:r w:rsidR="009C4EFC" w:rsidRPr="00AA6BF1">
          <w:rPr>
            <w:rStyle w:val="Hipervnculo"/>
            <w:noProof/>
          </w:rPr>
          <w:t>QUINTO. Evaluación de los requisitos y elementos establecidos en los párrafos primero a cuarto del Artículo Noveno Transitorio</w:t>
        </w:r>
        <w:r w:rsidR="009C4EFC">
          <w:rPr>
            <w:noProof/>
            <w:webHidden/>
          </w:rPr>
          <w:tab/>
        </w:r>
        <w:r w:rsidR="009C4EFC">
          <w:rPr>
            <w:noProof/>
            <w:webHidden/>
          </w:rPr>
          <w:fldChar w:fldCharType="begin"/>
        </w:r>
        <w:r w:rsidR="009C4EFC">
          <w:rPr>
            <w:noProof/>
            <w:webHidden/>
          </w:rPr>
          <w:instrText xml:space="preserve"> PAGEREF _Toc511061425 \h </w:instrText>
        </w:r>
        <w:r w:rsidR="009C4EFC">
          <w:rPr>
            <w:noProof/>
            <w:webHidden/>
          </w:rPr>
        </w:r>
        <w:r w:rsidR="009C4EFC">
          <w:rPr>
            <w:noProof/>
            <w:webHidden/>
          </w:rPr>
          <w:fldChar w:fldCharType="separate"/>
        </w:r>
        <w:r w:rsidR="00F437FF">
          <w:rPr>
            <w:noProof/>
            <w:webHidden/>
          </w:rPr>
          <w:t>36</w:t>
        </w:r>
        <w:r w:rsidR="009C4EFC">
          <w:rPr>
            <w:noProof/>
            <w:webHidden/>
          </w:rPr>
          <w:fldChar w:fldCharType="end"/>
        </w:r>
      </w:hyperlink>
    </w:p>
    <w:p w14:paraId="2AFC3591" w14:textId="4D8393DA"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426" w:history="1">
        <w:r w:rsidR="009C4EFC" w:rsidRPr="00AA6BF1">
          <w:rPr>
            <w:rStyle w:val="Hipervnculo"/>
            <w:noProof/>
          </w:rPr>
          <w:t>La Operación constituye una concentración</w:t>
        </w:r>
        <w:r w:rsidR="009C4EFC">
          <w:rPr>
            <w:noProof/>
            <w:webHidden/>
          </w:rPr>
          <w:tab/>
        </w:r>
        <w:r w:rsidR="009C4EFC">
          <w:rPr>
            <w:noProof/>
            <w:webHidden/>
          </w:rPr>
          <w:fldChar w:fldCharType="begin"/>
        </w:r>
        <w:r w:rsidR="009C4EFC">
          <w:rPr>
            <w:noProof/>
            <w:webHidden/>
          </w:rPr>
          <w:instrText xml:space="preserve"> PAGEREF _Toc511061426 \h </w:instrText>
        </w:r>
        <w:r w:rsidR="009C4EFC">
          <w:rPr>
            <w:noProof/>
            <w:webHidden/>
          </w:rPr>
        </w:r>
        <w:r w:rsidR="009C4EFC">
          <w:rPr>
            <w:noProof/>
            <w:webHidden/>
          </w:rPr>
          <w:fldChar w:fldCharType="separate"/>
        </w:r>
        <w:r w:rsidR="00F437FF">
          <w:rPr>
            <w:noProof/>
            <w:webHidden/>
          </w:rPr>
          <w:t>37</w:t>
        </w:r>
        <w:r w:rsidR="009C4EFC">
          <w:rPr>
            <w:noProof/>
            <w:webHidden/>
          </w:rPr>
          <w:fldChar w:fldCharType="end"/>
        </w:r>
      </w:hyperlink>
    </w:p>
    <w:p w14:paraId="289FCA0D" w14:textId="682552B5"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427" w:history="1">
        <w:r w:rsidR="009C4EFC" w:rsidRPr="00AA6BF1">
          <w:rPr>
            <w:rStyle w:val="Hipervnculo"/>
            <w:noProof/>
          </w:rPr>
          <w:t>5.1. Los Agentes económicos que realizaron la concentración son titulares de concesiones</w:t>
        </w:r>
        <w:r w:rsidR="009C4EFC">
          <w:rPr>
            <w:noProof/>
            <w:webHidden/>
          </w:rPr>
          <w:tab/>
        </w:r>
        <w:r w:rsidR="009C4EFC">
          <w:rPr>
            <w:noProof/>
            <w:webHidden/>
          </w:rPr>
          <w:fldChar w:fldCharType="begin"/>
        </w:r>
        <w:r w:rsidR="009C4EFC">
          <w:rPr>
            <w:noProof/>
            <w:webHidden/>
          </w:rPr>
          <w:instrText xml:space="preserve"> PAGEREF _Toc511061427 \h </w:instrText>
        </w:r>
        <w:r w:rsidR="009C4EFC">
          <w:rPr>
            <w:noProof/>
            <w:webHidden/>
          </w:rPr>
        </w:r>
        <w:r w:rsidR="009C4EFC">
          <w:rPr>
            <w:noProof/>
            <w:webHidden/>
          </w:rPr>
          <w:fldChar w:fldCharType="separate"/>
        </w:r>
        <w:r w:rsidR="00F437FF">
          <w:rPr>
            <w:noProof/>
            <w:webHidden/>
          </w:rPr>
          <w:t>38</w:t>
        </w:r>
        <w:r w:rsidR="009C4EFC">
          <w:rPr>
            <w:noProof/>
            <w:webHidden/>
          </w:rPr>
          <w:fldChar w:fldCharType="end"/>
        </w:r>
      </w:hyperlink>
    </w:p>
    <w:p w14:paraId="15172E6A" w14:textId="6CDA5D52"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428" w:history="1">
        <w:r w:rsidR="009C4EFC" w:rsidRPr="00AA6BF1">
          <w:rPr>
            <w:rStyle w:val="Hipervnculo"/>
            <w:noProof/>
          </w:rPr>
          <w:t>5.2. Presentación oportuna del Aviso de Concentración</w:t>
        </w:r>
        <w:r w:rsidR="009C4EFC">
          <w:rPr>
            <w:noProof/>
            <w:webHidden/>
          </w:rPr>
          <w:tab/>
        </w:r>
        <w:r w:rsidR="009C4EFC">
          <w:rPr>
            <w:noProof/>
            <w:webHidden/>
          </w:rPr>
          <w:fldChar w:fldCharType="begin"/>
        </w:r>
        <w:r w:rsidR="009C4EFC">
          <w:rPr>
            <w:noProof/>
            <w:webHidden/>
          </w:rPr>
          <w:instrText xml:space="preserve"> PAGEREF _Toc511061428 \h </w:instrText>
        </w:r>
        <w:r w:rsidR="009C4EFC">
          <w:rPr>
            <w:noProof/>
            <w:webHidden/>
          </w:rPr>
        </w:r>
        <w:r w:rsidR="009C4EFC">
          <w:rPr>
            <w:noProof/>
            <w:webHidden/>
          </w:rPr>
          <w:fldChar w:fldCharType="separate"/>
        </w:r>
        <w:r w:rsidR="00F437FF">
          <w:rPr>
            <w:noProof/>
            <w:webHidden/>
          </w:rPr>
          <w:t>39</w:t>
        </w:r>
        <w:r w:rsidR="009C4EFC">
          <w:rPr>
            <w:noProof/>
            <w:webHidden/>
          </w:rPr>
          <w:fldChar w:fldCharType="end"/>
        </w:r>
      </w:hyperlink>
    </w:p>
    <w:p w14:paraId="355C5C3E" w14:textId="45432CCC"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429" w:history="1">
        <w:r w:rsidR="009C4EFC" w:rsidRPr="00AA6BF1">
          <w:rPr>
            <w:rStyle w:val="Hipervnculo"/>
            <w:noProof/>
          </w:rPr>
          <w:t>5.3. Evaluación de los requisitos previstos en los incisos a. a d. del párrafo primero del Artículo Noveno Transitorio</w:t>
        </w:r>
        <w:r w:rsidR="009C4EFC">
          <w:rPr>
            <w:noProof/>
            <w:webHidden/>
          </w:rPr>
          <w:tab/>
        </w:r>
        <w:r w:rsidR="009C4EFC">
          <w:rPr>
            <w:noProof/>
            <w:webHidden/>
          </w:rPr>
          <w:fldChar w:fldCharType="begin"/>
        </w:r>
        <w:r w:rsidR="009C4EFC">
          <w:rPr>
            <w:noProof/>
            <w:webHidden/>
          </w:rPr>
          <w:instrText xml:space="preserve"> PAGEREF _Toc511061429 \h </w:instrText>
        </w:r>
        <w:r w:rsidR="009C4EFC">
          <w:rPr>
            <w:noProof/>
            <w:webHidden/>
          </w:rPr>
        </w:r>
        <w:r w:rsidR="009C4EFC">
          <w:rPr>
            <w:noProof/>
            <w:webHidden/>
          </w:rPr>
          <w:fldChar w:fldCharType="separate"/>
        </w:r>
        <w:r w:rsidR="00F437FF">
          <w:rPr>
            <w:noProof/>
            <w:webHidden/>
          </w:rPr>
          <w:t>40</w:t>
        </w:r>
        <w:r w:rsidR="009C4EFC">
          <w:rPr>
            <w:noProof/>
            <w:webHidden/>
          </w:rPr>
          <w:fldChar w:fldCharType="end"/>
        </w:r>
      </w:hyperlink>
    </w:p>
    <w:p w14:paraId="334B9828" w14:textId="3801933C" w:rsidR="009C4EFC" w:rsidRDefault="00AF5B84">
      <w:pPr>
        <w:pStyle w:val="TDC3"/>
        <w:tabs>
          <w:tab w:val="right" w:leader="dot" w:pos="9394"/>
        </w:tabs>
        <w:rPr>
          <w:rFonts w:asciiTheme="minorHAnsi" w:eastAsiaTheme="minorEastAsia" w:hAnsiTheme="minorHAnsi" w:cstheme="minorBidi"/>
          <w:noProof/>
          <w:sz w:val="22"/>
          <w:szCs w:val="22"/>
          <w:lang w:val="es-MX" w:eastAsia="es-MX"/>
        </w:rPr>
      </w:pPr>
      <w:hyperlink w:anchor="_Toc511061430" w:history="1">
        <w:r w:rsidR="009C4EFC" w:rsidRPr="00AA6BF1">
          <w:rPr>
            <w:rStyle w:val="Hipervnculo"/>
            <w:noProof/>
          </w:rPr>
          <w:t>Elementos para calcular las participaciones sectoriales previstas en los incisos a. y b.</w:t>
        </w:r>
        <w:r w:rsidR="009C4EFC">
          <w:rPr>
            <w:noProof/>
            <w:webHidden/>
          </w:rPr>
          <w:tab/>
        </w:r>
        <w:r w:rsidR="009C4EFC">
          <w:rPr>
            <w:noProof/>
            <w:webHidden/>
          </w:rPr>
          <w:fldChar w:fldCharType="begin"/>
        </w:r>
        <w:r w:rsidR="009C4EFC">
          <w:rPr>
            <w:noProof/>
            <w:webHidden/>
          </w:rPr>
          <w:instrText xml:space="preserve"> PAGEREF _Toc511061430 \h </w:instrText>
        </w:r>
        <w:r w:rsidR="009C4EFC">
          <w:rPr>
            <w:noProof/>
            <w:webHidden/>
          </w:rPr>
        </w:r>
        <w:r w:rsidR="009C4EFC">
          <w:rPr>
            <w:noProof/>
            <w:webHidden/>
          </w:rPr>
          <w:fldChar w:fldCharType="separate"/>
        </w:r>
        <w:r w:rsidR="00F437FF">
          <w:rPr>
            <w:noProof/>
            <w:webHidden/>
          </w:rPr>
          <w:t>40</w:t>
        </w:r>
        <w:r w:rsidR="009C4EFC">
          <w:rPr>
            <w:noProof/>
            <w:webHidden/>
          </w:rPr>
          <w:fldChar w:fldCharType="end"/>
        </w:r>
      </w:hyperlink>
    </w:p>
    <w:p w14:paraId="76190401" w14:textId="00DE5816" w:rsidR="009C4EFC" w:rsidRDefault="00AF5B84">
      <w:pPr>
        <w:pStyle w:val="TDC4"/>
        <w:tabs>
          <w:tab w:val="right" w:leader="dot" w:pos="9394"/>
        </w:tabs>
        <w:rPr>
          <w:rFonts w:asciiTheme="minorHAnsi" w:eastAsiaTheme="minorEastAsia" w:hAnsiTheme="minorHAnsi" w:cstheme="minorBidi"/>
          <w:noProof/>
          <w:sz w:val="22"/>
          <w:szCs w:val="22"/>
          <w:lang w:val="es-MX" w:eastAsia="es-MX"/>
        </w:rPr>
      </w:pPr>
      <w:hyperlink w:anchor="_Toc511061431" w:history="1">
        <w:r w:rsidR="009C4EFC" w:rsidRPr="00AA6BF1">
          <w:rPr>
            <w:rStyle w:val="Hipervnculo"/>
            <w:i/>
            <w:noProof/>
          </w:rPr>
          <w:t>5.3.1. Inciso a.</w:t>
        </w:r>
        <w:r w:rsidR="009C4EFC">
          <w:rPr>
            <w:noProof/>
            <w:webHidden/>
          </w:rPr>
          <w:tab/>
        </w:r>
        <w:r w:rsidR="009C4EFC">
          <w:rPr>
            <w:noProof/>
            <w:webHidden/>
          </w:rPr>
          <w:fldChar w:fldCharType="begin"/>
        </w:r>
        <w:r w:rsidR="009C4EFC">
          <w:rPr>
            <w:noProof/>
            <w:webHidden/>
          </w:rPr>
          <w:instrText xml:space="preserve"> PAGEREF _Toc511061431 \h </w:instrText>
        </w:r>
        <w:r w:rsidR="009C4EFC">
          <w:rPr>
            <w:noProof/>
            <w:webHidden/>
          </w:rPr>
        </w:r>
        <w:r w:rsidR="009C4EFC">
          <w:rPr>
            <w:noProof/>
            <w:webHidden/>
          </w:rPr>
          <w:fldChar w:fldCharType="separate"/>
        </w:r>
        <w:r w:rsidR="00F437FF">
          <w:rPr>
            <w:noProof/>
            <w:webHidden/>
          </w:rPr>
          <w:t>41</w:t>
        </w:r>
        <w:r w:rsidR="009C4EFC">
          <w:rPr>
            <w:noProof/>
            <w:webHidden/>
          </w:rPr>
          <w:fldChar w:fldCharType="end"/>
        </w:r>
      </w:hyperlink>
    </w:p>
    <w:p w14:paraId="38BB9386" w14:textId="4F5BD0DC" w:rsidR="009C4EFC" w:rsidRDefault="00AF5B84">
      <w:pPr>
        <w:pStyle w:val="TDC4"/>
        <w:tabs>
          <w:tab w:val="right" w:leader="dot" w:pos="9394"/>
        </w:tabs>
        <w:rPr>
          <w:rFonts w:asciiTheme="minorHAnsi" w:eastAsiaTheme="minorEastAsia" w:hAnsiTheme="minorHAnsi" w:cstheme="minorBidi"/>
          <w:noProof/>
          <w:sz w:val="22"/>
          <w:szCs w:val="22"/>
          <w:lang w:val="es-MX" w:eastAsia="es-MX"/>
        </w:rPr>
      </w:pPr>
      <w:hyperlink w:anchor="_Toc511061432" w:history="1">
        <w:r w:rsidR="009C4EFC" w:rsidRPr="00AA6BF1">
          <w:rPr>
            <w:rStyle w:val="Hipervnculo"/>
            <w:i/>
            <w:noProof/>
          </w:rPr>
          <w:t>5.3.2. Inciso b.</w:t>
        </w:r>
        <w:r w:rsidR="009C4EFC">
          <w:rPr>
            <w:noProof/>
            <w:webHidden/>
          </w:rPr>
          <w:tab/>
        </w:r>
        <w:r w:rsidR="009C4EFC">
          <w:rPr>
            <w:noProof/>
            <w:webHidden/>
          </w:rPr>
          <w:fldChar w:fldCharType="begin"/>
        </w:r>
        <w:r w:rsidR="009C4EFC">
          <w:rPr>
            <w:noProof/>
            <w:webHidden/>
          </w:rPr>
          <w:instrText xml:space="preserve"> PAGEREF _Toc511061432 \h </w:instrText>
        </w:r>
        <w:r w:rsidR="009C4EFC">
          <w:rPr>
            <w:noProof/>
            <w:webHidden/>
          </w:rPr>
        </w:r>
        <w:r w:rsidR="009C4EFC">
          <w:rPr>
            <w:noProof/>
            <w:webHidden/>
          </w:rPr>
          <w:fldChar w:fldCharType="separate"/>
        </w:r>
        <w:r w:rsidR="00F437FF">
          <w:rPr>
            <w:noProof/>
            <w:webHidden/>
          </w:rPr>
          <w:t>43</w:t>
        </w:r>
        <w:r w:rsidR="009C4EFC">
          <w:rPr>
            <w:noProof/>
            <w:webHidden/>
          </w:rPr>
          <w:fldChar w:fldCharType="end"/>
        </w:r>
      </w:hyperlink>
    </w:p>
    <w:p w14:paraId="0F174A95" w14:textId="0E9B119A" w:rsidR="009C4EFC" w:rsidRDefault="00AF5B84">
      <w:pPr>
        <w:pStyle w:val="TDC4"/>
        <w:tabs>
          <w:tab w:val="right" w:leader="dot" w:pos="9394"/>
        </w:tabs>
        <w:rPr>
          <w:rFonts w:asciiTheme="minorHAnsi" w:eastAsiaTheme="minorEastAsia" w:hAnsiTheme="minorHAnsi" w:cstheme="minorBidi"/>
          <w:noProof/>
          <w:sz w:val="22"/>
          <w:szCs w:val="22"/>
          <w:lang w:val="es-MX" w:eastAsia="es-MX"/>
        </w:rPr>
      </w:pPr>
      <w:hyperlink w:anchor="_Toc511061433" w:history="1">
        <w:r w:rsidR="009C4EFC" w:rsidRPr="00AA6BF1">
          <w:rPr>
            <w:rStyle w:val="Hipervnculo"/>
            <w:i/>
            <w:noProof/>
          </w:rPr>
          <w:t>5.3.3. Inciso c.</w:t>
        </w:r>
        <w:r w:rsidR="009C4EFC">
          <w:rPr>
            <w:noProof/>
            <w:webHidden/>
          </w:rPr>
          <w:tab/>
        </w:r>
        <w:r w:rsidR="009C4EFC">
          <w:rPr>
            <w:noProof/>
            <w:webHidden/>
          </w:rPr>
          <w:fldChar w:fldCharType="begin"/>
        </w:r>
        <w:r w:rsidR="009C4EFC">
          <w:rPr>
            <w:noProof/>
            <w:webHidden/>
          </w:rPr>
          <w:instrText xml:space="preserve"> PAGEREF _Toc511061433 \h </w:instrText>
        </w:r>
        <w:r w:rsidR="009C4EFC">
          <w:rPr>
            <w:noProof/>
            <w:webHidden/>
          </w:rPr>
        </w:r>
        <w:r w:rsidR="009C4EFC">
          <w:rPr>
            <w:noProof/>
            <w:webHidden/>
          </w:rPr>
          <w:fldChar w:fldCharType="separate"/>
        </w:r>
        <w:r w:rsidR="00F437FF">
          <w:rPr>
            <w:noProof/>
            <w:webHidden/>
          </w:rPr>
          <w:t>43</w:t>
        </w:r>
        <w:r w:rsidR="009C4EFC">
          <w:rPr>
            <w:noProof/>
            <w:webHidden/>
          </w:rPr>
          <w:fldChar w:fldCharType="end"/>
        </w:r>
      </w:hyperlink>
    </w:p>
    <w:p w14:paraId="0B94F3E0" w14:textId="6B100C97" w:rsidR="009C4EFC" w:rsidRDefault="00AF5B84">
      <w:pPr>
        <w:pStyle w:val="TDC4"/>
        <w:tabs>
          <w:tab w:val="right" w:leader="dot" w:pos="9394"/>
        </w:tabs>
        <w:rPr>
          <w:rFonts w:asciiTheme="minorHAnsi" w:eastAsiaTheme="minorEastAsia" w:hAnsiTheme="minorHAnsi" w:cstheme="minorBidi"/>
          <w:noProof/>
          <w:sz w:val="22"/>
          <w:szCs w:val="22"/>
          <w:lang w:val="es-MX" w:eastAsia="es-MX"/>
        </w:rPr>
      </w:pPr>
      <w:hyperlink w:anchor="_Toc511061434" w:history="1">
        <w:r w:rsidR="009C4EFC" w:rsidRPr="00AA6BF1">
          <w:rPr>
            <w:rStyle w:val="Hipervnculo"/>
            <w:i/>
            <w:noProof/>
          </w:rPr>
          <w:t>5.3.4. Inciso d.</w:t>
        </w:r>
        <w:r w:rsidR="009C4EFC">
          <w:rPr>
            <w:noProof/>
            <w:webHidden/>
          </w:rPr>
          <w:tab/>
        </w:r>
        <w:r w:rsidR="009C4EFC">
          <w:rPr>
            <w:noProof/>
            <w:webHidden/>
          </w:rPr>
          <w:fldChar w:fldCharType="begin"/>
        </w:r>
        <w:r w:rsidR="009C4EFC">
          <w:rPr>
            <w:noProof/>
            <w:webHidden/>
          </w:rPr>
          <w:instrText xml:space="preserve"> PAGEREF _Toc511061434 \h </w:instrText>
        </w:r>
        <w:r w:rsidR="009C4EFC">
          <w:rPr>
            <w:noProof/>
            <w:webHidden/>
          </w:rPr>
        </w:r>
        <w:r w:rsidR="009C4EFC">
          <w:rPr>
            <w:noProof/>
            <w:webHidden/>
          </w:rPr>
          <w:fldChar w:fldCharType="separate"/>
        </w:r>
        <w:r w:rsidR="00F437FF">
          <w:rPr>
            <w:noProof/>
            <w:webHidden/>
          </w:rPr>
          <w:t>44</w:t>
        </w:r>
        <w:r w:rsidR="009C4EFC">
          <w:rPr>
            <w:noProof/>
            <w:webHidden/>
          </w:rPr>
          <w:fldChar w:fldCharType="end"/>
        </w:r>
      </w:hyperlink>
    </w:p>
    <w:p w14:paraId="6C5C7F43" w14:textId="1C3107A6" w:rsidR="009C4EFC" w:rsidRDefault="00AF5B84">
      <w:pPr>
        <w:pStyle w:val="TDC2"/>
        <w:tabs>
          <w:tab w:val="right" w:leader="dot" w:pos="9394"/>
        </w:tabs>
        <w:rPr>
          <w:rFonts w:asciiTheme="minorHAnsi" w:eastAsiaTheme="minorEastAsia" w:hAnsiTheme="minorHAnsi" w:cstheme="minorBidi"/>
          <w:noProof/>
          <w:sz w:val="22"/>
          <w:szCs w:val="22"/>
          <w:lang w:val="es-MX" w:eastAsia="es-MX"/>
        </w:rPr>
      </w:pPr>
      <w:hyperlink w:anchor="_Toc511061435" w:history="1">
        <w:r w:rsidR="009C4EFC" w:rsidRPr="00AA6BF1">
          <w:rPr>
            <w:rStyle w:val="Hipervnculo"/>
            <w:noProof/>
          </w:rPr>
          <w:t>SEXTO. Conclusión</w:t>
        </w:r>
        <w:r w:rsidR="009C4EFC">
          <w:rPr>
            <w:noProof/>
            <w:webHidden/>
          </w:rPr>
          <w:tab/>
        </w:r>
        <w:r w:rsidR="009C4EFC">
          <w:rPr>
            <w:noProof/>
            <w:webHidden/>
          </w:rPr>
          <w:fldChar w:fldCharType="begin"/>
        </w:r>
        <w:r w:rsidR="009C4EFC">
          <w:rPr>
            <w:noProof/>
            <w:webHidden/>
          </w:rPr>
          <w:instrText xml:space="preserve"> PAGEREF _Toc511061435 \h </w:instrText>
        </w:r>
        <w:r w:rsidR="009C4EFC">
          <w:rPr>
            <w:noProof/>
            <w:webHidden/>
          </w:rPr>
        </w:r>
        <w:r w:rsidR="009C4EFC">
          <w:rPr>
            <w:noProof/>
            <w:webHidden/>
          </w:rPr>
          <w:fldChar w:fldCharType="separate"/>
        </w:r>
        <w:r w:rsidR="00F437FF">
          <w:rPr>
            <w:noProof/>
            <w:webHidden/>
          </w:rPr>
          <w:t>49</w:t>
        </w:r>
        <w:r w:rsidR="009C4EFC">
          <w:rPr>
            <w:noProof/>
            <w:webHidden/>
          </w:rPr>
          <w:fldChar w:fldCharType="end"/>
        </w:r>
      </w:hyperlink>
    </w:p>
    <w:p w14:paraId="338B1198" w14:textId="1B43B9B3" w:rsidR="009C4EFC" w:rsidRDefault="00AF5B84">
      <w:pPr>
        <w:pStyle w:val="TDC1"/>
        <w:tabs>
          <w:tab w:val="right" w:leader="dot" w:pos="9394"/>
        </w:tabs>
        <w:rPr>
          <w:rFonts w:asciiTheme="minorHAnsi" w:eastAsiaTheme="minorEastAsia" w:hAnsiTheme="minorHAnsi" w:cstheme="minorBidi"/>
          <w:noProof/>
          <w:sz w:val="22"/>
          <w:szCs w:val="22"/>
          <w:lang w:val="es-MX" w:eastAsia="es-MX"/>
        </w:rPr>
      </w:pPr>
      <w:hyperlink w:anchor="_Toc511061436" w:history="1">
        <w:r w:rsidR="009C4EFC" w:rsidRPr="00AA6BF1">
          <w:rPr>
            <w:rStyle w:val="Hipervnculo"/>
            <w:noProof/>
          </w:rPr>
          <w:t>III. RESOLUTIVOS</w:t>
        </w:r>
        <w:r w:rsidR="009C4EFC">
          <w:rPr>
            <w:noProof/>
            <w:webHidden/>
          </w:rPr>
          <w:tab/>
        </w:r>
        <w:r w:rsidR="009C4EFC">
          <w:rPr>
            <w:noProof/>
            <w:webHidden/>
          </w:rPr>
          <w:fldChar w:fldCharType="begin"/>
        </w:r>
        <w:r w:rsidR="009C4EFC">
          <w:rPr>
            <w:noProof/>
            <w:webHidden/>
          </w:rPr>
          <w:instrText xml:space="preserve"> PAGEREF _Toc511061436 \h </w:instrText>
        </w:r>
        <w:r w:rsidR="009C4EFC">
          <w:rPr>
            <w:noProof/>
            <w:webHidden/>
          </w:rPr>
        </w:r>
        <w:r w:rsidR="009C4EFC">
          <w:rPr>
            <w:noProof/>
            <w:webHidden/>
          </w:rPr>
          <w:fldChar w:fldCharType="separate"/>
        </w:r>
        <w:r w:rsidR="00F437FF">
          <w:rPr>
            <w:noProof/>
            <w:webHidden/>
          </w:rPr>
          <w:t>50</w:t>
        </w:r>
        <w:r w:rsidR="009C4EFC">
          <w:rPr>
            <w:noProof/>
            <w:webHidden/>
          </w:rPr>
          <w:fldChar w:fldCharType="end"/>
        </w:r>
      </w:hyperlink>
    </w:p>
    <w:p w14:paraId="792ECF8E" w14:textId="1DB438C3" w:rsidR="00D87FA8" w:rsidRDefault="00D7412C" w:rsidP="0023224A">
      <w:pPr>
        <w:pStyle w:val="Encabezado"/>
        <w:tabs>
          <w:tab w:val="clear" w:pos="8838"/>
        </w:tabs>
        <w:spacing w:after="120" w:line="276" w:lineRule="auto"/>
        <w:ind w:right="-1"/>
        <w:rPr>
          <w:b/>
        </w:rPr>
      </w:pPr>
      <w:r>
        <w:rPr>
          <w:b/>
        </w:rPr>
        <w:fldChar w:fldCharType="end"/>
      </w:r>
    </w:p>
    <w:p w14:paraId="7578698B" w14:textId="77777777" w:rsidR="00D7412C" w:rsidRPr="00D87FA8" w:rsidRDefault="00D7412C" w:rsidP="00D87FA8">
      <w:pPr>
        <w:sectPr w:rsidR="00D7412C" w:rsidRPr="00D87FA8" w:rsidSect="00AF5B84">
          <w:headerReference w:type="first" r:id="rId8"/>
          <w:pgSz w:w="12240" w:h="15840"/>
          <w:pgMar w:top="2268" w:right="1418" w:bottom="1135" w:left="1418" w:header="578" w:footer="569" w:gutter="0"/>
          <w:cols w:space="708"/>
          <w:titlePg/>
          <w:docGrid w:linePitch="360"/>
        </w:sectPr>
      </w:pPr>
    </w:p>
    <w:p w14:paraId="13DD648A" w14:textId="44568BB5" w:rsidR="006161FB" w:rsidRPr="0023224A" w:rsidRDefault="0056008D" w:rsidP="0023224A">
      <w:pPr>
        <w:pStyle w:val="Encabezado"/>
        <w:tabs>
          <w:tab w:val="clear" w:pos="8838"/>
        </w:tabs>
        <w:spacing w:after="120" w:line="276" w:lineRule="auto"/>
        <w:ind w:right="-1"/>
        <w:rPr>
          <w:b/>
        </w:rPr>
      </w:pPr>
      <w:r w:rsidRPr="0023224A">
        <w:rPr>
          <w:b/>
        </w:rPr>
        <w:lastRenderedPageBreak/>
        <w:t xml:space="preserve">RESOLUCIÓN MEDIANTE LA CUAL EL PLENO DEL INSTITUTO FEDERAL DE TELECOMUNICACIONES DETERMINA QUE LA CONCENTRACIÓN </w:t>
      </w:r>
      <w:r w:rsidR="009B0705">
        <w:rPr>
          <w:b/>
        </w:rPr>
        <w:t xml:space="preserve">CONSISTENTE EN LA ADQUISICIÓN DE </w:t>
      </w:r>
      <w:r w:rsidR="009B0705" w:rsidRPr="00F62DD0">
        <w:rPr>
          <w:b/>
        </w:rPr>
        <w:t>CFCA TELECOMM, S.A.P.I. DE C.V. Y TECNOLOGÍAS ESPECIALIZADAS EN LÍNEAS DE CONEXIÓN ÓPTICA, S.A.P.I. DE C.V.</w:t>
      </w:r>
      <w:r w:rsidR="009B0705">
        <w:rPr>
          <w:b/>
        </w:rPr>
        <w:t>,</w:t>
      </w:r>
      <w:r w:rsidR="009B0705" w:rsidRPr="00F62DD0">
        <w:rPr>
          <w:b/>
        </w:rPr>
        <w:t xml:space="preserve"> POR PARTE DE ATC MEXHOLD LLC Y ATC HOLDING FIBRA MÉXICO, S. DE R.L. DE C.V.,</w:t>
      </w:r>
      <w:r w:rsidR="009B0705">
        <w:rPr>
          <w:b/>
        </w:rPr>
        <w:t xml:space="preserve"> </w:t>
      </w:r>
      <w:r w:rsidRPr="0023224A">
        <w:rPr>
          <w:b/>
        </w:rPr>
        <w:t xml:space="preserve">A LA QUE SE REFIERE EL AVISO QUE SE TRAMITA EN EL EXPEDIENTE </w:t>
      </w:r>
      <w:r w:rsidR="00D7412C">
        <w:rPr>
          <w:b/>
        </w:rPr>
        <w:t xml:space="preserve">NÚMERO </w:t>
      </w:r>
      <w:r w:rsidR="00A161A8">
        <w:rPr>
          <w:b/>
        </w:rPr>
        <w:t>UCE/</w:t>
      </w:r>
      <w:r w:rsidRPr="0023224A">
        <w:rPr>
          <w:b/>
        </w:rPr>
        <w:t xml:space="preserve">AVC-001-2017 CUMPLE CON LOS INCISOS </w:t>
      </w:r>
      <w:r w:rsidR="00D7412C">
        <w:rPr>
          <w:b/>
        </w:rPr>
        <w:t>a</w:t>
      </w:r>
      <w:r w:rsidR="006A0222">
        <w:rPr>
          <w:b/>
        </w:rPr>
        <w:t>.</w:t>
      </w:r>
      <w:r w:rsidR="00106F7D">
        <w:rPr>
          <w:b/>
        </w:rPr>
        <w:t xml:space="preserve"> A </w:t>
      </w:r>
      <w:r w:rsidR="00D7412C">
        <w:rPr>
          <w:b/>
        </w:rPr>
        <w:t>d</w:t>
      </w:r>
      <w:r w:rsidR="006A0222">
        <w:rPr>
          <w:b/>
        </w:rPr>
        <w:t>.</w:t>
      </w:r>
      <w:r w:rsidR="00106F7D">
        <w:rPr>
          <w:b/>
        </w:rPr>
        <w:t xml:space="preserve"> </w:t>
      </w:r>
      <w:r w:rsidRPr="0023224A">
        <w:rPr>
          <w:b/>
        </w:rPr>
        <w:t>ESTABLECIDOS EN EL PÁRRAFO PRIMERO DEL ARTÍCULO NOVENO TRANSITORIO DEL “</w:t>
      </w:r>
      <w:r w:rsidRPr="0023224A">
        <w:rPr>
          <w:b/>
          <w:i/>
        </w:rPr>
        <w:t>DECRETO POR EL QUE SE EXPIDE LA LEY FEDERAL DE TELECOMUNICACIONES Y RADIODIFUSIÓN, Y LA LEY DEL SISTEMA PÚBLICO DE RADIODIFUSIÓN DEL ESTADO MEXICANO; Y SE REFORMAN, ADICIONAN Y DEROGAN DIVERSAS DISPOSICIONES EN MATERIA DE TELECOMUNICACIONES Y RADIODIFUSIÓN</w:t>
      </w:r>
      <w:r w:rsidRPr="0023224A">
        <w:rPr>
          <w:b/>
        </w:rPr>
        <w:t>”</w:t>
      </w:r>
      <w:r w:rsidR="00DD28F8">
        <w:rPr>
          <w:rStyle w:val="Refdenotaalpie"/>
          <w:b/>
        </w:rPr>
        <w:footnoteReference w:id="1"/>
      </w:r>
      <w:r w:rsidRPr="0023224A">
        <w:rPr>
          <w:b/>
          <w:i/>
        </w:rPr>
        <w:t>.</w:t>
      </w:r>
    </w:p>
    <w:p w14:paraId="2F66AF9E" w14:textId="77777777" w:rsidR="006161FB" w:rsidRPr="00E5316B" w:rsidRDefault="006161FB" w:rsidP="00D7412C">
      <w:pPr>
        <w:pStyle w:val="Ttulo1"/>
      </w:pPr>
      <w:bookmarkStart w:id="0" w:name="_Toc511061390"/>
      <w:r w:rsidRPr="00E5316B">
        <w:t>ANTECEDENTES</w:t>
      </w:r>
      <w:bookmarkEnd w:id="0"/>
    </w:p>
    <w:p w14:paraId="116BFDB1" w14:textId="77777777" w:rsidR="00D7412C" w:rsidRDefault="00F541BA" w:rsidP="005D30ED">
      <w:pPr>
        <w:pStyle w:val="Prrafodelista"/>
        <w:numPr>
          <w:ilvl w:val="0"/>
          <w:numId w:val="19"/>
        </w:numPr>
        <w:spacing w:after="240" w:line="276" w:lineRule="auto"/>
        <w:ind w:left="0" w:right="-1"/>
        <w:contextualSpacing w:val="0"/>
      </w:pPr>
      <w:r w:rsidRPr="00E5316B">
        <w:t>El</w:t>
      </w:r>
      <w:r w:rsidR="006161FB" w:rsidRPr="00E5316B">
        <w:t xml:space="preserve"> </w:t>
      </w:r>
      <w:r w:rsidR="00D7412C">
        <w:t>cuatro</w:t>
      </w:r>
      <w:r w:rsidR="006161FB" w:rsidRPr="00E5316B">
        <w:t xml:space="preserve"> de </w:t>
      </w:r>
      <w:r w:rsidR="00C63729" w:rsidRPr="00E5316B">
        <w:t>diciembre</w:t>
      </w:r>
      <w:r w:rsidR="006161FB" w:rsidRPr="00E5316B">
        <w:t xml:space="preserve"> de </w:t>
      </w:r>
      <w:r w:rsidR="00D7412C">
        <w:t>dos mil diecisiete</w:t>
      </w:r>
      <w:r w:rsidR="006161FB" w:rsidRPr="00E5316B">
        <w:t xml:space="preserve">, </w:t>
      </w:r>
      <w:r w:rsidRPr="00E5316B">
        <w:t>mediante escrito y anexos (</w:t>
      </w:r>
      <w:r w:rsidR="004D34A3" w:rsidRPr="00E5316B">
        <w:t>Aviso de Concentración</w:t>
      </w:r>
      <w:r w:rsidRPr="00E5316B">
        <w:t xml:space="preserve">) presentados en la oficialía de partes del Instituto Federal de Telecomunicaciones (Instituto), los representantes legales de </w:t>
      </w:r>
      <w:r w:rsidR="00D7412C">
        <w:t xml:space="preserve">las siguientes personas morales </w:t>
      </w:r>
      <w:r w:rsidR="00D7412C" w:rsidRPr="00E5316B">
        <w:t xml:space="preserve">presentaron ante este órgano autónomo un aviso de haber realizado </w:t>
      </w:r>
      <w:r w:rsidR="00D7412C" w:rsidRPr="00E5316B">
        <w:rPr>
          <w:bCs/>
          <w:noProof/>
          <w:color w:val="000000"/>
        </w:rPr>
        <w:t>una concentración</w:t>
      </w:r>
      <w:r w:rsidR="003B0B17">
        <w:rPr>
          <w:bCs/>
          <w:noProof/>
          <w:color w:val="000000"/>
        </w:rPr>
        <w:t>,</w:t>
      </w:r>
      <w:r w:rsidR="00D7412C" w:rsidRPr="00E5316B">
        <w:rPr>
          <w:bCs/>
          <w:noProof/>
          <w:color w:val="000000"/>
        </w:rPr>
        <w:t xml:space="preserve"> </w:t>
      </w:r>
      <w:r w:rsidR="00D7412C" w:rsidRPr="00E5316B">
        <w:t>en términos del artículo Noveno Transitorio del “</w:t>
      </w:r>
      <w:r w:rsidR="00D7412C" w:rsidRPr="00E5316B">
        <w:rPr>
          <w:i/>
        </w:rPr>
        <w:t>DECRETO por el que se expide la Ley Federal de Telecomunicaciones y Radiodifusión, y la Ley del Sistema Público de Radiodifusión del Estado Mexicano; y se reforman, adicionan y derogan diversas disposiciones en materia de telecomunicaciones y radiodifusión</w:t>
      </w:r>
      <w:r w:rsidR="00D7412C" w:rsidRPr="00E5316B">
        <w:t>” (</w:t>
      </w:r>
      <w:r w:rsidR="00AF52F3">
        <w:t>Artículo Noveno Transitorio</w:t>
      </w:r>
      <w:r w:rsidR="00D7412C" w:rsidRPr="00E5316B">
        <w:t>)</w:t>
      </w:r>
      <w:r w:rsidR="00D7412C">
        <w:t>:</w:t>
      </w:r>
    </w:p>
    <w:p w14:paraId="76F0391A" w14:textId="77777777" w:rsidR="00D7412C" w:rsidRDefault="00C63729" w:rsidP="005D30ED">
      <w:pPr>
        <w:pStyle w:val="Prrafodelista"/>
        <w:numPr>
          <w:ilvl w:val="0"/>
          <w:numId w:val="51"/>
        </w:numPr>
        <w:spacing w:after="240" w:line="276" w:lineRule="auto"/>
        <w:ind w:right="-1"/>
        <w:contextualSpacing w:val="0"/>
      </w:pPr>
      <w:proofErr w:type="spellStart"/>
      <w:r w:rsidRPr="00E5316B">
        <w:t>SixSigma</w:t>
      </w:r>
      <w:proofErr w:type="spellEnd"/>
      <w:r w:rsidRPr="00E5316B">
        <w:t xml:space="preserve"> Networks México,</w:t>
      </w:r>
      <w:r w:rsidR="00165198" w:rsidRPr="00E5316B">
        <w:t xml:space="preserve"> S.A. de C.V. (</w:t>
      </w:r>
      <w:r w:rsidRPr="00E5316B">
        <w:t>KIO</w:t>
      </w:r>
      <w:r w:rsidR="006161FB" w:rsidRPr="00E5316B">
        <w:t>)</w:t>
      </w:r>
      <w:r w:rsidR="00F541BA" w:rsidRPr="00E5316B">
        <w:t xml:space="preserve"> </w:t>
      </w:r>
      <w:r w:rsidR="003B0B17">
        <w:t xml:space="preserve">y </w:t>
      </w:r>
      <w:proofErr w:type="spellStart"/>
      <w:r w:rsidR="00F541BA" w:rsidRPr="00E5316B">
        <w:t>Wingu</w:t>
      </w:r>
      <w:proofErr w:type="spellEnd"/>
      <w:r w:rsidR="00F541BA" w:rsidRPr="00E5316B">
        <w:t xml:space="preserve"> Networks, S.A. de C.V. (</w:t>
      </w:r>
      <w:proofErr w:type="spellStart"/>
      <w:r w:rsidR="00F541BA" w:rsidRPr="00E5316B">
        <w:t>Wingu</w:t>
      </w:r>
      <w:proofErr w:type="spellEnd"/>
      <w:r w:rsidR="00F541BA" w:rsidRPr="00E5316B">
        <w:t xml:space="preserve">, y conjuntamente con KIO, los </w:t>
      </w:r>
      <w:r w:rsidR="00F541BA" w:rsidRPr="007E0D49">
        <w:rPr>
          <w:b/>
        </w:rPr>
        <w:t>Vendedores</w:t>
      </w:r>
      <w:r w:rsidR="00F541BA" w:rsidRPr="00E5316B">
        <w:t>)</w:t>
      </w:r>
      <w:r w:rsidR="00D7412C">
        <w:t>;</w:t>
      </w:r>
      <w:r w:rsidR="00F541BA" w:rsidRPr="00E5316B">
        <w:t xml:space="preserve"> </w:t>
      </w:r>
    </w:p>
    <w:p w14:paraId="794C6E50" w14:textId="001B6EC4" w:rsidR="00777A43" w:rsidRDefault="00F541BA" w:rsidP="005D30ED">
      <w:pPr>
        <w:pStyle w:val="Prrafodelista"/>
        <w:numPr>
          <w:ilvl w:val="0"/>
          <w:numId w:val="51"/>
        </w:numPr>
        <w:spacing w:after="240" w:line="276" w:lineRule="auto"/>
        <w:ind w:right="-1"/>
        <w:contextualSpacing w:val="0"/>
      </w:pPr>
      <w:r w:rsidRPr="00E5316B">
        <w:t>Metro</w:t>
      </w:r>
      <w:r w:rsidR="00D42735">
        <w:t xml:space="preserve"> </w:t>
      </w:r>
      <w:r w:rsidRPr="00E5316B">
        <w:t>Net, S.A.P.I. de C.V. (</w:t>
      </w:r>
      <w:r w:rsidRPr="007E0D49">
        <w:rPr>
          <w:b/>
        </w:rPr>
        <w:t>Metro</w:t>
      </w:r>
      <w:r w:rsidR="00D42735">
        <w:rPr>
          <w:b/>
        </w:rPr>
        <w:t xml:space="preserve"> </w:t>
      </w:r>
      <w:r w:rsidRPr="007E0D49">
        <w:rPr>
          <w:b/>
        </w:rPr>
        <w:t>Net</w:t>
      </w:r>
      <w:r w:rsidRPr="00E5316B">
        <w:t>)</w:t>
      </w:r>
      <w:r w:rsidR="00D7412C">
        <w:t>;</w:t>
      </w:r>
    </w:p>
    <w:p w14:paraId="78CB976C" w14:textId="5E8D99A6" w:rsidR="00D7412C" w:rsidRDefault="00F541BA" w:rsidP="005D30ED">
      <w:pPr>
        <w:pStyle w:val="Prrafodelista"/>
        <w:numPr>
          <w:ilvl w:val="0"/>
          <w:numId w:val="51"/>
        </w:numPr>
        <w:spacing w:after="240" w:line="276" w:lineRule="auto"/>
        <w:ind w:right="-1"/>
        <w:contextualSpacing w:val="0"/>
      </w:pPr>
      <w:r w:rsidRPr="00E5316B">
        <w:t xml:space="preserve">CFCA </w:t>
      </w:r>
      <w:proofErr w:type="spellStart"/>
      <w:r w:rsidRPr="00A02181">
        <w:t>Telecom</w:t>
      </w:r>
      <w:r w:rsidR="004A6104" w:rsidRPr="00A02181">
        <w:t>m</w:t>
      </w:r>
      <w:proofErr w:type="spellEnd"/>
      <w:r w:rsidRPr="00E5316B">
        <w:t>, S.A.P.I. de C.V. (CFCA)</w:t>
      </w:r>
      <w:r w:rsidR="003B0B17">
        <w:t xml:space="preserve"> y </w:t>
      </w:r>
      <w:r w:rsidRPr="00E5316B">
        <w:t>Tecnología</w:t>
      </w:r>
      <w:r w:rsidR="006018EA">
        <w:t>s</w:t>
      </w:r>
      <w:r w:rsidRPr="00E5316B">
        <w:t xml:space="preserve"> Especializadas en Líneas de Conexión Óptica, S.A.P.I. de C.V. (</w:t>
      </w:r>
      <w:proofErr w:type="spellStart"/>
      <w:r w:rsidRPr="00E5316B">
        <w:t>Telco</w:t>
      </w:r>
      <w:proofErr w:type="spellEnd"/>
      <w:r w:rsidR="007B3D1E">
        <w:t xml:space="preserve">, </w:t>
      </w:r>
      <w:r w:rsidR="007B3D1E" w:rsidRPr="00E5316B">
        <w:t xml:space="preserve">y conjuntamente con </w:t>
      </w:r>
      <w:r w:rsidR="007B3D1E">
        <w:t>CFCA</w:t>
      </w:r>
      <w:r w:rsidR="007B3D1E" w:rsidRPr="00E5316B">
        <w:t>, l</w:t>
      </w:r>
      <w:r w:rsidR="007B3D1E">
        <w:t>a</w:t>
      </w:r>
      <w:r w:rsidR="007B3D1E" w:rsidRPr="00E5316B">
        <w:t xml:space="preserve">s </w:t>
      </w:r>
      <w:r w:rsidR="007B3D1E" w:rsidRPr="007E0D49">
        <w:rPr>
          <w:b/>
        </w:rPr>
        <w:t>Sociedades Adquiridas</w:t>
      </w:r>
      <w:r w:rsidRPr="00E5316B">
        <w:t>)</w:t>
      </w:r>
      <w:r w:rsidR="003B0B17">
        <w:t>, y</w:t>
      </w:r>
    </w:p>
    <w:p w14:paraId="660BE725" w14:textId="5304AE7A" w:rsidR="009B5CAE" w:rsidRDefault="00F541BA" w:rsidP="005D30ED">
      <w:pPr>
        <w:pStyle w:val="Prrafodelista"/>
        <w:numPr>
          <w:ilvl w:val="0"/>
          <w:numId w:val="51"/>
        </w:numPr>
        <w:spacing w:after="240" w:line="276" w:lineRule="auto"/>
        <w:ind w:right="-1"/>
        <w:contextualSpacing w:val="0"/>
      </w:pPr>
      <w:r w:rsidRPr="00E5316B">
        <w:t xml:space="preserve">ATC </w:t>
      </w:r>
      <w:proofErr w:type="spellStart"/>
      <w:r w:rsidRPr="00E5316B">
        <w:t>MexHold</w:t>
      </w:r>
      <w:proofErr w:type="spellEnd"/>
      <w:r w:rsidRPr="00E5316B">
        <w:t xml:space="preserve"> LLC (ATC </w:t>
      </w:r>
      <w:proofErr w:type="spellStart"/>
      <w:r w:rsidRPr="00E5316B">
        <w:t>MexHold</w:t>
      </w:r>
      <w:proofErr w:type="spellEnd"/>
      <w:r w:rsidRPr="00E5316B">
        <w:t xml:space="preserve">) y ATC Holding Fibra México, S. de R.L. de C.V. (ATC HFM, y conjuntamente con ATC </w:t>
      </w:r>
      <w:proofErr w:type="spellStart"/>
      <w:r w:rsidRPr="00E5316B">
        <w:t>MexHold</w:t>
      </w:r>
      <w:proofErr w:type="spellEnd"/>
      <w:r w:rsidRPr="00E5316B">
        <w:t xml:space="preserve">, los </w:t>
      </w:r>
      <w:r w:rsidRPr="007E0D49">
        <w:rPr>
          <w:b/>
        </w:rPr>
        <w:t>Compradores</w:t>
      </w:r>
      <w:r w:rsidR="00D7412C" w:rsidRPr="00D7412C">
        <w:t>)</w:t>
      </w:r>
      <w:r w:rsidR="003B0B17">
        <w:t>.</w:t>
      </w:r>
    </w:p>
    <w:p w14:paraId="18E3BDFD" w14:textId="5AE38902" w:rsidR="004D34A3" w:rsidRPr="00E5316B" w:rsidRDefault="00FA0639" w:rsidP="005D30ED">
      <w:pPr>
        <w:spacing w:after="240"/>
        <w:ind w:right="-1"/>
      </w:pPr>
      <w:r>
        <w:lastRenderedPageBreak/>
        <w:t>En est</w:t>
      </w:r>
      <w:r w:rsidR="003B0B17">
        <w:t xml:space="preserve">a resolución se denomina </w:t>
      </w:r>
      <w:r w:rsidR="003B0B17" w:rsidRPr="00E5316B">
        <w:t xml:space="preserve">las </w:t>
      </w:r>
      <w:r w:rsidR="003B0B17" w:rsidRPr="003B0B17">
        <w:t>Partes</w:t>
      </w:r>
      <w:r w:rsidR="003B0B17">
        <w:t xml:space="preserve"> </w:t>
      </w:r>
      <w:r w:rsidR="00F541BA" w:rsidRPr="003B0B17">
        <w:t>conjuntamente</w:t>
      </w:r>
      <w:r w:rsidR="00F541BA" w:rsidRPr="00E5316B">
        <w:t xml:space="preserve"> </w:t>
      </w:r>
      <w:r w:rsidR="003B0B17">
        <w:t xml:space="preserve">a </w:t>
      </w:r>
      <w:r w:rsidR="00F541BA" w:rsidRPr="00E5316B">
        <w:t xml:space="preserve">los Vendedores, </w:t>
      </w:r>
      <w:r w:rsidR="007E0D49">
        <w:t xml:space="preserve">las Sociedades Adquiridas, </w:t>
      </w:r>
      <w:r w:rsidR="00F541BA" w:rsidRPr="00E5316B">
        <w:t>los Compradores</w:t>
      </w:r>
      <w:r w:rsidR="007E0D49">
        <w:t xml:space="preserve"> y Metro</w:t>
      </w:r>
      <w:r w:rsidR="00D42735">
        <w:t xml:space="preserve"> </w:t>
      </w:r>
      <w:r w:rsidR="007E0D49">
        <w:t>Net</w:t>
      </w:r>
      <w:r w:rsidR="003B0B17">
        <w:t>.</w:t>
      </w:r>
    </w:p>
    <w:p w14:paraId="73FC57FE" w14:textId="353FA6E9" w:rsidR="00E5316B" w:rsidRDefault="006161FB" w:rsidP="005D30ED">
      <w:pPr>
        <w:pStyle w:val="Prrafodelista"/>
        <w:spacing w:after="240" w:line="276" w:lineRule="auto"/>
        <w:ind w:left="0" w:right="-1"/>
        <w:contextualSpacing w:val="0"/>
      </w:pPr>
      <w:r w:rsidRPr="00E5316B">
        <w:t xml:space="preserve">Las Partes </w:t>
      </w:r>
      <w:r w:rsidR="00A613B6" w:rsidRPr="00E5316B">
        <w:t>indicaron</w:t>
      </w:r>
      <w:r w:rsidRPr="00E5316B">
        <w:t xml:space="preserve"> que la </w:t>
      </w:r>
      <w:r w:rsidR="004D34A3" w:rsidRPr="00E5316B">
        <w:t xml:space="preserve">concentración </w:t>
      </w:r>
      <w:r w:rsidR="00E5316B" w:rsidRPr="00E5316B">
        <w:t xml:space="preserve">se realizó el </w:t>
      </w:r>
      <w:r w:rsidR="003B0B17">
        <w:t>diecisiete</w:t>
      </w:r>
      <w:r w:rsidR="00E5316B" w:rsidRPr="00E5316B">
        <w:t xml:space="preserve"> de noviembre de </w:t>
      </w:r>
      <w:r w:rsidR="003B0B17">
        <w:t>dos mil diecisiete</w:t>
      </w:r>
      <w:r w:rsidR="00E5316B" w:rsidRPr="00E5316B">
        <w:t xml:space="preserve"> y </w:t>
      </w:r>
      <w:r w:rsidR="004D34A3" w:rsidRPr="00E5316B">
        <w:t xml:space="preserve">consistió en </w:t>
      </w:r>
      <w:r w:rsidR="00474F98" w:rsidRPr="00E5316B">
        <w:t>la adquisición</w:t>
      </w:r>
      <w:r w:rsidR="009C4EFC">
        <w:t xml:space="preserve"> directa e indirecta</w:t>
      </w:r>
      <w:r w:rsidR="00474F98" w:rsidRPr="00E5316B">
        <w:t>, por parte de los Compradores, de</w:t>
      </w:r>
      <w:r w:rsidR="009C4EFC">
        <w:t xml:space="preserve"> </w:t>
      </w:r>
      <w:r w:rsidR="005E1DFE" w:rsidRPr="007D02A7">
        <w:rPr>
          <w:b/>
          <w:bCs/>
          <w:color w:val="0000CC"/>
          <w:sz w:val="19"/>
          <w:szCs w:val="19"/>
        </w:rPr>
        <w:t xml:space="preserve">“CONFIDENCIAL POR LEY </w:t>
      </w:r>
      <w:r w:rsidR="005E1DFE">
        <w:rPr>
          <w:b/>
          <w:bCs/>
          <w:color w:val="0000CC"/>
          <w:sz w:val="19"/>
          <w:szCs w:val="19"/>
        </w:rPr>
        <w:t>(</w:t>
      </w:r>
      <w:r w:rsidR="005E1DFE" w:rsidRPr="007D02A7">
        <w:rPr>
          <w:b/>
          <w:bCs/>
          <w:color w:val="0000CC"/>
          <w:sz w:val="19"/>
          <w:szCs w:val="19"/>
        </w:rPr>
        <w:t>1</w:t>
      </w:r>
      <w:r w:rsidR="005E1DFE">
        <w:rPr>
          <w:b/>
          <w:bCs/>
          <w:color w:val="0000CC"/>
          <w:sz w:val="19"/>
          <w:szCs w:val="19"/>
        </w:rPr>
        <w:t>)</w:t>
      </w:r>
      <w:r w:rsidR="005E1DFE" w:rsidRPr="007D02A7">
        <w:rPr>
          <w:b/>
          <w:bCs/>
          <w:color w:val="0000CC"/>
          <w:sz w:val="19"/>
          <w:szCs w:val="19"/>
        </w:rPr>
        <w:t>”</w:t>
      </w:r>
      <w:r w:rsidR="005E1DFE">
        <w:rPr>
          <w:b/>
          <w:bCs/>
          <w:color w:val="0000CC"/>
          <w:sz w:val="19"/>
          <w:szCs w:val="19"/>
        </w:rPr>
        <w:t xml:space="preserve"> </w:t>
      </w:r>
      <w:r w:rsidR="00474F98" w:rsidRPr="00E5316B">
        <w:t xml:space="preserve">acciones representativas del capital social de CFCA y </w:t>
      </w:r>
      <w:r w:rsidR="00E5316B" w:rsidRPr="00E5316B">
        <w:t xml:space="preserve">de </w:t>
      </w:r>
      <w:proofErr w:type="spellStart"/>
      <w:r w:rsidR="00E5316B" w:rsidRPr="00E5316B">
        <w:t>Telco</w:t>
      </w:r>
      <w:proofErr w:type="spellEnd"/>
      <w:r w:rsidR="00E5316B" w:rsidRPr="00E5316B">
        <w:t xml:space="preserve">, </w:t>
      </w:r>
      <w:proofErr w:type="gramStart"/>
      <w:r w:rsidR="00E5316B" w:rsidRPr="00E5316B">
        <w:t>todas propiedad</w:t>
      </w:r>
      <w:proofErr w:type="gramEnd"/>
      <w:r w:rsidR="00E5316B" w:rsidRPr="00E5316B">
        <w:t xml:space="preserve"> de los Vendedores (Operación).</w:t>
      </w:r>
      <w:r w:rsidR="00474F98" w:rsidRPr="00E5316B">
        <w:t xml:space="preserve"> </w:t>
      </w:r>
    </w:p>
    <w:p w14:paraId="32C8973F" w14:textId="018BE91F" w:rsidR="003E5F2D" w:rsidRDefault="003E5F2D" w:rsidP="005D30ED">
      <w:pPr>
        <w:pStyle w:val="Prrafodelista"/>
        <w:spacing w:after="240" w:line="276" w:lineRule="auto"/>
        <w:ind w:left="0" w:right="-1"/>
        <w:contextualSpacing w:val="0"/>
        <w:rPr>
          <w:bCs/>
          <w:noProof/>
          <w:color w:val="000000"/>
        </w:rPr>
      </w:pPr>
      <w:r w:rsidRPr="00AA2805">
        <w:t xml:space="preserve">Las Partes designaron como representante </w:t>
      </w:r>
      <w:r w:rsidRPr="003E5F2D">
        <w:t xml:space="preserve">común </w:t>
      </w:r>
      <w:r w:rsidRPr="00241D9A">
        <w:t>al C.</w:t>
      </w:r>
      <w:r w:rsidRPr="00241D9A">
        <w:rPr>
          <w:bCs/>
          <w:noProof/>
          <w:color w:val="000000"/>
        </w:rPr>
        <w:t xml:space="preserve"> </w:t>
      </w:r>
      <w:r w:rsidR="005E1DFE" w:rsidRPr="007D02A7">
        <w:rPr>
          <w:b/>
          <w:bCs/>
          <w:color w:val="0000CC"/>
          <w:sz w:val="19"/>
          <w:szCs w:val="19"/>
        </w:rPr>
        <w:t xml:space="preserve">“CONFIDENCIAL POR LEY </w:t>
      </w:r>
      <w:r w:rsidR="005E1DFE">
        <w:rPr>
          <w:b/>
          <w:bCs/>
          <w:color w:val="0000CC"/>
          <w:sz w:val="19"/>
          <w:szCs w:val="19"/>
        </w:rPr>
        <w:t>(</w:t>
      </w:r>
      <w:r w:rsidR="00A46877">
        <w:rPr>
          <w:b/>
          <w:bCs/>
          <w:color w:val="0000CC"/>
          <w:sz w:val="19"/>
          <w:szCs w:val="19"/>
        </w:rPr>
        <w:t>2</w:t>
      </w:r>
      <w:r w:rsidR="005E1DFE">
        <w:rPr>
          <w:b/>
          <w:bCs/>
          <w:color w:val="0000CC"/>
          <w:sz w:val="19"/>
          <w:szCs w:val="19"/>
        </w:rPr>
        <w:t>)</w:t>
      </w:r>
      <w:r w:rsidR="005E1DFE" w:rsidRPr="007D02A7">
        <w:rPr>
          <w:b/>
          <w:bCs/>
          <w:color w:val="0000CC"/>
          <w:sz w:val="19"/>
          <w:szCs w:val="19"/>
        </w:rPr>
        <w:t>”</w:t>
      </w:r>
      <w:r w:rsidRPr="003E5F2D">
        <w:rPr>
          <w:bCs/>
          <w:noProof/>
          <w:color w:val="000000"/>
        </w:rPr>
        <w:t>.</w:t>
      </w:r>
    </w:p>
    <w:p w14:paraId="545F1BFC" w14:textId="77777777" w:rsidR="00AF52F3" w:rsidRPr="00E5316B" w:rsidRDefault="00AF52F3" w:rsidP="009017CA">
      <w:pPr>
        <w:pStyle w:val="Prrafodelista"/>
        <w:spacing w:after="240" w:line="276" w:lineRule="auto"/>
        <w:ind w:left="0"/>
        <w:contextualSpacing w:val="0"/>
      </w:pPr>
      <w:r>
        <w:rPr>
          <w:bCs/>
          <w:noProof/>
          <w:color w:val="000000"/>
        </w:rPr>
        <w:t xml:space="preserve">De conformidad con lo establecido en el artículo 6 de la Ley Federal de Telecomunicaciones y Radiodifusión (LFTR), este asunto se tramita </w:t>
      </w:r>
      <w:r w:rsidRPr="00AF52F3">
        <w:rPr>
          <w:bCs/>
          <w:noProof/>
          <w:color w:val="000000"/>
        </w:rPr>
        <w:t>conforme a lo dispuesto en la Ley Federal de Procedimiento</w:t>
      </w:r>
      <w:r>
        <w:rPr>
          <w:bCs/>
          <w:noProof/>
          <w:color w:val="000000"/>
        </w:rPr>
        <w:t xml:space="preserve"> </w:t>
      </w:r>
      <w:r w:rsidRPr="00AF52F3">
        <w:rPr>
          <w:bCs/>
          <w:noProof/>
          <w:color w:val="000000"/>
        </w:rPr>
        <w:t>Administrativo</w:t>
      </w:r>
      <w:r>
        <w:rPr>
          <w:bCs/>
          <w:noProof/>
          <w:color w:val="000000"/>
        </w:rPr>
        <w:t xml:space="preserve"> (LFPA), toda vez que los avisos de concentración previstos en el </w:t>
      </w:r>
      <w:r w:rsidR="004C1EEA">
        <w:rPr>
          <w:bCs/>
          <w:noProof/>
          <w:color w:val="000000"/>
        </w:rPr>
        <w:t xml:space="preserve">Artículo Noveno Transitorio </w:t>
      </w:r>
      <w:r w:rsidRPr="00AF52F3">
        <w:rPr>
          <w:bCs/>
          <w:noProof/>
          <w:color w:val="000000"/>
        </w:rPr>
        <w:t xml:space="preserve">no </w:t>
      </w:r>
      <w:r w:rsidR="004C1EEA">
        <w:rPr>
          <w:bCs/>
          <w:noProof/>
          <w:color w:val="000000"/>
        </w:rPr>
        <w:t>tienen</w:t>
      </w:r>
      <w:r w:rsidRPr="00AF52F3">
        <w:rPr>
          <w:bCs/>
          <w:noProof/>
          <w:color w:val="000000"/>
        </w:rPr>
        <w:t xml:space="preserve"> previsto un trámite específico conforme a la Ley Federal de Competencia</w:t>
      </w:r>
      <w:r w:rsidR="004C1EEA">
        <w:rPr>
          <w:bCs/>
          <w:noProof/>
          <w:color w:val="000000"/>
        </w:rPr>
        <w:t xml:space="preserve"> </w:t>
      </w:r>
      <w:r w:rsidRPr="00AF52F3">
        <w:rPr>
          <w:bCs/>
          <w:noProof/>
          <w:color w:val="000000"/>
        </w:rPr>
        <w:t xml:space="preserve">Económica </w:t>
      </w:r>
      <w:r w:rsidR="000420C6">
        <w:rPr>
          <w:bCs/>
          <w:noProof/>
          <w:color w:val="000000"/>
        </w:rPr>
        <w:t xml:space="preserve">(LFCE) </w:t>
      </w:r>
      <w:r w:rsidR="009017CA">
        <w:rPr>
          <w:bCs/>
          <w:noProof/>
          <w:color w:val="000000"/>
        </w:rPr>
        <w:t>o</w:t>
      </w:r>
      <w:r w:rsidR="004C1EEA">
        <w:rPr>
          <w:bCs/>
          <w:noProof/>
          <w:color w:val="000000"/>
        </w:rPr>
        <w:t xml:space="preserve"> la LFTR.</w:t>
      </w:r>
    </w:p>
    <w:p w14:paraId="5FC1730E" w14:textId="77777777" w:rsidR="00E5316B" w:rsidRPr="00EF5FDB" w:rsidRDefault="00E5316B" w:rsidP="005D30ED">
      <w:pPr>
        <w:pStyle w:val="Prrafodelista"/>
        <w:numPr>
          <w:ilvl w:val="0"/>
          <w:numId w:val="19"/>
        </w:numPr>
        <w:spacing w:after="240" w:line="276" w:lineRule="auto"/>
        <w:ind w:left="0" w:right="-1"/>
        <w:contextualSpacing w:val="0"/>
      </w:pPr>
      <w:r w:rsidRPr="00EF5FDB">
        <w:t xml:space="preserve">El </w:t>
      </w:r>
      <w:r w:rsidR="00AF52F3">
        <w:t>veinte</w:t>
      </w:r>
      <w:r w:rsidR="00A613B6" w:rsidRPr="00EF5FDB">
        <w:t xml:space="preserve"> </w:t>
      </w:r>
      <w:r w:rsidR="006161FB" w:rsidRPr="00EF5FDB">
        <w:t xml:space="preserve">de </w:t>
      </w:r>
      <w:r w:rsidRPr="00EF5FDB">
        <w:t>diciembre</w:t>
      </w:r>
      <w:r w:rsidR="00A613B6" w:rsidRPr="00EF5FDB">
        <w:t xml:space="preserve"> </w:t>
      </w:r>
      <w:r w:rsidR="006161FB" w:rsidRPr="00EF5FDB">
        <w:t xml:space="preserve">de </w:t>
      </w:r>
      <w:r w:rsidR="00AF52F3">
        <w:t>dos mil diecisiete</w:t>
      </w:r>
      <w:r w:rsidR="006161FB" w:rsidRPr="00EF5FDB">
        <w:t xml:space="preserve">, </w:t>
      </w:r>
      <w:r w:rsidRPr="00EF5FDB">
        <w:t>mediante</w:t>
      </w:r>
      <w:r w:rsidRPr="00AA2805">
        <w:t xml:space="preserve"> acuerdo firmado por la Titular de la Unidad de Competencia Económica (UCE) del Instituto, se </w:t>
      </w:r>
      <w:r w:rsidRPr="00E5316B">
        <w:t xml:space="preserve">radicó el </w:t>
      </w:r>
      <w:r w:rsidR="006161FB" w:rsidRPr="00E5316B">
        <w:t>Aviso de Concentración bajo el expediente número UCE/AVC-001-</w:t>
      </w:r>
      <w:r w:rsidR="006161FB" w:rsidRPr="003E5F2D">
        <w:t>201</w:t>
      </w:r>
      <w:r w:rsidRPr="003E5F2D">
        <w:t>7</w:t>
      </w:r>
      <w:r w:rsidR="00DF2911">
        <w:t xml:space="preserve"> (Expediente)</w:t>
      </w:r>
      <w:r w:rsidR="0081097B" w:rsidRPr="003E5F2D">
        <w:t>; y</w:t>
      </w:r>
      <w:r w:rsidRPr="003E5F2D">
        <w:t xml:space="preserve">, con fundamento en el artículo </w:t>
      </w:r>
      <w:r w:rsidR="003E5F2D" w:rsidRPr="003E5F2D">
        <w:t>17-A</w:t>
      </w:r>
      <w:r w:rsidRPr="003E5F2D">
        <w:t xml:space="preserve"> de LFPA,</w:t>
      </w:r>
      <w:r w:rsidR="0081097B" w:rsidRPr="003E5F2D">
        <w:t xml:space="preserve"> </w:t>
      </w:r>
      <w:r w:rsidR="00672502" w:rsidRPr="003E5F2D">
        <w:t xml:space="preserve">se previno a las Partes para que </w:t>
      </w:r>
      <w:r w:rsidR="006D70A7" w:rsidRPr="003E5F2D">
        <w:t xml:space="preserve">en </w:t>
      </w:r>
      <w:r w:rsidR="006161FB" w:rsidRPr="003E5F2D">
        <w:t xml:space="preserve">un término de </w:t>
      </w:r>
      <w:r w:rsidR="00672502" w:rsidRPr="003E5F2D">
        <w:t>10 (</w:t>
      </w:r>
      <w:r w:rsidR="006161FB" w:rsidRPr="003E5F2D">
        <w:t>diez</w:t>
      </w:r>
      <w:r w:rsidR="00672502" w:rsidRPr="003E5F2D">
        <w:t>)</w:t>
      </w:r>
      <w:r w:rsidR="006161FB" w:rsidRPr="003E5F2D">
        <w:t xml:space="preserve"> días hábiles </w:t>
      </w:r>
      <w:r w:rsidR="006161FB" w:rsidRPr="00EF5FDB">
        <w:t>presentara</w:t>
      </w:r>
      <w:r w:rsidR="00672502" w:rsidRPr="00EF5FDB">
        <w:t>n</w:t>
      </w:r>
      <w:r w:rsidR="006161FB" w:rsidRPr="00EF5FDB">
        <w:t xml:space="preserve"> diversa información faltante (Acuerdo de Prevención).</w:t>
      </w:r>
    </w:p>
    <w:p w14:paraId="1B67B821" w14:textId="77777777" w:rsidR="00E5316B" w:rsidRPr="00EF5FDB" w:rsidRDefault="00D6405C" w:rsidP="005D30ED">
      <w:pPr>
        <w:pStyle w:val="Prrafodelista"/>
        <w:spacing w:after="240" w:line="276" w:lineRule="auto"/>
        <w:ind w:left="0" w:right="-1"/>
        <w:contextualSpacing w:val="0"/>
      </w:pPr>
      <w:r>
        <w:t>M</w:t>
      </w:r>
      <w:r w:rsidR="00E5316B" w:rsidRPr="00EF5FDB">
        <w:t>ediante el Acuerdo de Prevención</w:t>
      </w:r>
      <w:r w:rsidR="00CB7D1C" w:rsidRPr="00EF5FDB">
        <w:t xml:space="preserve"> se informó a las Partes que el plazo </w:t>
      </w:r>
      <w:r w:rsidR="00EF5FDB" w:rsidRPr="00EF5FDB">
        <w:t xml:space="preserve">para emitir la resolución correspondiente </w:t>
      </w:r>
      <w:r w:rsidR="00CB7D1C" w:rsidRPr="00EF5FDB">
        <w:t>establecido en el artículo 17</w:t>
      </w:r>
      <w:r w:rsidR="003E5F2D" w:rsidRPr="00EF5FDB">
        <w:t>, párrafo primero,</w:t>
      </w:r>
      <w:r w:rsidR="00CB7D1C" w:rsidRPr="00EF5FDB">
        <w:t xml:space="preserve"> de la LFPA</w:t>
      </w:r>
      <w:r w:rsidR="00EF5FDB">
        <w:t>,</w:t>
      </w:r>
      <w:r w:rsidR="00CB7D1C" w:rsidRPr="00EF5FDB">
        <w:t xml:space="preserve"> quedaría suspendido en la fecha de notificación de dicho </w:t>
      </w:r>
      <w:r>
        <w:t>a</w:t>
      </w:r>
      <w:r w:rsidR="00CB7D1C" w:rsidRPr="00EF5FDB">
        <w:t>cuerdo y sería reanudado el día hábil inmediato siguiente a la fecha de presentación del desahogo correspondiente.</w:t>
      </w:r>
    </w:p>
    <w:p w14:paraId="750F8DDF" w14:textId="77777777" w:rsidR="00E5316B" w:rsidRPr="00EF5FDB" w:rsidRDefault="00E5316B" w:rsidP="005D30ED">
      <w:pPr>
        <w:pStyle w:val="Prrafodelista"/>
        <w:numPr>
          <w:ilvl w:val="0"/>
          <w:numId w:val="19"/>
        </w:numPr>
        <w:spacing w:after="240" w:line="276" w:lineRule="auto"/>
        <w:ind w:left="0" w:right="-1"/>
        <w:contextualSpacing w:val="0"/>
      </w:pPr>
      <w:r w:rsidRPr="00EF5FDB">
        <w:t>E</w:t>
      </w:r>
      <w:r w:rsidR="00A432ED" w:rsidRPr="00EF5FDB">
        <w:t xml:space="preserve">l </w:t>
      </w:r>
      <w:r w:rsidR="00D6405C">
        <w:t>dieciocho</w:t>
      </w:r>
      <w:r w:rsidRPr="00EF5FDB">
        <w:t xml:space="preserve"> de </w:t>
      </w:r>
      <w:r w:rsidR="00EF5FDB" w:rsidRPr="00EF5FDB">
        <w:t>enero</w:t>
      </w:r>
      <w:r w:rsidRPr="00EF5FDB">
        <w:t xml:space="preserve"> </w:t>
      </w:r>
      <w:r w:rsidR="00D6405C">
        <w:t>dos mil dieciocho</w:t>
      </w:r>
      <w:r w:rsidRPr="00EF5FDB">
        <w:t xml:space="preserve">, mediante escrito y anexos presentados en la oficialía de partes del Instituto, las Partes </w:t>
      </w:r>
      <w:r w:rsidR="00A432ED" w:rsidRPr="00EF5FDB">
        <w:t xml:space="preserve">solicitaron una prórroga al plazo </w:t>
      </w:r>
      <w:r w:rsidRPr="00EF5FDB">
        <w:t xml:space="preserve">otorgado </w:t>
      </w:r>
      <w:r w:rsidR="00A432ED" w:rsidRPr="00EF5FDB">
        <w:t>para desahogar el Acuerdo de Prevención.</w:t>
      </w:r>
      <w:r w:rsidR="00290645" w:rsidRPr="00EF5FDB">
        <w:t xml:space="preserve"> </w:t>
      </w:r>
    </w:p>
    <w:p w14:paraId="70C29394" w14:textId="77777777" w:rsidR="00E5316B" w:rsidRPr="00EF5FDB" w:rsidRDefault="00E5316B" w:rsidP="005D30ED">
      <w:pPr>
        <w:pStyle w:val="Prrafodelista"/>
        <w:numPr>
          <w:ilvl w:val="0"/>
          <w:numId w:val="19"/>
        </w:numPr>
        <w:spacing w:after="240" w:line="276" w:lineRule="auto"/>
        <w:ind w:left="0" w:right="-1"/>
        <w:contextualSpacing w:val="0"/>
      </w:pPr>
      <w:r w:rsidRPr="00EF5FDB">
        <w:t xml:space="preserve">El </w:t>
      </w:r>
      <w:r w:rsidR="00D6405C">
        <w:t>veintitrés</w:t>
      </w:r>
      <w:r w:rsidR="00EF5FDB" w:rsidRPr="00F31EC9">
        <w:t xml:space="preserve"> de enero </w:t>
      </w:r>
      <w:r w:rsidR="00D6405C">
        <w:t>dos mil dieciocho</w:t>
      </w:r>
      <w:r w:rsidRPr="00F31EC9">
        <w:t>, m</w:t>
      </w:r>
      <w:r w:rsidR="00290645" w:rsidRPr="00F31EC9">
        <w:t>ediante</w:t>
      </w:r>
      <w:r w:rsidR="00290645" w:rsidRPr="00EF5FDB">
        <w:t xml:space="preserve"> acuerdo </w:t>
      </w:r>
      <w:r w:rsidRPr="00EF5FDB">
        <w:t xml:space="preserve">firmado por la </w:t>
      </w:r>
      <w:r w:rsidRPr="00F31EC9">
        <w:t xml:space="preserve">Titular de la UCE, </w:t>
      </w:r>
      <w:r w:rsidR="00290645" w:rsidRPr="00F31EC9">
        <w:t xml:space="preserve">se concedió </w:t>
      </w:r>
      <w:r w:rsidR="00F31EC9" w:rsidRPr="00F31EC9">
        <w:t>a</w:t>
      </w:r>
      <w:r w:rsidRPr="00F31EC9">
        <w:t xml:space="preserve"> las Partes </w:t>
      </w:r>
      <w:r w:rsidR="00F31EC9" w:rsidRPr="00F31EC9">
        <w:rPr>
          <w:rFonts w:cs="Helvetica"/>
        </w:rPr>
        <w:t>una ampliación de plazo de 5 (cinco) días hábiles</w:t>
      </w:r>
      <w:r w:rsidR="00F31EC9">
        <w:rPr>
          <w:rFonts w:cs="Helvetica"/>
        </w:rPr>
        <w:t xml:space="preserve"> para desahogar el Acuerdo de Prevención</w:t>
      </w:r>
      <w:r w:rsidR="00290645" w:rsidRPr="00F31EC9">
        <w:t>.</w:t>
      </w:r>
    </w:p>
    <w:p w14:paraId="73A4806F" w14:textId="77777777" w:rsidR="00E5316B" w:rsidRPr="00A02181" w:rsidRDefault="00E5316B" w:rsidP="005D30ED">
      <w:pPr>
        <w:pStyle w:val="Prrafodelista"/>
        <w:numPr>
          <w:ilvl w:val="0"/>
          <w:numId w:val="19"/>
        </w:numPr>
        <w:spacing w:after="240" w:line="276" w:lineRule="auto"/>
        <w:ind w:left="0" w:right="-1"/>
        <w:contextualSpacing w:val="0"/>
      </w:pPr>
      <w:r w:rsidRPr="00A02181">
        <w:t xml:space="preserve">El </w:t>
      </w:r>
      <w:r w:rsidR="00B63280">
        <w:t>treinta</w:t>
      </w:r>
      <w:r w:rsidR="003E5F2D" w:rsidRPr="00A02181">
        <w:t xml:space="preserve"> de enero de </w:t>
      </w:r>
      <w:r w:rsidR="00B63280">
        <w:t>dos mil dieciocho</w:t>
      </w:r>
      <w:r w:rsidRPr="00A02181">
        <w:t>, mediante</w:t>
      </w:r>
      <w:r w:rsidRPr="00106F7D">
        <w:t xml:space="preserve"> escrito y anexos presentados en la oficialía de partes del Instituto, las Partes </w:t>
      </w:r>
      <w:r w:rsidRPr="00A02181">
        <w:t xml:space="preserve">entregaron en tiempo y forma la </w:t>
      </w:r>
      <w:r w:rsidRPr="00A02181">
        <w:lastRenderedPageBreak/>
        <w:t>información solicitada en el Acuerdo de Prevención (Escrito de Desahogo de Prevención).</w:t>
      </w:r>
    </w:p>
    <w:p w14:paraId="08E02348" w14:textId="77777777" w:rsidR="00A02181" w:rsidRPr="00106F7D" w:rsidRDefault="00A02181" w:rsidP="005D30ED">
      <w:pPr>
        <w:pStyle w:val="Prrafodelista"/>
        <w:numPr>
          <w:ilvl w:val="0"/>
          <w:numId w:val="19"/>
        </w:numPr>
        <w:spacing w:after="240" w:line="276" w:lineRule="auto"/>
        <w:ind w:left="0" w:right="-1"/>
        <w:contextualSpacing w:val="0"/>
      </w:pPr>
      <w:r w:rsidRPr="00A02181">
        <w:rPr>
          <w:rFonts w:cs="Helvetica"/>
        </w:rPr>
        <w:t xml:space="preserve">El </w:t>
      </w:r>
      <w:r w:rsidR="00B63280">
        <w:rPr>
          <w:rFonts w:cs="Helvetica"/>
        </w:rPr>
        <w:t>siete</w:t>
      </w:r>
      <w:r w:rsidRPr="00A02181">
        <w:t xml:space="preserve"> de febrero de </w:t>
      </w:r>
      <w:r w:rsidR="00B63280">
        <w:t>dos mil dieciocho</w:t>
      </w:r>
      <w:r w:rsidRPr="00A02181">
        <w:t>, mediante escrito y anexos presentados en la oficialía de partes del Instituto, las Partes</w:t>
      </w:r>
      <w:r w:rsidRPr="00A02181">
        <w:rPr>
          <w:rFonts w:cs="Helvetica"/>
        </w:rPr>
        <w:t xml:space="preserve"> presentaron</w:t>
      </w:r>
      <w:r>
        <w:rPr>
          <w:rFonts w:cs="Helvetica"/>
        </w:rPr>
        <w:t xml:space="preserve"> información y </w:t>
      </w:r>
      <w:r w:rsidRPr="00482DAB">
        <w:rPr>
          <w:rFonts w:cs="Helvetica"/>
        </w:rPr>
        <w:t xml:space="preserve">documentación </w:t>
      </w:r>
      <w:r>
        <w:rPr>
          <w:rFonts w:cs="Helvetica"/>
        </w:rPr>
        <w:t xml:space="preserve">aclaratoria en alcance al </w:t>
      </w:r>
      <w:r w:rsidRPr="00106F7D">
        <w:t>Escrito de Desahogo de Prevención</w:t>
      </w:r>
      <w:r>
        <w:rPr>
          <w:rFonts w:cs="Helvetica"/>
        </w:rPr>
        <w:t xml:space="preserve"> (Escrito del </w:t>
      </w:r>
      <w:r w:rsidR="00B63280">
        <w:rPr>
          <w:rFonts w:cs="Helvetica"/>
        </w:rPr>
        <w:t>siete</w:t>
      </w:r>
      <w:r>
        <w:rPr>
          <w:rFonts w:cs="Helvetica"/>
        </w:rPr>
        <w:t xml:space="preserve"> de febrero de </w:t>
      </w:r>
      <w:r w:rsidR="00B63280">
        <w:rPr>
          <w:rFonts w:cs="Helvetica"/>
        </w:rPr>
        <w:t>dos mil dieciocho</w:t>
      </w:r>
      <w:r>
        <w:rPr>
          <w:rFonts w:cs="Helvetica"/>
        </w:rPr>
        <w:t>)</w:t>
      </w:r>
      <w:r w:rsidR="00B63280">
        <w:rPr>
          <w:rFonts w:cs="Helvetica"/>
        </w:rPr>
        <w:t>.</w:t>
      </w:r>
    </w:p>
    <w:p w14:paraId="19B62580" w14:textId="77777777" w:rsidR="003E5F2D" w:rsidRPr="00106F7D" w:rsidRDefault="00E5316B" w:rsidP="005D30ED">
      <w:pPr>
        <w:pStyle w:val="Prrafodelista"/>
        <w:numPr>
          <w:ilvl w:val="0"/>
          <w:numId w:val="19"/>
        </w:numPr>
        <w:spacing w:after="240" w:line="276" w:lineRule="auto"/>
        <w:ind w:left="0" w:right="-1"/>
        <w:contextualSpacing w:val="0"/>
      </w:pPr>
      <w:r w:rsidRPr="00537D7B">
        <w:t xml:space="preserve">El </w:t>
      </w:r>
      <w:r w:rsidR="00B63280">
        <w:t>ocho</w:t>
      </w:r>
      <w:r w:rsidR="003E5F2D" w:rsidRPr="00537D7B">
        <w:t xml:space="preserve"> de </w:t>
      </w:r>
      <w:r w:rsidR="00106F7D" w:rsidRPr="00537D7B">
        <w:t>febrero</w:t>
      </w:r>
      <w:r w:rsidRPr="00537D7B">
        <w:t xml:space="preserve"> de </w:t>
      </w:r>
      <w:r w:rsidR="00B63280">
        <w:t>dos mil dieciocho</w:t>
      </w:r>
      <w:r w:rsidRPr="00537D7B">
        <w:t>, m</w:t>
      </w:r>
      <w:r w:rsidR="006161FB" w:rsidRPr="00537D7B">
        <w:t>ediante</w:t>
      </w:r>
      <w:r w:rsidR="006161FB" w:rsidRPr="00106F7D">
        <w:t xml:space="preserve"> acuerdo </w:t>
      </w:r>
      <w:r w:rsidR="003E5F2D" w:rsidRPr="00106F7D">
        <w:t xml:space="preserve">firmado por la Titular de la UCE, </w:t>
      </w:r>
      <w:r w:rsidR="006161FB" w:rsidRPr="00106F7D">
        <w:t xml:space="preserve">se </w:t>
      </w:r>
      <w:r w:rsidR="00CB7D1C" w:rsidRPr="00106F7D">
        <w:t xml:space="preserve">tuvo por </w:t>
      </w:r>
      <w:r w:rsidR="003E5F2D" w:rsidRPr="00106F7D">
        <w:t>d</w:t>
      </w:r>
      <w:r w:rsidR="00CB7D1C" w:rsidRPr="00106F7D">
        <w:t>esahogad</w:t>
      </w:r>
      <w:r w:rsidR="003E5F2D" w:rsidRPr="00106F7D">
        <w:t>o</w:t>
      </w:r>
      <w:r w:rsidR="00CB7D1C" w:rsidRPr="00106F7D">
        <w:t xml:space="preserve"> </w:t>
      </w:r>
      <w:r w:rsidR="003E5F2D" w:rsidRPr="00106F7D">
        <w:t>el Acuerdo de P</w:t>
      </w:r>
      <w:r w:rsidR="00CB7D1C" w:rsidRPr="00106F7D">
        <w:t xml:space="preserve">revención y se </w:t>
      </w:r>
      <w:r w:rsidR="006161FB" w:rsidRPr="00106F7D">
        <w:t>turnó el asunto a la Dirección General de Concentraciones y Concesiones (DGCC), para dar el trámite correspondiente en términos de la LFPA.</w:t>
      </w:r>
    </w:p>
    <w:p w14:paraId="7BC956A5" w14:textId="77777777" w:rsidR="00D10FE3" w:rsidRPr="00106F7D" w:rsidRDefault="00CB7D1C" w:rsidP="005D30ED">
      <w:pPr>
        <w:pStyle w:val="Prrafodelista"/>
        <w:spacing w:after="240" w:line="276" w:lineRule="auto"/>
        <w:ind w:left="0" w:right="-1"/>
        <w:contextualSpacing w:val="0"/>
      </w:pPr>
      <w:r w:rsidRPr="00106F7D">
        <w:t>De acuerdo con lo anterior</w:t>
      </w:r>
      <w:r w:rsidR="00D10FE3" w:rsidRPr="00106F7D">
        <w:t>:</w:t>
      </w:r>
    </w:p>
    <w:p w14:paraId="760DEC27" w14:textId="77777777" w:rsidR="00D10FE3" w:rsidRPr="00A02181" w:rsidRDefault="003E5F2D" w:rsidP="005D30ED">
      <w:pPr>
        <w:pStyle w:val="Prrafodelista"/>
        <w:numPr>
          <w:ilvl w:val="0"/>
          <w:numId w:val="17"/>
        </w:numPr>
        <w:spacing w:after="240" w:line="276" w:lineRule="auto"/>
        <w:ind w:left="567" w:right="-1" w:hanging="425"/>
        <w:contextualSpacing w:val="0"/>
      </w:pPr>
      <w:r w:rsidRPr="00106F7D">
        <w:t>E</w:t>
      </w:r>
      <w:r w:rsidR="006161FB" w:rsidRPr="00106F7D">
        <w:t xml:space="preserve">l plazo de </w:t>
      </w:r>
      <w:r w:rsidR="00241D9A" w:rsidRPr="00106F7D">
        <w:t>3 (</w:t>
      </w:r>
      <w:r w:rsidR="00CE11A2" w:rsidRPr="00106F7D">
        <w:t>tres</w:t>
      </w:r>
      <w:r w:rsidR="00241D9A" w:rsidRPr="00106F7D">
        <w:t>)</w:t>
      </w:r>
      <w:r w:rsidR="00CE11A2" w:rsidRPr="00106F7D">
        <w:t xml:space="preserve"> meses</w:t>
      </w:r>
      <w:r w:rsidR="006161FB" w:rsidRPr="00106F7D">
        <w:t xml:space="preserve"> para </w:t>
      </w:r>
      <w:r w:rsidR="00CB7D1C" w:rsidRPr="00106F7D">
        <w:t xml:space="preserve">emitir resolución en </w:t>
      </w:r>
      <w:r w:rsidR="006161FB" w:rsidRPr="00106F7D">
        <w:t xml:space="preserve">el </w:t>
      </w:r>
      <w:r w:rsidR="00CB7D1C" w:rsidRPr="00106F7D">
        <w:t xml:space="preserve">presente </w:t>
      </w:r>
      <w:r w:rsidR="006161FB" w:rsidRPr="00106F7D">
        <w:t>procedimiento</w:t>
      </w:r>
      <w:r w:rsidR="00B63280">
        <w:t>,</w:t>
      </w:r>
      <w:r w:rsidR="006161FB" w:rsidRPr="00106F7D">
        <w:t xml:space="preserve"> </w:t>
      </w:r>
      <w:r w:rsidR="00CB7D1C" w:rsidRPr="00A02181">
        <w:t>previsto en el artículo 17 de la LFPA</w:t>
      </w:r>
      <w:r w:rsidRPr="00A02181">
        <w:t>,</w:t>
      </w:r>
      <w:r w:rsidR="00CB7D1C" w:rsidRPr="00A02181">
        <w:t xml:space="preserve"> </w:t>
      </w:r>
      <w:r w:rsidR="006161FB" w:rsidRPr="00A02181">
        <w:t xml:space="preserve">inició el </w:t>
      </w:r>
      <w:r w:rsidR="00B63280">
        <w:t>cinco</w:t>
      </w:r>
      <w:r w:rsidRPr="00A02181">
        <w:t xml:space="preserve"> </w:t>
      </w:r>
      <w:r w:rsidR="006161FB" w:rsidRPr="00A02181">
        <w:t xml:space="preserve">de </w:t>
      </w:r>
      <w:r w:rsidRPr="00A02181">
        <w:t xml:space="preserve">diciembre </w:t>
      </w:r>
      <w:r w:rsidR="006161FB" w:rsidRPr="00A02181">
        <w:t xml:space="preserve">de </w:t>
      </w:r>
      <w:r w:rsidR="00B63280">
        <w:t>dos mil diecisiete</w:t>
      </w:r>
      <w:r w:rsidR="00241D9A" w:rsidRPr="00A02181">
        <w:t>,</w:t>
      </w:r>
      <w:r w:rsidR="00290645" w:rsidRPr="00A02181">
        <w:t xml:space="preserve"> </w:t>
      </w:r>
      <w:r w:rsidR="00A6762B" w:rsidRPr="00A02181">
        <w:t>y</w:t>
      </w:r>
    </w:p>
    <w:p w14:paraId="0F2989E2" w14:textId="77777777" w:rsidR="006161FB" w:rsidRPr="00E94A59" w:rsidRDefault="00B63280" w:rsidP="005D30ED">
      <w:pPr>
        <w:pStyle w:val="Prrafodelista"/>
        <w:numPr>
          <w:ilvl w:val="0"/>
          <w:numId w:val="17"/>
        </w:numPr>
        <w:spacing w:after="240" w:line="276" w:lineRule="auto"/>
        <w:ind w:left="567" w:hanging="425"/>
        <w:contextualSpacing w:val="0"/>
      </w:pPr>
      <w:r>
        <w:t xml:space="preserve">A partir del día hábil siguiente </w:t>
      </w:r>
      <w:r w:rsidR="00CB7D1C" w:rsidRPr="00A02181">
        <w:t xml:space="preserve">de la notificación del Acuerdo de Prevención, </w:t>
      </w:r>
      <w:r>
        <w:t>el</w:t>
      </w:r>
      <w:r w:rsidRPr="00A02181">
        <w:t xml:space="preserve"> </w:t>
      </w:r>
      <w:r w:rsidR="006161FB" w:rsidRPr="00A02181">
        <w:t xml:space="preserve">plazo </w:t>
      </w:r>
      <w:r>
        <w:t xml:space="preserve">para emitir resolución </w:t>
      </w:r>
      <w:r w:rsidR="006161FB" w:rsidRPr="00A02181">
        <w:t xml:space="preserve">fue suspendido y se reinició el </w:t>
      </w:r>
      <w:r>
        <w:t>treinta y uno</w:t>
      </w:r>
      <w:r w:rsidR="003E5F2D" w:rsidRPr="00A02181">
        <w:t xml:space="preserve"> de enero de </w:t>
      </w:r>
      <w:r>
        <w:t>dos mil dieciocho</w:t>
      </w:r>
      <w:r w:rsidR="006161FB" w:rsidRPr="00A02181">
        <w:t>, día</w:t>
      </w:r>
      <w:r w:rsidR="00192BE5" w:rsidRPr="00A02181">
        <w:t xml:space="preserve"> hábil</w:t>
      </w:r>
      <w:r w:rsidR="006161FB" w:rsidRPr="00A02181">
        <w:t xml:space="preserve"> inmediato </w:t>
      </w:r>
      <w:r>
        <w:t>siguiente</w:t>
      </w:r>
      <w:r w:rsidRPr="00A02181">
        <w:t xml:space="preserve"> </w:t>
      </w:r>
      <w:r w:rsidR="006161FB" w:rsidRPr="00A02181">
        <w:t xml:space="preserve">a la fecha en la que las Partes </w:t>
      </w:r>
      <w:r w:rsidR="006161FB" w:rsidRPr="00E94A59">
        <w:t xml:space="preserve">presentaron el </w:t>
      </w:r>
      <w:r w:rsidR="003E5F2D" w:rsidRPr="00E94A59">
        <w:t xml:space="preserve">Escrito de </w:t>
      </w:r>
      <w:r w:rsidR="006161FB" w:rsidRPr="00E94A59">
        <w:t>Desahogo de Prevención.</w:t>
      </w:r>
    </w:p>
    <w:p w14:paraId="479B645D" w14:textId="77777777" w:rsidR="00241D9A" w:rsidRPr="00E94A59" w:rsidRDefault="00241D9A" w:rsidP="005D30ED">
      <w:pPr>
        <w:pStyle w:val="Prrafodelista"/>
        <w:numPr>
          <w:ilvl w:val="0"/>
          <w:numId w:val="19"/>
        </w:numPr>
        <w:spacing w:after="240" w:line="276" w:lineRule="auto"/>
        <w:ind w:left="0"/>
        <w:contextualSpacing w:val="0"/>
        <w:rPr>
          <w:b/>
        </w:rPr>
      </w:pPr>
      <w:r w:rsidRPr="00E94A59">
        <w:t xml:space="preserve">El </w:t>
      </w:r>
      <w:r w:rsidR="00B63280">
        <w:t>veintiséis</w:t>
      </w:r>
      <w:r w:rsidRPr="00E94A59">
        <w:t xml:space="preserve"> de </w:t>
      </w:r>
      <w:r w:rsidR="00106F7D" w:rsidRPr="00E94A59">
        <w:t>febrero</w:t>
      </w:r>
      <w:r w:rsidRPr="00E94A59">
        <w:t xml:space="preserve"> de </w:t>
      </w:r>
      <w:r w:rsidR="00B63280">
        <w:t>dos mil dieciocho</w:t>
      </w:r>
      <w:r w:rsidRPr="00E94A59">
        <w:t xml:space="preserve">, mediante acuerdo firmado por el </w:t>
      </w:r>
      <w:r w:rsidR="00B63280">
        <w:t>T</w:t>
      </w:r>
      <w:r w:rsidRPr="00E94A59">
        <w:t>itular de la DGCC,</w:t>
      </w:r>
      <w:r w:rsidR="006161FB" w:rsidRPr="00E94A59">
        <w:t xml:space="preserve"> </w:t>
      </w:r>
      <w:r w:rsidRPr="00E94A59">
        <w:t>con fundamento en el artículo 56</w:t>
      </w:r>
      <w:r w:rsidR="0028474D" w:rsidRPr="00E94A59">
        <w:t>, párrafos primero y segundo,</w:t>
      </w:r>
      <w:r w:rsidRPr="00E94A59">
        <w:t xml:space="preserve"> de la LFPA, </w:t>
      </w:r>
      <w:r w:rsidR="00E94A59" w:rsidRPr="00E94A59">
        <w:rPr>
          <w:rFonts w:cs="Helvetica"/>
        </w:rPr>
        <w:t xml:space="preserve">las actuaciones </w:t>
      </w:r>
      <w:r w:rsidR="00E94A59">
        <w:rPr>
          <w:rFonts w:cs="Helvetica"/>
        </w:rPr>
        <w:t xml:space="preserve">dentro del Expediente </w:t>
      </w:r>
      <w:r w:rsidR="00B63280" w:rsidRPr="00E94A59">
        <w:t xml:space="preserve">se </w:t>
      </w:r>
      <w:r w:rsidR="00B63280" w:rsidRPr="00E94A59">
        <w:rPr>
          <w:rFonts w:cs="Helvetica"/>
        </w:rPr>
        <w:t xml:space="preserve">pusieron </w:t>
      </w:r>
      <w:r w:rsidR="00E94A59" w:rsidRPr="00E94A59">
        <w:rPr>
          <w:rFonts w:cs="Helvetica"/>
        </w:rPr>
        <w:t xml:space="preserve">a disposición de las Partes </w:t>
      </w:r>
      <w:r w:rsidR="00CB7D1C" w:rsidRPr="00E94A59">
        <w:rPr>
          <w:rFonts w:cs="Helvetica"/>
        </w:rPr>
        <w:t xml:space="preserve">para que en el término de </w:t>
      </w:r>
      <w:r w:rsidR="00106F7D" w:rsidRPr="00E94A59">
        <w:rPr>
          <w:rFonts w:cs="Helvetica"/>
        </w:rPr>
        <w:t>10 (</w:t>
      </w:r>
      <w:r w:rsidR="00CB7D1C" w:rsidRPr="00E94A59">
        <w:rPr>
          <w:rFonts w:cs="Helvetica"/>
        </w:rPr>
        <w:t>diez</w:t>
      </w:r>
      <w:r w:rsidR="00106F7D" w:rsidRPr="00E94A59">
        <w:rPr>
          <w:rFonts w:cs="Helvetica"/>
        </w:rPr>
        <w:t>)</w:t>
      </w:r>
      <w:r w:rsidR="00CB7D1C" w:rsidRPr="00E94A59">
        <w:rPr>
          <w:rFonts w:cs="Helvetica"/>
        </w:rPr>
        <w:t xml:space="preserve"> días hábiles</w:t>
      </w:r>
      <w:r w:rsidR="00E94A59" w:rsidRPr="00E94A59">
        <w:rPr>
          <w:rFonts w:cs="Helvetica"/>
        </w:rPr>
        <w:t xml:space="preserve"> </w:t>
      </w:r>
      <w:r w:rsidR="00CB7D1C" w:rsidRPr="00E94A59">
        <w:rPr>
          <w:rFonts w:cs="Helvetica"/>
        </w:rPr>
        <w:t xml:space="preserve">formularan alegatos </w:t>
      </w:r>
      <w:r w:rsidR="00E94A59" w:rsidRPr="00E94A59">
        <w:rPr>
          <w:rFonts w:cs="Helvetica"/>
        </w:rPr>
        <w:t>y manifestaran lo que a su derecho conv</w:t>
      </w:r>
      <w:r w:rsidR="00B63280">
        <w:rPr>
          <w:rFonts w:cs="Helvetica"/>
        </w:rPr>
        <w:t>iniera</w:t>
      </w:r>
      <w:r w:rsidR="006161FB" w:rsidRPr="00E94A59">
        <w:t>.</w:t>
      </w:r>
    </w:p>
    <w:p w14:paraId="2F6625A5" w14:textId="77777777" w:rsidR="00EA10ED" w:rsidRPr="008C598B" w:rsidRDefault="0028474D" w:rsidP="009017CA">
      <w:pPr>
        <w:pStyle w:val="Prrafodelista"/>
        <w:numPr>
          <w:ilvl w:val="0"/>
          <w:numId w:val="19"/>
        </w:numPr>
        <w:spacing w:after="240" w:line="276" w:lineRule="auto"/>
        <w:ind w:left="0"/>
        <w:contextualSpacing w:val="0"/>
      </w:pPr>
      <w:r w:rsidRPr="00AF7AEF">
        <w:t xml:space="preserve">El </w:t>
      </w:r>
      <w:r w:rsidR="00B63280">
        <w:t>doce</w:t>
      </w:r>
      <w:r w:rsidRPr="00AF7AEF">
        <w:t xml:space="preserve"> de </w:t>
      </w:r>
      <w:r w:rsidR="00106F7D" w:rsidRPr="00AF7AEF">
        <w:t>marzo</w:t>
      </w:r>
      <w:r w:rsidRPr="00AF7AEF">
        <w:t xml:space="preserve"> de </w:t>
      </w:r>
      <w:r w:rsidR="00B63280">
        <w:t>dos mil dieciocho</w:t>
      </w:r>
      <w:r w:rsidRPr="00AF7AEF">
        <w:t xml:space="preserve">, mediante escrito presentado en la oficialía de partes del Instituto, las Partes </w:t>
      </w:r>
      <w:r w:rsidR="00AF7AEF" w:rsidRPr="00AF7AEF">
        <w:t xml:space="preserve">presentaron </w:t>
      </w:r>
      <w:r w:rsidR="008F0774" w:rsidRPr="00AF7AEF">
        <w:t>manif</w:t>
      </w:r>
      <w:r w:rsidRPr="00AF7AEF">
        <w:t>esta</w:t>
      </w:r>
      <w:r w:rsidR="00AF7AEF" w:rsidRPr="00AF7AEF">
        <w:t xml:space="preserve">ciones y </w:t>
      </w:r>
      <w:r w:rsidR="008F0774" w:rsidRPr="00AF7AEF">
        <w:t>alegatos, mismo</w:t>
      </w:r>
      <w:r w:rsidR="00AF7AEF" w:rsidRPr="00AF7AEF">
        <w:t>s</w:t>
      </w:r>
      <w:r w:rsidR="008F0774" w:rsidRPr="00AF7AEF">
        <w:t xml:space="preserve"> que se anex</w:t>
      </w:r>
      <w:r w:rsidR="00AF7AEF" w:rsidRPr="00AF7AEF">
        <w:t>aron</w:t>
      </w:r>
      <w:r w:rsidR="008F0774" w:rsidRPr="00AF7AEF">
        <w:t xml:space="preserve"> al </w:t>
      </w:r>
      <w:r w:rsidR="00AF7AEF" w:rsidRPr="00AF7AEF">
        <w:t>E</w:t>
      </w:r>
      <w:r w:rsidR="008F0774" w:rsidRPr="00AF7AEF">
        <w:t>xpediente</w:t>
      </w:r>
      <w:r w:rsidR="00EB42A3" w:rsidRPr="00AF7AEF">
        <w:t xml:space="preserve"> en que se actúa</w:t>
      </w:r>
      <w:r w:rsidR="00AF7AEF" w:rsidRPr="00AF7AEF">
        <w:t xml:space="preserve"> y se tomaron en cuenta para la emisión de la presente resolución</w:t>
      </w:r>
      <w:r w:rsidR="006161FB" w:rsidRPr="00AF7AEF">
        <w:t>.</w:t>
      </w:r>
    </w:p>
    <w:p w14:paraId="7CBEE6F5" w14:textId="77777777" w:rsidR="006161FB" w:rsidRPr="00EA10ED" w:rsidRDefault="006161FB" w:rsidP="00A5299B">
      <w:pPr>
        <w:pStyle w:val="Ttulo1"/>
      </w:pPr>
      <w:bookmarkStart w:id="1" w:name="_Toc511061391"/>
      <w:r w:rsidRPr="00EA10ED">
        <w:lastRenderedPageBreak/>
        <w:t>CONSIDERAN</w:t>
      </w:r>
      <w:r w:rsidR="001106DD" w:rsidRPr="00EA10ED">
        <w:t>DO</w:t>
      </w:r>
      <w:bookmarkEnd w:id="1"/>
    </w:p>
    <w:p w14:paraId="42AF31CD" w14:textId="77777777" w:rsidR="00484E0F" w:rsidRPr="00EA10ED" w:rsidRDefault="006161FB" w:rsidP="00B87C5B">
      <w:pPr>
        <w:pStyle w:val="Ttulo2"/>
        <w:spacing w:before="240"/>
      </w:pPr>
      <w:bookmarkStart w:id="2" w:name="_Toc511061392"/>
      <w:r w:rsidRPr="00EA10ED">
        <w:t>PRIMER</w:t>
      </w:r>
      <w:r w:rsidR="001106DD" w:rsidRPr="00EA10ED">
        <w:t>O</w:t>
      </w:r>
      <w:r w:rsidRPr="00EA10ED">
        <w:t xml:space="preserve">. </w:t>
      </w:r>
      <w:r w:rsidR="00484E0F" w:rsidRPr="00EA10ED">
        <w:t xml:space="preserve">Competencia </w:t>
      </w:r>
      <w:r w:rsidR="000420C6">
        <w:t>del Instituto</w:t>
      </w:r>
      <w:r w:rsidR="00484E0F" w:rsidRPr="00EA10ED">
        <w:t xml:space="preserve"> para conocer y resolver sobre el Aviso de Concentración</w:t>
      </w:r>
      <w:bookmarkEnd w:id="2"/>
    </w:p>
    <w:p w14:paraId="5616556C" w14:textId="77777777" w:rsidR="00EA10ED" w:rsidRPr="00497B22" w:rsidRDefault="00EA10ED" w:rsidP="0023224A">
      <w:pPr>
        <w:ind w:right="-1"/>
      </w:pPr>
      <w:r w:rsidRPr="00EA10ED">
        <w:t>De conformidad con lo dispuesto en el artículo 28, párrafo décimo sexto, de la Constitución Política de los Estados Unidos Mexicanos (CPEUM); 5, párrafo primero, de la LFCE;</w:t>
      </w:r>
      <w:r w:rsidR="0053621E">
        <w:t xml:space="preserve"> y 7</w:t>
      </w:r>
      <w:r w:rsidRPr="00EA10ED">
        <w:t xml:space="preserve"> de la LFTR, el Instituto es un órgano autónomo, con personalidad jurídica y patrimonio propio que tiene por objeto el desarrollo eficiente de la radiodifusión y las telecomunicaciones, y para tales efectos tiene a su cargo, la regulación, promoción y supervisión, entre otros, del uso, aprovechamiento y explotación del espectro radioeléctrico</w:t>
      </w:r>
      <w:r w:rsidR="00E94A59" w:rsidRPr="00E94A59">
        <w:rPr>
          <w:rFonts w:eastAsia="Times New Roman"/>
          <w:bCs/>
          <w:color w:val="000000"/>
        </w:rPr>
        <w:t xml:space="preserve"> </w:t>
      </w:r>
      <w:r w:rsidR="00E94A59">
        <w:rPr>
          <w:rFonts w:eastAsia="Times New Roman"/>
          <w:bCs/>
          <w:color w:val="000000"/>
        </w:rPr>
        <w:t xml:space="preserve">y </w:t>
      </w:r>
      <w:r w:rsidR="00E94A59" w:rsidRPr="00021217">
        <w:rPr>
          <w:rFonts w:eastAsia="Times New Roman"/>
          <w:bCs/>
          <w:color w:val="000000"/>
        </w:rPr>
        <w:t>del acceso a infraestructura pasiva</w:t>
      </w:r>
      <w:r w:rsidR="00AC5D7C">
        <w:rPr>
          <w:rFonts w:eastAsia="Times New Roman"/>
          <w:bCs/>
          <w:color w:val="000000"/>
        </w:rPr>
        <w:t xml:space="preserve">. </w:t>
      </w:r>
      <w:r w:rsidR="00AC5D7C">
        <w:t>A</w:t>
      </w:r>
      <w:r w:rsidRPr="00EA10ED">
        <w:t xml:space="preserve">simismo, es la autoridad en materia de competencia económica en los sectores de radiodifusión y telecomunicaciones, </w:t>
      </w:r>
      <w:r w:rsidR="00AC5D7C">
        <w:t xml:space="preserve">en los que </w:t>
      </w:r>
      <w:r w:rsidRPr="00EA10ED">
        <w:t xml:space="preserve">ejerce en forma exclusiva las facultades que el artículo constitucional citado y las leyes establecen para la </w:t>
      </w:r>
      <w:r w:rsidRPr="00497B22">
        <w:t>Comisión Federal de Competencia Económica.</w:t>
      </w:r>
    </w:p>
    <w:p w14:paraId="31D7E2CE" w14:textId="77777777" w:rsidR="006161FB" w:rsidRDefault="006161FB" w:rsidP="00E60446">
      <w:pPr>
        <w:ind w:right="-1"/>
      </w:pPr>
      <w:r w:rsidRPr="00497B22">
        <w:t xml:space="preserve">Por lo anterior, el Instituto es legalmente competente para conocer y resolver sobre </w:t>
      </w:r>
      <w:r w:rsidR="00747410" w:rsidRPr="00497B22">
        <w:t>el Aviso de Concentración</w:t>
      </w:r>
      <w:r w:rsidR="00497B22" w:rsidRPr="00497B22">
        <w:t>,</w:t>
      </w:r>
      <w:r w:rsidR="00747410" w:rsidRPr="00497B22">
        <w:t xml:space="preserve"> toda vez que </w:t>
      </w:r>
      <w:r w:rsidR="00497B22" w:rsidRPr="00497B22">
        <w:t xml:space="preserve">éste </w:t>
      </w:r>
      <w:r w:rsidR="00747410" w:rsidRPr="00497B22">
        <w:t>fue</w:t>
      </w:r>
      <w:r w:rsidRPr="00497B22">
        <w:t xml:space="preserve"> presentado </w:t>
      </w:r>
      <w:r w:rsidR="003B1926" w:rsidRPr="00497B22">
        <w:t>en términos</w:t>
      </w:r>
      <w:r w:rsidRPr="00497B22">
        <w:t xml:space="preserve"> del </w:t>
      </w:r>
      <w:r w:rsidR="00AC5D7C">
        <w:t>A</w:t>
      </w:r>
      <w:r w:rsidRPr="00497B22">
        <w:t xml:space="preserve">rtículo </w:t>
      </w:r>
      <w:r w:rsidR="00014D8D" w:rsidRPr="00497B22">
        <w:t xml:space="preserve">Noveno Transitorio </w:t>
      </w:r>
      <w:r w:rsidR="00497B22" w:rsidRPr="00497B22">
        <w:t xml:space="preserve">y la Operación involucra a agentes </w:t>
      </w:r>
      <w:r w:rsidR="00ED1E76">
        <w:t xml:space="preserve">y actividades </w:t>
      </w:r>
      <w:r w:rsidR="00497B22" w:rsidRPr="00497B22">
        <w:t xml:space="preserve">económicos que </w:t>
      </w:r>
      <w:r w:rsidR="00ED1E76">
        <w:t>pertenecen al</w:t>
      </w:r>
      <w:r w:rsidR="00497B22" w:rsidRPr="00497B22">
        <w:t xml:space="preserve"> sector de telecomunicaciones</w:t>
      </w:r>
      <w:r w:rsidRPr="00497B22">
        <w:t>.</w:t>
      </w:r>
    </w:p>
    <w:p w14:paraId="4224D91E" w14:textId="77777777" w:rsidR="00497B22" w:rsidRPr="00E60446" w:rsidRDefault="00ED1E76" w:rsidP="00E60446">
      <w:r>
        <w:t xml:space="preserve">De conformidad con las constancias que obran en el expediente, </w:t>
      </w:r>
      <w:r w:rsidR="00497B22" w:rsidRPr="00E60446">
        <w:t>las Partes son</w:t>
      </w:r>
      <w:r>
        <w:t xml:space="preserve">: </w:t>
      </w:r>
      <w:r>
        <w:br w:type="textWrapping" w:clear="all"/>
      </w:r>
      <w:r w:rsidRPr="009017CA">
        <w:rPr>
          <w:b/>
        </w:rPr>
        <w:t>(a)</w:t>
      </w:r>
      <w:r w:rsidR="00497B22" w:rsidRPr="00E60446">
        <w:t xml:space="preserve"> titulares de concesiones únicas</w:t>
      </w:r>
      <w:r>
        <w:t xml:space="preserve"> que </w:t>
      </w:r>
      <w:r w:rsidR="00497B22" w:rsidRPr="00E60446">
        <w:t xml:space="preserve">autorizan </w:t>
      </w:r>
      <w:r>
        <w:t>la</w:t>
      </w:r>
      <w:r w:rsidR="00497B22" w:rsidRPr="00E60446">
        <w:t xml:space="preserve"> </w:t>
      </w:r>
      <w:r>
        <w:t>comercialización de</w:t>
      </w:r>
      <w:r w:rsidR="00497B22" w:rsidRPr="00E60446">
        <w:t xml:space="preserve"> servicios de telecomunicaciones y/o concesiones de red pública de telecomunicaciones, y </w:t>
      </w:r>
      <w:r>
        <w:br w:type="textWrapping" w:clear="all"/>
      </w:r>
      <w:r w:rsidRPr="00927109">
        <w:rPr>
          <w:b/>
        </w:rPr>
        <w:t>(b)</w:t>
      </w:r>
      <w:r>
        <w:t xml:space="preserve"> </w:t>
      </w:r>
      <w:r w:rsidR="00497B22" w:rsidRPr="00E60446">
        <w:t>proveen</w:t>
      </w:r>
      <w:r w:rsidR="00B87C5B">
        <w:t>, entre otros,</w:t>
      </w:r>
      <w:r w:rsidR="00497B22" w:rsidRPr="00E60446">
        <w:t xml:space="preserve"> los siguientes servicios en el sector de telecomunicaciones:</w:t>
      </w:r>
    </w:p>
    <w:p w14:paraId="1AAA3D66" w14:textId="77777777" w:rsidR="00497B22" w:rsidRPr="00E60446" w:rsidRDefault="00497B22" w:rsidP="00ED1E76">
      <w:pPr>
        <w:pStyle w:val="Prrafodelista"/>
        <w:numPr>
          <w:ilvl w:val="0"/>
          <w:numId w:val="20"/>
        </w:numPr>
        <w:spacing w:after="120" w:line="276" w:lineRule="auto"/>
        <w:ind w:left="784" w:hanging="358"/>
        <w:contextualSpacing w:val="0"/>
      </w:pPr>
      <w:r w:rsidRPr="00E60446">
        <w:t xml:space="preserve">Acceso a Internet </w:t>
      </w:r>
      <w:r w:rsidR="00E60446">
        <w:t>F</w:t>
      </w:r>
      <w:r w:rsidRPr="00E60446">
        <w:t>ijo;</w:t>
      </w:r>
    </w:p>
    <w:p w14:paraId="1002424E" w14:textId="77777777" w:rsidR="00497B22" w:rsidRPr="00E60446" w:rsidRDefault="00497B22" w:rsidP="00ED1E76">
      <w:pPr>
        <w:pStyle w:val="Prrafodelista"/>
        <w:numPr>
          <w:ilvl w:val="0"/>
          <w:numId w:val="20"/>
        </w:numPr>
        <w:spacing w:after="120" w:line="276" w:lineRule="auto"/>
        <w:ind w:left="784" w:hanging="358"/>
        <w:contextualSpacing w:val="0"/>
      </w:pPr>
      <w:r w:rsidRPr="00E60446">
        <w:t xml:space="preserve">Enlaces dedicados, </w:t>
      </w:r>
      <w:r w:rsidR="00B87C5B">
        <w:t>y</w:t>
      </w:r>
    </w:p>
    <w:p w14:paraId="41B6726B" w14:textId="77777777" w:rsidR="00497B22" w:rsidRPr="00E60446" w:rsidRDefault="00E60446" w:rsidP="00ED1E76">
      <w:pPr>
        <w:pStyle w:val="Prrafodelista"/>
        <w:numPr>
          <w:ilvl w:val="0"/>
          <w:numId w:val="20"/>
        </w:numPr>
        <w:spacing w:after="120" w:line="276" w:lineRule="auto"/>
        <w:ind w:left="784" w:hanging="358"/>
        <w:contextualSpacing w:val="0"/>
      </w:pPr>
      <w:r w:rsidRPr="00E60446">
        <w:rPr>
          <w:rFonts w:eastAsia="Times New Roman"/>
          <w:bCs/>
          <w:color w:val="000000"/>
        </w:rPr>
        <w:t>Provisión de Sitios para Telecomunicaciones (</w:t>
      </w:r>
      <w:r w:rsidR="00430C8D">
        <w:rPr>
          <w:rFonts w:eastAsia="Times New Roman"/>
          <w:bCs/>
          <w:color w:val="000000"/>
        </w:rPr>
        <w:t xml:space="preserve">infraestructura pasiva que </w:t>
      </w:r>
      <w:r w:rsidRPr="00E60446">
        <w:rPr>
          <w:rFonts w:eastAsia="Times New Roman"/>
          <w:bCs/>
          <w:color w:val="000000"/>
        </w:rPr>
        <w:t>incluye espacios en torres, así como elementos accesorios).</w:t>
      </w:r>
      <w:r w:rsidR="00E2705A">
        <w:rPr>
          <w:rStyle w:val="Refdenotaalpie"/>
          <w:lang w:eastAsia="es-ES"/>
        </w:rPr>
        <w:footnoteReference w:id="2"/>
      </w:r>
    </w:p>
    <w:p w14:paraId="0F5042AC" w14:textId="77777777" w:rsidR="006161FB" w:rsidRDefault="00497B22" w:rsidP="00E60446">
      <w:pPr>
        <w:ind w:right="-1"/>
      </w:pPr>
      <w:r w:rsidRPr="00E60446">
        <w:lastRenderedPageBreak/>
        <w:t>En términos de lo anterior</w:t>
      </w:r>
      <w:r w:rsidR="006161FB" w:rsidRPr="00E60446">
        <w:t xml:space="preserve">, el Instituto </w:t>
      </w:r>
      <w:r w:rsidR="00791DED" w:rsidRPr="00E60446">
        <w:t xml:space="preserve">es competente para conocer y </w:t>
      </w:r>
      <w:r w:rsidR="006161FB" w:rsidRPr="00E60446">
        <w:t>está facultado para</w:t>
      </w:r>
      <w:r w:rsidR="006161FB" w:rsidRPr="00497B22">
        <w:t xml:space="preserve"> evaluar</w:t>
      </w:r>
      <w:r w:rsidR="00ED1E76">
        <w:t xml:space="preserve"> y resolver, con base en </w:t>
      </w:r>
      <w:r w:rsidR="006161FB" w:rsidRPr="00497B22">
        <w:t xml:space="preserve">la información y los documentos aportados por las Partes </w:t>
      </w:r>
      <w:r w:rsidR="00791DED" w:rsidRPr="00497B22">
        <w:t>dentro del procedimiento en que se actúa</w:t>
      </w:r>
      <w:r w:rsidR="00ED1E76">
        <w:t xml:space="preserve">, </w:t>
      </w:r>
      <w:r w:rsidR="006161FB" w:rsidRPr="00497B22">
        <w:t xml:space="preserve">si la </w:t>
      </w:r>
      <w:r w:rsidR="00791DED" w:rsidRPr="00497B22">
        <w:t xml:space="preserve">Operación </w:t>
      </w:r>
      <w:r w:rsidR="006161FB" w:rsidRPr="00497B22">
        <w:t xml:space="preserve">cumple con los </w:t>
      </w:r>
      <w:r w:rsidRPr="00497B22">
        <w:t>4 (</w:t>
      </w:r>
      <w:r w:rsidR="006161FB" w:rsidRPr="00497B22">
        <w:t>cuatro</w:t>
      </w:r>
      <w:r w:rsidRPr="00497B22">
        <w:t>)</w:t>
      </w:r>
      <w:r w:rsidR="006161FB" w:rsidRPr="00497B22">
        <w:t xml:space="preserve"> requisitos establecidos en los incisos </w:t>
      </w:r>
      <w:r w:rsidR="006161FB" w:rsidRPr="00497B22">
        <w:rPr>
          <w:b/>
        </w:rPr>
        <w:t>a.</w:t>
      </w:r>
      <w:r w:rsidR="006161FB" w:rsidRPr="00497B22">
        <w:t xml:space="preserve"> a </w:t>
      </w:r>
      <w:r w:rsidR="006161FB" w:rsidRPr="00497B22">
        <w:rPr>
          <w:b/>
        </w:rPr>
        <w:t>d.</w:t>
      </w:r>
      <w:r w:rsidR="006161FB" w:rsidRPr="00497B22">
        <w:t xml:space="preserve"> del párrafo </w:t>
      </w:r>
      <w:r w:rsidR="0053621E">
        <w:t xml:space="preserve">primero </w:t>
      </w:r>
      <w:r w:rsidR="006161FB" w:rsidRPr="00497B22">
        <w:t xml:space="preserve">del </w:t>
      </w:r>
      <w:r w:rsidR="00ED1E76">
        <w:t>A</w:t>
      </w:r>
      <w:r w:rsidR="006161FB" w:rsidRPr="00497B22">
        <w:t xml:space="preserve">rtículo </w:t>
      </w:r>
      <w:r w:rsidR="00014D8D" w:rsidRPr="00497B22">
        <w:t>Noveno Transitorio</w:t>
      </w:r>
      <w:r w:rsidR="006161FB" w:rsidRPr="00497B22">
        <w:t>.</w:t>
      </w:r>
    </w:p>
    <w:p w14:paraId="151A851F" w14:textId="77777777" w:rsidR="00904721" w:rsidRDefault="006161FB" w:rsidP="00B87C5B">
      <w:pPr>
        <w:pStyle w:val="Ttulo2"/>
        <w:spacing w:before="240"/>
      </w:pPr>
      <w:bookmarkStart w:id="3" w:name="_Toc511061393"/>
      <w:r w:rsidRPr="00497B22">
        <w:t>SEGUND</w:t>
      </w:r>
      <w:r w:rsidR="001106DD" w:rsidRPr="00497B22">
        <w:t>O</w:t>
      </w:r>
      <w:r w:rsidRPr="00497B22">
        <w:t xml:space="preserve">. </w:t>
      </w:r>
      <w:r w:rsidR="00033161">
        <w:t>Alcances de esta resolución</w:t>
      </w:r>
      <w:bookmarkEnd w:id="3"/>
    </w:p>
    <w:p w14:paraId="3571B86D" w14:textId="77777777" w:rsidR="006161FB" w:rsidRPr="004B1E7C" w:rsidRDefault="00904721" w:rsidP="004B1E7C">
      <w:pPr>
        <w:rPr>
          <w:b/>
        </w:rPr>
      </w:pPr>
      <w:bookmarkStart w:id="4" w:name="_Toc511061394"/>
      <w:r w:rsidRPr="004B1E7C">
        <w:rPr>
          <w:b/>
        </w:rPr>
        <w:t>2.1. Fundamentación</w:t>
      </w:r>
      <w:bookmarkEnd w:id="4"/>
    </w:p>
    <w:p w14:paraId="66BCEFFB" w14:textId="77777777" w:rsidR="00444F18" w:rsidRDefault="00B87C5B" w:rsidP="00424CCF">
      <w:pPr>
        <w:shd w:val="clear" w:color="auto" w:fill="FFFFFF"/>
        <w:ind w:right="-1"/>
      </w:pPr>
      <w:r w:rsidRPr="00B87C5B">
        <w:t>E</w:t>
      </w:r>
      <w:r w:rsidR="006161FB" w:rsidRPr="00B87C5B">
        <w:t xml:space="preserve">l </w:t>
      </w:r>
      <w:r w:rsidR="0043778B">
        <w:t>Artículo Noveno Transitorio</w:t>
      </w:r>
      <w:r w:rsidR="00497B22" w:rsidRPr="00B87C5B">
        <w:t xml:space="preserve"> </w:t>
      </w:r>
      <w:r w:rsidR="003848A6">
        <w:t xml:space="preserve">forma parte del régimen </w:t>
      </w:r>
      <w:r w:rsidR="003848A6">
        <w:rPr>
          <w:i/>
        </w:rPr>
        <w:t xml:space="preserve">transitorio </w:t>
      </w:r>
      <w:r w:rsidR="003848A6">
        <w:t>previsto en el decreto que expidió a la LFTR que es aplicable “</w:t>
      </w:r>
      <w:r w:rsidR="003848A6">
        <w:rPr>
          <w:i/>
        </w:rPr>
        <w:t xml:space="preserve">en tanto exista un agente económico preponderante en los sectores de telecomunicaciones y radiodifusión”. </w:t>
      </w:r>
      <w:r w:rsidR="003848A6">
        <w:t xml:space="preserve">Esta disposición </w:t>
      </w:r>
      <w:r w:rsidR="006161FB" w:rsidRPr="00B87C5B">
        <w:t xml:space="preserve">prevé </w:t>
      </w:r>
      <w:r w:rsidR="00791DED" w:rsidRPr="00B87C5B">
        <w:t>2 (</w:t>
      </w:r>
      <w:r w:rsidR="006161FB" w:rsidRPr="00B87C5B">
        <w:t>dos</w:t>
      </w:r>
      <w:r w:rsidR="00791DED" w:rsidRPr="00B87C5B">
        <w:t>)</w:t>
      </w:r>
      <w:r w:rsidR="006161FB" w:rsidRPr="00B87C5B">
        <w:t xml:space="preserve"> </w:t>
      </w:r>
      <w:r w:rsidR="00444F18">
        <w:t>asuntos</w:t>
      </w:r>
      <w:r w:rsidR="00444F18" w:rsidRPr="00B87C5B">
        <w:t xml:space="preserve"> </w:t>
      </w:r>
      <w:r w:rsidR="006161FB" w:rsidRPr="00B87C5B">
        <w:t>distintos</w:t>
      </w:r>
      <w:r w:rsidR="00C93CF0" w:rsidRPr="00B87C5B">
        <w:t xml:space="preserve"> </w:t>
      </w:r>
      <w:r w:rsidR="003848A6">
        <w:t>sujetos a procedimientos distintos</w:t>
      </w:r>
      <w:r w:rsidR="006161FB" w:rsidRPr="00B87C5B">
        <w:t>:</w:t>
      </w:r>
    </w:p>
    <w:p w14:paraId="794F6DD6" w14:textId="77777777" w:rsidR="009E2A89" w:rsidRDefault="00444F18" w:rsidP="00424CCF">
      <w:pPr>
        <w:pStyle w:val="Prrafodelista"/>
        <w:numPr>
          <w:ilvl w:val="0"/>
          <w:numId w:val="51"/>
        </w:numPr>
        <w:shd w:val="clear" w:color="auto" w:fill="FFFFFF"/>
        <w:spacing w:after="120" w:line="276" w:lineRule="auto"/>
        <w:ind w:left="567" w:hanging="357"/>
        <w:contextualSpacing w:val="0"/>
      </w:pPr>
      <w:r>
        <w:t>En los p</w:t>
      </w:r>
      <w:r w:rsidR="009E2A89">
        <w:t xml:space="preserve">árrafos primero a cuarto, se refiere a </w:t>
      </w:r>
      <w:r w:rsidR="00641F0F" w:rsidRPr="009D3CF5">
        <w:rPr>
          <w:b/>
        </w:rPr>
        <w:t xml:space="preserve">un </w:t>
      </w:r>
      <w:r w:rsidR="009E2A89" w:rsidRPr="009E2A89">
        <w:rPr>
          <w:b/>
        </w:rPr>
        <w:t>a</w:t>
      </w:r>
      <w:r w:rsidR="00641F0F" w:rsidRPr="009E2A89">
        <w:rPr>
          <w:b/>
        </w:rPr>
        <w:t>viso</w:t>
      </w:r>
      <w:r w:rsidR="009E2A89" w:rsidRPr="009E2A89">
        <w:rPr>
          <w:b/>
        </w:rPr>
        <w:t xml:space="preserve"> de concentración</w:t>
      </w:r>
      <w:r w:rsidR="009E2A89">
        <w:t>, el cual no tiene previsto un trámite específico conforme a la LFCE y la LFTR, por lo que de conformidad con lo dispuesto en el artículo 6 de la misma LFTR, se tramita conforme a lo dispuesto en la LFPA</w:t>
      </w:r>
      <w:r w:rsidR="00AD2313">
        <w:t>.</w:t>
      </w:r>
    </w:p>
    <w:p w14:paraId="77359C08" w14:textId="489FFBA5" w:rsidR="009E2A89" w:rsidRDefault="009E2A89" w:rsidP="00424CCF">
      <w:pPr>
        <w:pStyle w:val="Prrafodelista"/>
        <w:shd w:val="clear" w:color="auto" w:fill="FFFFFF"/>
        <w:spacing w:after="120" w:line="276" w:lineRule="auto"/>
        <w:ind w:left="567"/>
        <w:contextualSpacing w:val="0"/>
      </w:pPr>
      <w:r>
        <w:t xml:space="preserve">Estos asuntos se sujetan a la evaluación del Instituto para </w:t>
      </w:r>
      <w:r w:rsidR="00242777">
        <w:t>determinar</w:t>
      </w:r>
      <w:r w:rsidRPr="009E2A89">
        <w:t xml:space="preserve"> </w:t>
      </w:r>
      <w:r>
        <w:t xml:space="preserve">si las </w:t>
      </w:r>
      <w:r w:rsidR="00242777">
        <w:t>concentraciones, las cesiones de concesión y los cambios de control que deriven de éstas</w:t>
      </w:r>
      <w:r>
        <w:t xml:space="preserve"> </w:t>
      </w:r>
      <w:r w:rsidR="00242777">
        <w:t xml:space="preserve">realizadas entre agentes económicos titulares de </w:t>
      </w:r>
      <w:r w:rsidR="00242777" w:rsidRPr="009D3CF5">
        <w:t>concesiones</w:t>
      </w:r>
      <w:r w:rsidR="00242777">
        <w:t xml:space="preserve"> cumplen con los </w:t>
      </w:r>
      <w:r w:rsidR="003D5EB4">
        <w:t xml:space="preserve">requisitos </w:t>
      </w:r>
      <w:r w:rsidR="00242777">
        <w:t xml:space="preserve">previstos en los incisos </w:t>
      </w:r>
      <w:r w:rsidR="00242777">
        <w:rPr>
          <w:b/>
        </w:rPr>
        <w:t xml:space="preserve">a. </w:t>
      </w:r>
      <w:r w:rsidR="00242777">
        <w:t xml:space="preserve">a </w:t>
      </w:r>
      <w:r w:rsidR="00242777">
        <w:rPr>
          <w:b/>
        </w:rPr>
        <w:t xml:space="preserve">d. </w:t>
      </w:r>
      <w:r w:rsidR="00242777">
        <w:t xml:space="preserve">del primer párrafo, en los términos dispuestos en los párrafos primero a cuarto de esa disposición; y, de ser el caso, se puede concluir que la operación materia del aviso, en efecto, </w:t>
      </w:r>
      <w:r w:rsidRPr="009E2A89">
        <w:t>no requiere de</w:t>
      </w:r>
      <w:r w:rsidR="00242777">
        <w:t xml:space="preserve"> la autorización del Instituto.</w:t>
      </w:r>
    </w:p>
    <w:p w14:paraId="3C85C7A7" w14:textId="77777777" w:rsidR="009B5CAE" w:rsidRDefault="009B5CAE" w:rsidP="009B5CAE">
      <w:pPr>
        <w:shd w:val="clear" w:color="auto" w:fill="FFFFFF"/>
      </w:pPr>
    </w:p>
    <w:p w14:paraId="5EAFD152" w14:textId="77777777" w:rsidR="00033161" w:rsidRDefault="009E2A89" w:rsidP="00424CCF">
      <w:pPr>
        <w:pStyle w:val="Prrafodelista"/>
        <w:numPr>
          <w:ilvl w:val="0"/>
          <w:numId w:val="51"/>
        </w:numPr>
        <w:shd w:val="clear" w:color="auto" w:fill="FFFFFF"/>
        <w:spacing w:after="120" w:line="276" w:lineRule="auto"/>
        <w:ind w:left="567"/>
        <w:contextualSpacing w:val="0"/>
      </w:pPr>
      <w:r>
        <w:lastRenderedPageBreak/>
        <w:t xml:space="preserve">El párrafo </w:t>
      </w:r>
      <w:r w:rsidR="00927109">
        <w:t xml:space="preserve">quinto </w:t>
      </w:r>
      <w:r>
        <w:t xml:space="preserve">prevé </w:t>
      </w:r>
      <w:r w:rsidR="00641F0F" w:rsidRPr="009E2A89">
        <w:rPr>
          <w:b/>
        </w:rPr>
        <w:t>una Investigación</w:t>
      </w:r>
      <w:r>
        <w:rPr>
          <w:b/>
        </w:rPr>
        <w:t xml:space="preserve"> </w:t>
      </w:r>
      <w:r>
        <w:t xml:space="preserve">de la </w:t>
      </w:r>
      <w:r w:rsidR="00242777">
        <w:t>concentración</w:t>
      </w:r>
      <w:r w:rsidR="00E25CC5">
        <w:t>,</w:t>
      </w:r>
      <w:r w:rsidR="00242777">
        <w:t xml:space="preserve"> </w:t>
      </w:r>
      <w:r w:rsidR="00E25CC5">
        <w:t xml:space="preserve">sobre la cual el Pleno del Instituto haya resuelto favorablemente el </w:t>
      </w:r>
      <w:r w:rsidR="00242777">
        <w:t>aviso de concentración, que se tramita</w:t>
      </w:r>
      <w:r w:rsidR="00641F0F">
        <w:t xml:space="preserve"> </w:t>
      </w:r>
      <w:r w:rsidR="00242777">
        <w:t xml:space="preserve">en términos de la LFCE. Este procedimiento se aboca a determinar </w:t>
      </w:r>
      <w:r w:rsidR="00242777" w:rsidRPr="00242777">
        <w:t>si existe “</w:t>
      </w:r>
      <w:r w:rsidR="00242777" w:rsidRPr="00927109">
        <w:rPr>
          <w:i/>
        </w:rPr>
        <w:t>poder sustancial en el mercado de redes de telecomunicaciones que presten servicios de voz, datos o video o en el de radio y televisión</w:t>
      </w:r>
      <w:r w:rsidR="00242777" w:rsidRPr="00242777">
        <w:t>”, según sea el caso.</w:t>
      </w:r>
    </w:p>
    <w:p w14:paraId="19FE1EB8" w14:textId="77777777" w:rsidR="00904721" w:rsidRDefault="00242777" w:rsidP="00424CCF">
      <w:pPr>
        <w:pStyle w:val="Prrafodelista"/>
        <w:shd w:val="clear" w:color="auto" w:fill="FFFFFF"/>
        <w:spacing w:after="120" w:line="276" w:lineRule="auto"/>
        <w:ind w:left="567"/>
        <w:contextualSpacing w:val="0"/>
      </w:pPr>
      <w:r w:rsidRPr="00242777">
        <w:t xml:space="preserve">En caso que la </w:t>
      </w:r>
      <w:r w:rsidR="00033161">
        <w:t>concentración</w:t>
      </w:r>
      <w:r>
        <w:t xml:space="preserve"> </w:t>
      </w:r>
      <w:r w:rsidRPr="00242777">
        <w:t>dé lugar a la existencia de poder sustancial, el Instituto podrá imponer las medidas necesarias para proteger y fomentar en el mercado correspondiente la libre competencia y concurrencia, de conformidad con lo dispuesto en la LFTR y la LFCE, sin perjuicio</w:t>
      </w:r>
      <w:r w:rsidR="00033161">
        <w:t xml:space="preserve"> de la concentración realizada.</w:t>
      </w:r>
      <w:r w:rsidR="00E25CC5">
        <w:t xml:space="preserve"> </w:t>
      </w:r>
    </w:p>
    <w:p w14:paraId="44ED29D9" w14:textId="77777777" w:rsidR="00904721" w:rsidRDefault="00904721" w:rsidP="00424CCF">
      <w:pPr>
        <w:pStyle w:val="Prrafodelista"/>
        <w:shd w:val="clear" w:color="auto" w:fill="FFFFFF"/>
        <w:spacing w:after="120" w:line="276" w:lineRule="auto"/>
        <w:ind w:left="567"/>
        <w:contextualSpacing w:val="0"/>
      </w:pPr>
      <w:r>
        <w:t xml:space="preserve">Tratándose de concentraciones en el sector de telecomunicaciones, el </w:t>
      </w:r>
      <w:r w:rsidR="00E25CC5">
        <w:t>párrafo sexto del Artículo Noveno Transitorio</w:t>
      </w:r>
      <w:r>
        <w:t xml:space="preserve"> dispone que las </w:t>
      </w:r>
      <w:r w:rsidR="00E25CC5">
        <w:t xml:space="preserve">medidas </w:t>
      </w:r>
      <w:r>
        <w:t xml:space="preserve">que en su caso se impongan, </w:t>
      </w:r>
      <w:r w:rsidR="00E25CC5">
        <w:t xml:space="preserve">se extinguirán </w:t>
      </w:r>
      <w:r>
        <w:t>una vez que se autorice a los agentes económicos preponderantes la prestación de los servicios adicionales.</w:t>
      </w:r>
    </w:p>
    <w:p w14:paraId="596B3BBA" w14:textId="77777777" w:rsidR="003D5EB4" w:rsidRDefault="00641F0F" w:rsidP="00424CCF">
      <w:pPr>
        <w:shd w:val="clear" w:color="auto" w:fill="FFFFFF"/>
      </w:pPr>
      <w:r>
        <w:t>E</w:t>
      </w:r>
      <w:r w:rsidR="00904721">
        <w:t xml:space="preserve">l asunto que se tramita en este </w:t>
      </w:r>
      <w:r w:rsidRPr="00CB7013">
        <w:t xml:space="preserve">expediente </w:t>
      </w:r>
      <w:r w:rsidR="00904721">
        <w:t>corresponde</w:t>
      </w:r>
      <w:r w:rsidRPr="00CB7013">
        <w:t xml:space="preserve"> </w:t>
      </w:r>
      <w:r w:rsidR="00904721" w:rsidRPr="00927109">
        <w:t xml:space="preserve">a un </w:t>
      </w:r>
      <w:r w:rsidR="00904721">
        <w:rPr>
          <w:b/>
        </w:rPr>
        <w:t>a</w:t>
      </w:r>
      <w:r w:rsidRPr="00641F0F">
        <w:rPr>
          <w:b/>
        </w:rPr>
        <w:t>viso</w:t>
      </w:r>
      <w:r w:rsidR="00904721">
        <w:rPr>
          <w:b/>
        </w:rPr>
        <w:t xml:space="preserve"> de concentración</w:t>
      </w:r>
      <w:r w:rsidRPr="00CB7013">
        <w:t xml:space="preserve"> previsto en los párrafos primero a cuarto del </w:t>
      </w:r>
      <w:r w:rsidR="0043778B">
        <w:t>Artículo Noveno Transitorio</w:t>
      </w:r>
      <w:r w:rsidRPr="00CB7013">
        <w:t xml:space="preserve">, </w:t>
      </w:r>
      <w:r w:rsidR="003D5EB4">
        <w:t>conforme al pro</w:t>
      </w:r>
      <w:r w:rsidR="00F208B5">
        <w:t>cedimiento previsto en la LFPA.</w:t>
      </w:r>
    </w:p>
    <w:p w14:paraId="01DF3CDE" w14:textId="77777777" w:rsidR="00641F0F" w:rsidRPr="004B1E7C" w:rsidRDefault="0010520C" w:rsidP="004B1E7C">
      <w:pPr>
        <w:rPr>
          <w:b/>
        </w:rPr>
      </w:pPr>
      <w:bookmarkStart w:id="5" w:name="_Toc510429519"/>
      <w:bookmarkStart w:id="6" w:name="_Toc511061395"/>
      <w:bookmarkEnd w:id="5"/>
      <w:r w:rsidRPr="004B1E7C">
        <w:rPr>
          <w:b/>
        </w:rPr>
        <w:t>2.2</w:t>
      </w:r>
      <w:r w:rsidR="00904721" w:rsidRPr="004B1E7C">
        <w:rPr>
          <w:b/>
        </w:rPr>
        <w:t xml:space="preserve">. </w:t>
      </w:r>
      <w:bookmarkStart w:id="7" w:name="_Toc510429520"/>
      <w:bookmarkEnd w:id="7"/>
      <w:r w:rsidR="00904721" w:rsidRPr="004B1E7C">
        <w:rPr>
          <w:b/>
        </w:rPr>
        <w:t>Procedimiento aplicable al Aviso de Concentración</w:t>
      </w:r>
      <w:bookmarkEnd w:id="6"/>
    </w:p>
    <w:p w14:paraId="6C2ED282" w14:textId="77777777" w:rsidR="003848A6" w:rsidRDefault="003848A6" w:rsidP="003848A6">
      <w:pPr>
        <w:shd w:val="clear" w:color="auto" w:fill="FFFFFF"/>
      </w:pPr>
      <w:r>
        <w:t xml:space="preserve">En este procedimiento corresponde al Pleno del Instituto </w:t>
      </w:r>
      <w:r w:rsidRPr="00CB7013">
        <w:t>determinar si</w:t>
      </w:r>
      <w:r>
        <w:t xml:space="preserve"> —</w:t>
      </w:r>
      <w:r w:rsidRPr="00CB7013">
        <w:t xml:space="preserve">con base en la información y los elementos de convicción </w:t>
      </w:r>
      <w:r>
        <w:t xml:space="preserve">que obran en el expediente que fueron </w:t>
      </w:r>
      <w:r w:rsidRPr="00CB7013">
        <w:t>aportados por las Partes</w:t>
      </w:r>
      <w:r>
        <w:t xml:space="preserve">— </w:t>
      </w:r>
      <w:r w:rsidRPr="00CB7013">
        <w:t>se</w:t>
      </w:r>
      <w:r>
        <w:t xml:space="preserve"> verifica </w:t>
      </w:r>
      <w:r w:rsidRPr="00CB7013">
        <w:t xml:space="preserve">que la Operación cumple con los requisitos establecidos en el párrafo primero del </w:t>
      </w:r>
      <w:r>
        <w:t>Artículo Noveno Transitorio</w:t>
      </w:r>
      <w:r w:rsidRPr="00CB7013">
        <w:t xml:space="preserve">, </w:t>
      </w:r>
      <w:r>
        <w:t xml:space="preserve">en términos de lo establecido en </w:t>
      </w:r>
      <w:r w:rsidRPr="00CB7013">
        <w:t xml:space="preserve">los párrafos </w:t>
      </w:r>
      <w:r>
        <w:t>primero</w:t>
      </w:r>
      <w:r w:rsidRPr="00CB7013">
        <w:t xml:space="preserve"> a cuarto de esa disposición, pues sólo tras verificar que las Partes han acreditado tales requisitos es que se puede concluir que la realización de la Operación no requiere de la autorización del Instituto.</w:t>
      </w:r>
    </w:p>
    <w:p w14:paraId="5B4EB878" w14:textId="77777777" w:rsidR="0010520C" w:rsidRPr="00B87C5B" w:rsidRDefault="0010520C" w:rsidP="0010520C">
      <w:pPr>
        <w:ind w:right="-1"/>
      </w:pPr>
      <w:r w:rsidRPr="00B87C5B">
        <w:t xml:space="preserve">Los párrafos primero a cuarto del </w:t>
      </w:r>
      <w:r>
        <w:t>Artículo Noveno Transitorio</w:t>
      </w:r>
      <w:r w:rsidRPr="00B87C5B">
        <w:t xml:space="preserve"> establecen textualmente lo siguiente:</w:t>
      </w:r>
    </w:p>
    <w:p w14:paraId="7607AC15" w14:textId="77777777" w:rsidR="0010520C" w:rsidRPr="00B87C5B" w:rsidRDefault="0010520C" w:rsidP="0010520C">
      <w:pPr>
        <w:ind w:left="567" w:right="-1"/>
        <w:rPr>
          <w:i/>
          <w:sz w:val="20"/>
        </w:rPr>
      </w:pPr>
      <w:r w:rsidRPr="00B87C5B">
        <w:rPr>
          <w:i/>
          <w:sz w:val="20"/>
        </w:rPr>
        <w:t>“</w:t>
      </w:r>
      <w:r w:rsidRPr="00B87C5B">
        <w:rPr>
          <w:b/>
          <w:i/>
          <w:sz w:val="20"/>
        </w:rPr>
        <w:t>NOVENO.</w:t>
      </w:r>
      <w:r w:rsidRPr="00B87C5B">
        <w:rPr>
          <w:i/>
          <w:sz w:val="20"/>
        </w:rPr>
        <w:t xml:space="preserve"> </w:t>
      </w:r>
      <w:r w:rsidRPr="00B87C5B">
        <w:rPr>
          <w:i/>
          <w:sz w:val="20"/>
          <w:u w:val="single"/>
        </w:rPr>
        <w:t>En tanto exista un agente económico preponderante</w:t>
      </w:r>
      <w:r w:rsidRPr="00B87C5B">
        <w:rPr>
          <w:i/>
          <w:sz w:val="20"/>
        </w:rPr>
        <w:t xml:space="preserve"> en los sectores de telecomunicaciones y radiodifusión, con el fin de promover la competencia y desarrollar competidores viables en el largo plazo, </w:t>
      </w:r>
      <w:r w:rsidRPr="00B87C5B">
        <w:rPr>
          <w:i/>
          <w:sz w:val="20"/>
          <w:u w:val="single"/>
        </w:rPr>
        <w:t>no requerirán de autorización</w:t>
      </w:r>
      <w:r w:rsidRPr="00B87C5B">
        <w:rPr>
          <w:i/>
          <w:sz w:val="20"/>
        </w:rPr>
        <w:t xml:space="preserve"> del Instituto Federal de Telecomunicaciones </w:t>
      </w:r>
      <w:r w:rsidRPr="00B87C5B">
        <w:rPr>
          <w:i/>
          <w:sz w:val="20"/>
          <w:u w:val="single"/>
        </w:rPr>
        <w:t>las concentraciones</w:t>
      </w:r>
      <w:r w:rsidRPr="00B87C5B">
        <w:rPr>
          <w:i/>
          <w:sz w:val="20"/>
        </w:rPr>
        <w:t xml:space="preserve"> que se realicen entre agentes económicos titulares de concesiones, ni las cesiones de concesión y los cambios de control que deriven de éstas, </w:t>
      </w:r>
      <w:r w:rsidRPr="00B87C5B">
        <w:rPr>
          <w:i/>
          <w:sz w:val="20"/>
          <w:u w:val="single"/>
        </w:rPr>
        <w:t>que reúnan los siguientes requisitos</w:t>
      </w:r>
      <w:r w:rsidRPr="00B87C5B">
        <w:rPr>
          <w:i/>
          <w:sz w:val="20"/>
        </w:rPr>
        <w:t>:</w:t>
      </w:r>
    </w:p>
    <w:p w14:paraId="1F618F54" w14:textId="77777777" w:rsidR="0010520C" w:rsidRPr="00B87C5B" w:rsidRDefault="0010520C" w:rsidP="0010520C">
      <w:pPr>
        <w:pStyle w:val="Prrafodelista"/>
        <w:numPr>
          <w:ilvl w:val="0"/>
          <w:numId w:val="2"/>
        </w:numPr>
        <w:spacing w:after="120" w:line="276" w:lineRule="auto"/>
        <w:ind w:left="1440" w:right="-1"/>
        <w:contextualSpacing w:val="0"/>
        <w:rPr>
          <w:i/>
          <w:sz w:val="20"/>
        </w:rPr>
      </w:pPr>
      <w:r w:rsidRPr="00B87C5B">
        <w:rPr>
          <w:i/>
          <w:sz w:val="20"/>
        </w:rPr>
        <w:t xml:space="preserve">Generen una reducción sectorial del Índice de Dominancia “ID”, siempre que el índice </w:t>
      </w:r>
      <w:proofErr w:type="spellStart"/>
      <w:r w:rsidRPr="00B87C5B">
        <w:rPr>
          <w:i/>
          <w:sz w:val="20"/>
        </w:rPr>
        <w:t>Hirschman-Herfindahl</w:t>
      </w:r>
      <w:proofErr w:type="spellEnd"/>
      <w:r w:rsidRPr="00B87C5B">
        <w:rPr>
          <w:i/>
          <w:sz w:val="20"/>
        </w:rPr>
        <w:t xml:space="preserve"> “IHH” no se incremente en más de doscientos puntos; </w:t>
      </w:r>
    </w:p>
    <w:p w14:paraId="46FBC742" w14:textId="77777777" w:rsidR="009B5CAE" w:rsidRDefault="009B5CAE" w:rsidP="009B5CAE">
      <w:pPr>
        <w:pStyle w:val="Prrafodelista"/>
        <w:spacing w:after="120" w:line="276" w:lineRule="auto"/>
        <w:ind w:left="1440" w:right="-1"/>
        <w:contextualSpacing w:val="0"/>
        <w:rPr>
          <w:i/>
          <w:sz w:val="20"/>
        </w:rPr>
      </w:pPr>
    </w:p>
    <w:p w14:paraId="7CC439FE" w14:textId="77AD1B43" w:rsidR="0010520C" w:rsidRPr="00B87C5B" w:rsidRDefault="0010520C" w:rsidP="0010520C">
      <w:pPr>
        <w:pStyle w:val="Prrafodelista"/>
        <w:numPr>
          <w:ilvl w:val="0"/>
          <w:numId w:val="2"/>
        </w:numPr>
        <w:spacing w:after="120" w:line="276" w:lineRule="auto"/>
        <w:ind w:left="1440" w:right="-1"/>
        <w:contextualSpacing w:val="0"/>
        <w:rPr>
          <w:i/>
          <w:sz w:val="20"/>
        </w:rPr>
      </w:pPr>
      <w:r w:rsidRPr="00B87C5B">
        <w:rPr>
          <w:i/>
          <w:sz w:val="20"/>
        </w:rPr>
        <w:lastRenderedPageBreak/>
        <w:t xml:space="preserve">Tengan como resultado que el agente económico cuente con un porcentaje de participación sectorial menor al veinte por ciento; </w:t>
      </w:r>
    </w:p>
    <w:p w14:paraId="0EF1B31F" w14:textId="77777777" w:rsidR="0010520C" w:rsidRPr="00B87C5B" w:rsidRDefault="0010520C" w:rsidP="0010520C">
      <w:pPr>
        <w:pStyle w:val="Prrafodelista"/>
        <w:numPr>
          <w:ilvl w:val="0"/>
          <w:numId w:val="2"/>
        </w:numPr>
        <w:spacing w:after="120" w:line="276" w:lineRule="auto"/>
        <w:ind w:left="1440" w:right="-1"/>
        <w:contextualSpacing w:val="0"/>
        <w:rPr>
          <w:i/>
          <w:sz w:val="20"/>
        </w:rPr>
      </w:pPr>
      <w:r w:rsidRPr="00B87C5B">
        <w:rPr>
          <w:i/>
          <w:sz w:val="20"/>
        </w:rPr>
        <w:t xml:space="preserve">Que en dicha concentración no participe el agente económico preponderante en el sector en el que se lleve a cabo la concentración, y </w:t>
      </w:r>
    </w:p>
    <w:p w14:paraId="69716AD3" w14:textId="77777777" w:rsidR="0010520C" w:rsidRPr="00B87C5B" w:rsidRDefault="0010520C" w:rsidP="0010520C">
      <w:pPr>
        <w:pStyle w:val="Prrafodelista"/>
        <w:numPr>
          <w:ilvl w:val="0"/>
          <w:numId w:val="2"/>
        </w:numPr>
        <w:spacing w:after="120" w:line="276" w:lineRule="auto"/>
        <w:ind w:left="1440" w:right="-1"/>
        <w:contextualSpacing w:val="0"/>
        <w:rPr>
          <w:sz w:val="20"/>
        </w:rPr>
      </w:pPr>
      <w:r w:rsidRPr="00B87C5B">
        <w:rPr>
          <w:i/>
          <w:sz w:val="20"/>
        </w:rPr>
        <w:t>No tengan como efecto disminuir, dañar o impedir la libre competencia y concurrencia, en el sector que corresponda.</w:t>
      </w:r>
    </w:p>
    <w:p w14:paraId="3F1C1431" w14:textId="77777777" w:rsidR="0010520C" w:rsidRPr="00B87C5B" w:rsidRDefault="0010520C" w:rsidP="0010520C">
      <w:pPr>
        <w:ind w:left="567" w:right="-1"/>
        <w:rPr>
          <w:i/>
          <w:sz w:val="20"/>
        </w:rPr>
      </w:pPr>
      <w:r w:rsidRPr="00B87C5B">
        <w:rPr>
          <w:i/>
          <w:sz w:val="20"/>
        </w:rPr>
        <w:t xml:space="preserve">Por Índice </w:t>
      </w:r>
      <w:proofErr w:type="spellStart"/>
      <w:r w:rsidRPr="00B87C5B">
        <w:rPr>
          <w:i/>
          <w:sz w:val="20"/>
        </w:rPr>
        <w:t>Hirschman-Herfindahl</w:t>
      </w:r>
      <w:proofErr w:type="spellEnd"/>
      <w:r w:rsidRPr="00B87C5B">
        <w:rPr>
          <w:i/>
          <w:sz w:val="20"/>
        </w:rPr>
        <w:t xml:space="preserve"> "IHH" se entiende la suma de los cuadrados de las </w:t>
      </w:r>
      <w:r w:rsidRPr="00B87C5B">
        <w:rPr>
          <w:i/>
          <w:sz w:val="20"/>
          <w:u w:val="single"/>
        </w:rPr>
        <w:t>participaciones</w:t>
      </w:r>
      <w:r w:rsidRPr="00B87C5B">
        <w:rPr>
          <w:i/>
          <w:sz w:val="20"/>
        </w:rPr>
        <w:t xml:space="preserve"> de cada agente económico (IHH=∑i qi2), en el sector que corresponda, </w:t>
      </w:r>
      <w:r w:rsidRPr="00B87C5B">
        <w:rPr>
          <w:i/>
          <w:sz w:val="20"/>
          <w:u w:val="single"/>
        </w:rPr>
        <w:t>medida para el caso del sector de las telecomunicaciones con base en el indicador de número de suscriptores y usuarios de servicios de telecomunicaciones</w:t>
      </w:r>
      <w:r w:rsidRPr="00B87C5B">
        <w:rPr>
          <w:i/>
          <w:sz w:val="20"/>
        </w:rPr>
        <w:t>, y para el sector de la radiodifusión con base en audiencia. Este índice puede tomar valores entre cero y diez mil.</w:t>
      </w:r>
    </w:p>
    <w:p w14:paraId="333F7916" w14:textId="77777777" w:rsidR="0010520C" w:rsidRPr="00B87C5B" w:rsidRDefault="0010520C" w:rsidP="0010520C">
      <w:pPr>
        <w:ind w:left="567" w:right="-1"/>
        <w:rPr>
          <w:i/>
          <w:sz w:val="20"/>
        </w:rPr>
      </w:pPr>
      <w:r w:rsidRPr="00B87C5B">
        <w:rPr>
          <w:i/>
          <w:sz w:val="20"/>
        </w:rPr>
        <w:t xml:space="preserve">Para calcular el Índice de Dominancia "ID", se determinará primero la contribución porcentual hi de cada agente económico al índice IHH definido en el párrafo anterior (hi = 100xqi2/IHH). Después se calculará el valor de ID aplicando la fórmula del </w:t>
      </w:r>
      <w:proofErr w:type="spellStart"/>
      <w:r w:rsidRPr="00B87C5B">
        <w:rPr>
          <w:i/>
          <w:sz w:val="20"/>
        </w:rPr>
        <w:t>Hirschman-Herfindahl</w:t>
      </w:r>
      <w:proofErr w:type="spellEnd"/>
      <w:r w:rsidRPr="00B87C5B">
        <w:rPr>
          <w:i/>
          <w:sz w:val="20"/>
        </w:rPr>
        <w:t xml:space="preserve">, pero utilizando ahora las contribuciones hi en vez de las participaciones </w:t>
      </w:r>
      <w:proofErr w:type="spellStart"/>
      <w:r w:rsidRPr="00B87C5B">
        <w:rPr>
          <w:i/>
          <w:sz w:val="20"/>
        </w:rPr>
        <w:t>qi</w:t>
      </w:r>
      <w:proofErr w:type="spellEnd"/>
      <w:r w:rsidRPr="00B87C5B">
        <w:rPr>
          <w:i/>
          <w:sz w:val="20"/>
        </w:rPr>
        <w:t xml:space="preserve"> (es decir, ID=∑i hi2). Este índice también varía entre cero y diez mil.</w:t>
      </w:r>
    </w:p>
    <w:p w14:paraId="2515204E" w14:textId="77777777" w:rsidR="0010520C" w:rsidRPr="00B87C5B" w:rsidRDefault="0010520C" w:rsidP="0010520C">
      <w:pPr>
        <w:ind w:left="567" w:right="-1"/>
        <w:rPr>
          <w:sz w:val="20"/>
        </w:rPr>
      </w:pPr>
      <w:r w:rsidRPr="00B87C5B">
        <w:rPr>
          <w:i/>
          <w:sz w:val="20"/>
        </w:rPr>
        <w:t xml:space="preserve">Los agentes económicos </w:t>
      </w:r>
      <w:r w:rsidRPr="00B87C5B">
        <w:rPr>
          <w:i/>
          <w:sz w:val="20"/>
          <w:u w:val="single"/>
        </w:rPr>
        <w:t>deberán presentar al Instituto</w:t>
      </w:r>
      <w:r w:rsidRPr="00B87C5B">
        <w:rPr>
          <w:i/>
          <w:sz w:val="20"/>
        </w:rPr>
        <w:t xml:space="preserve"> Federal de Telecomunicaciones, </w:t>
      </w:r>
      <w:r w:rsidRPr="00B87C5B">
        <w:rPr>
          <w:i/>
          <w:sz w:val="20"/>
          <w:u w:val="single"/>
        </w:rPr>
        <w:t>dentro de los 10 días siguientes a la concentración, un aviso por escrito</w:t>
      </w:r>
      <w:r w:rsidRPr="00B87C5B">
        <w:rPr>
          <w:b/>
          <w:i/>
          <w:sz w:val="20"/>
          <w:u w:val="single"/>
        </w:rPr>
        <w:t xml:space="preserve"> </w:t>
      </w:r>
      <w:r w:rsidRPr="00B87C5B">
        <w:rPr>
          <w:i/>
          <w:sz w:val="20"/>
          <w:u w:val="single"/>
        </w:rPr>
        <w:t>que contendrá</w:t>
      </w:r>
      <w:r w:rsidRPr="00B87C5B">
        <w:rPr>
          <w:i/>
          <w:sz w:val="20"/>
        </w:rPr>
        <w:t xml:space="preserve"> la información a que se refiere el artículo </w:t>
      </w:r>
      <w:r w:rsidRPr="00B87C5B">
        <w:rPr>
          <w:i/>
          <w:sz w:val="20"/>
          <w:u w:val="single"/>
        </w:rPr>
        <w:t>89 de la Ley Federal de Competencia Económica</w:t>
      </w:r>
      <w:r w:rsidRPr="00B87C5B">
        <w:rPr>
          <w:i/>
          <w:sz w:val="20"/>
        </w:rPr>
        <w:t xml:space="preserve"> referida al sector </w:t>
      </w:r>
      <w:proofErr w:type="gramStart"/>
      <w:r w:rsidRPr="00B87C5B">
        <w:rPr>
          <w:i/>
          <w:sz w:val="20"/>
        </w:rPr>
        <w:t>correspondiente</w:t>
      </w:r>
      <w:proofErr w:type="gramEnd"/>
      <w:r w:rsidRPr="00B87C5B">
        <w:rPr>
          <w:i/>
          <w:sz w:val="20"/>
        </w:rPr>
        <w:t xml:space="preserve"> </w:t>
      </w:r>
      <w:r w:rsidRPr="00B87C5B">
        <w:rPr>
          <w:i/>
          <w:sz w:val="20"/>
          <w:u w:val="single"/>
        </w:rPr>
        <w:t>así como los elementos de convicción que demuestren que la concentración cumple con los incisos anteriores</w:t>
      </w:r>
      <w:r w:rsidRPr="00B87C5B">
        <w:rPr>
          <w:i/>
          <w:sz w:val="20"/>
        </w:rPr>
        <w:t>.”</w:t>
      </w:r>
      <w:r>
        <w:rPr>
          <w:i/>
          <w:sz w:val="20"/>
        </w:rPr>
        <w:t xml:space="preserve"> </w:t>
      </w:r>
      <w:r w:rsidRPr="00B87C5B">
        <w:rPr>
          <w:sz w:val="20"/>
        </w:rPr>
        <w:t>(Énfasis añadido).</w:t>
      </w:r>
    </w:p>
    <w:p w14:paraId="3685059C" w14:textId="77777777" w:rsidR="003848A6" w:rsidRDefault="003848A6" w:rsidP="003848A6">
      <w:pPr>
        <w:shd w:val="clear" w:color="auto" w:fill="FFFFFF"/>
      </w:pPr>
      <w:r>
        <w:t xml:space="preserve">En suma, los </w:t>
      </w:r>
      <w:r w:rsidR="001E592A">
        <w:t>requisitos que deben verificarse en este procedimiento son:</w:t>
      </w:r>
    </w:p>
    <w:p w14:paraId="28351122" w14:textId="77777777" w:rsidR="001E592A" w:rsidRDefault="001E592A" w:rsidP="00927109">
      <w:pPr>
        <w:pStyle w:val="Prrafodelista"/>
        <w:numPr>
          <w:ilvl w:val="0"/>
          <w:numId w:val="26"/>
        </w:numPr>
        <w:spacing w:after="120" w:line="276" w:lineRule="auto"/>
        <w:ind w:left="567"/>
        <w:contextualSpacing w:val="0"/>
      </w:pPr>
      <w:r>
        <w:t xml:space="preserve">Que </w:t>
      </w:r>
      <w:r w:rsidR="006A0222">
        <w:t>se trate de una concentración</w:t>
      </w:r>
      <w:r w:rsidR="0010520C">
        <w:t>,</w:t>
      </w:r>
      <w:r w:rsidR="006A0222">
        <w:t xml:space="preserve"> </w:t>
      </w:r>
      <w:r w:rsidR="0010520C">
        <w:t xml:space="preserve">cesión de concesión(es) o cambio de control que deriven de esas operaciones, </w:t>
      </w:r>
      <w:r w:rsidR="006A0222">
        <w:t>entre agentes económicos titulares de concesiones;</w:t>
      </w:r>
    </w:p>
    <w:p w14:paraId="16DF0891" w14:textId="77777777" w:rsidR="0010520C" w:rsidRPr="003626E6" w:rsidRDefault="0010520C" w:rsidP="0010520C">
      <w:pPr>
        <w:pStyle w:val="Prrafodelista"/>
        <w:numPr>
          <w:ilvl w:val="0"/>
          <w:numId w:val="26"/>
        </w:numPr>
        <w:spacing w:after="120" w:line="276" w:lineRule="auto"/>
        <w:ind w:left="567"/>
        <w:contextualSpacing w:val="0"/>
      </w:pPr>
      <w:r>
        <w:t xml:space="preserve">Que los agentes económicos </w:t>
      </w:r>
      <w:r w:rsidRPr="003626E6">
        <w:t xml:space="preserve">presenten </w:t>
      </w:r>
      <w:r>
        <w:t xml:space="preserve">ante el Instituto </w:t>
      </w:r>
      <w:r w:rsidRPr="003626E6">
        <w:t xml:space="preserve">un aviso por escrito dentro de los 10 (diez) días siguientes a la realización de la concentración, </w:t>
      </w:r>
      <w:r>
        <w:t xml:space="preserve">cesión de derechos o cambio de control que derive de esas operaciones, </w:t>
      </w:r>
      <w:r w:rsidRPr="003626E6">
        <w:t>y</w:t>
      </w:r>
    </w:p>
    <w:p w14:paraId="05585388" w14:textId="77777777" w:rsidR="0010520C" w:rsidRPr="003626E6" w:rsidRDefault="0010520C" w:rsidP="0010520C">
      <w:pPr>
        <w:pStyle w:val="Prrafodelista"/>
        <w:numPr>
          <w:ilvl w:val="0"/>
          <w:numId w:val="26"/>
        </w:numPr>
        <w:spacing w:after="120" w:line="276" w:lineRule="auto"/>
        <w:ind w:left="567"/>
        <w:contextualSpacing w:val="0"/>
      </w:pPr>
      <w:r>
        <w:t xml:space="preserve">Que el </w:t>
      </w:r>
      <w:r w:rsidRPr="003626E6">
        <w:t xml:space="preserve">aviso se acompañe de la información a que se refiere el artículo 89 de la LFCE y los elementos de convicción que demuestren que la concentración cumple con los 4 (cuatro) requisitos señalados en los incisos </w:t>
      </w:r>
      <w:r w:rsidRPr="003626E6">
        <w:rPr>
          <w:b/>
        </w:rPr>
        <w:t>a</w:t>
      </w:r>
      <w:r w:rsidRPr="003626E6">
        <w:t xml:space="preserve">. a </w:t>
      </w:r>
      <w:r w:rsidRPr="003626E6">
        <w:rPr>
          <w:b/>
        </w:rPr>
        <w:t>d</w:t>
      </w:r>
      <w:r w:rsidRPr="003626E6">
        <w:t>. del párrafo primero del artículo de mérito.</w:t>
      </w:r>
    </w:p>
    <w:p w14:paraId="28894C5E" w14:textId="5DB5DE39" w:rsidR="00A6762B" w:rsidRPr="00CB7013" w:rsidRDefault="0010520C" w:rsidP="0023224A">
      <w:pPr>
        <w:ind w:right="-1"/>
      </w:pPr>
      <w:r>
        <w:t>E</w:t>
      </w:r>
      <w:r w:rsidR="00A6762B" w:rsidRPr="00CB7013">
        <w:t xml:space="preserve">l </w:t>
      </w:r>
      <w:r w:rsidR="0043778B">
        <w:t>Artículo Noveno Transitorio</w:t>
      </w:r>
      <w:r w:rsidR="00CB7013" w:rsidRPr="00CB7013">
        <w:t xml:space="preserve"> </w:t>
      </w:r>
      <w:r w:rsidR="00A6762B" w:rsidRPr="00CB7013">
        <w:t xml:space="preserve">establece que las concentraciones que cumplan con los requisitos </w:t>
      </w:r>
      <w:r w:rsidR="00927109">
        <w:t>señalados</w:t>
      </w:r>
      <w:r>
        <w:t>: (i)</w:t>
      </w:r>
      <w:r w:rsidR="00A6762B" w:rsidRPr="00CB7013">
        <w:t xml:space="preserve"> </w:t>
      </w:r>
      <w:r w:rsidR="00A6762B" w:rsidRPr="00CB7013">
        <w:rPr>
          <w:i/>
        </w:rPr>
        <w:t>“</w:t>
      </w:r>
      <w:r w:rsidR="00A6762B" w:rsidRPr="00CB7013">
        <w:rPr>
          <w:b/>
          <w:i/>
        </w:rPr>
        <w:t>no requerirán de autorización</w:t>
      </w:r>
      <w:r w:rsidR="00A6762B" w:rsidRPr="00CB7013">
        <w:rPr>
          <w:i/>
        </w:rPr>
        <w:t>”</w:t>
      </w:r>
      <w:r w:rsidR="00A6762B" w:rsidRPr="00CB7013">
        <w:t xml:space="preserve"> del Instituto para que puedan realizarse</w:t>
      </w:r>
      <w:r>
        <w:t xml:space="preserve">; y (ii) los </w:t>
      </w:r>
      <w:r w:rsidR="00A6762B" w:rsidRPr="00CB7013">
        <w:t xml:space="preserve">agentes económicos pueden realizarla y después deben presentar un </w:t>
      </w:r>
      <w:r w:rsidR="00927109">
        <w:t>a</w:t>
      </w:r>
      <w:r w:rsidR="00A6762B" w:rsidRPr="00CB7013">
        <w:t xml:space="preserve">viso. Esto es, el artículo mencionado establece un caso de excepción al régimen </w:t>
      </w:r>
      <w:r w:rsidR="00A6762B" w:rsidRPr="00CB7013">
        <w:lastRenderedPageBreak/>
        <w:t xml:space="preserve">general de notificación de concentraciones </w:t>
      </w:r>
      <w:r w:rsidR="00A6762B" w:rsidRPr="00CB7013">
        <w:rPr>
          <w:i/>
        </w:rPr>
        <w:t xml:space="preserve">ex ante </w:t>
      </w:r>
      <w:r w:rsidR="00A6762B" w:rsidRPr="00CB7013">
        <w:t>(i.e. antes de su realización) establecido en la LFCE.</w:t>
      </w:r>
    </w:p>
    <w:p w14:paraId="36438253" w14:textId="77777777" w:rsidR="00A6762B" w:rsidRPr="00CB7013" w:rsidRDefault="00A6762B" w:rsidP="0023224A">
      <w:pPr>
        <w:ind w:right="-1"/>
      </w:pPr>
      <w:r w:rsidRPr="00CB7013">
        <w:t xml:space="preserve">Por otra parte, se advierte que el Aviso al que se refieren los párrafos primero a cuarto del </w:t>
      </w:r>
      <w:r w:rsidR="0043778B">
        <w:t>Artículo Noveno Transitorio</w:t>
      </w:r>
      <w:r w:rsidRPr="00CB7013">
        <w:t>, no tiene previsto un trámite específico conforme a la LFTR</w:t>
      </w:r>
      <w:r w:rsidR="00CB7013" w:rsidRPr="00CB7013">
        <w:t xml:space="preserve"> o la LFCE</w:t>
      </w:r>
      <w:r w:rsidRPr="00CB7013">
        <w:t xml:space="preserve">, por lo que se sitúa en el supuesto establecido en el artículo 6, párrafo </w:t>
      </w:r>
      <w:r w:rsidR="0053621E">
        <w:t>último</w:t>
      </w:r>
      <w:r w:rsidRPr="00CB7013">
        <w:t xml:space="preserve">, de la LFTR y, en consecuencia, </w:t>
      </w:r>
      <w:r w:rsidRPr="00641F0F">
        <w:rPr>
          <w:b/>
        </w:rPr>
        <w:t>debe tramitarse conforme a lo dispuesto en la LFPA.</w:t>
      </w:r>
    </w:p>
    <w:p w14:paraId="56EB6B44" w14:textId="62D6B207" w:rsidR="006161FB" w:rsidRPr="00CB7013" w:rsidRDefault="006161FB" w:rsidP="0023224A">
      <w:pPr>
        <w:shd w:val="clear" w:color="auto" w:fill="FFFFFF"/>
        <w:ind w:right="-1"/>
      </w:pPr>
      <w:r w:rsidRPr="00CB7013">
        <w:t xml:space="preserve">Esto es, el Aviso al que se refieren los párrafos primero a cuarto del </w:t>
      </w:r>
      <w:r w:rsidR="0043778B">
        <w:t>Artículo Noveno Transitorio</w:t>
      </w:r>
      <w:r w:rsidR="00CB7013" w:rsidRPr="00CB7013">
        <w:t xml:space="preserve"> </w:t>
      </w:r>
      <w:r w:rsidRPr="00CB7013">
        <w:t>otorga el derecho a los particulares de acogerse a un régimen de excepción</w:t>
      </w:r>
      <w:r w:rsidR="00AB6F83" w:rsidRPr="00CB7013">
        <w:t xml:space="preserve"> de notificación de concentraciones al</w:t>
      </w:r>
      <w:r w:rsidRPr="00CB7013">
        <w:t xml:space="preserve"> no requerir la autorización del Instituto</w:t>
      </w:r>
      <w:r w:rsidR="00CB7013" w:rsidRPr="00CB7013">
        <w:t xml:space="preserve"> para poder realizarlas</w:t>
      </w:r>
      <w:r w:rsidR="00AB6F83" w:rsidRPr="00CB7013">
        <w:t>; no obstante</w:t>
      </w:r>
      <w:r w:rsidRPr="00CB7013">
        <w:t xml:space="preserve">, tal derecho está sujeto a que el Instituto verifique si los agentes económicos </w:t>
      </w:r>
      <w:r w:rsidR="00AB6F83" w:rsidRPr="00CB7013">
        <w:t xml:space="preserve">que </w:t>
      </w:r>
      <w:r w:rsidRPr="00CB7013">
        <w:t>part</w:t>
      </w:r>
      <w:r w:rsidR="00AB6F83" w:rsidRPr="00CB7013">
        <w:t>icipan</w:t>
      </w:r>
      <w:r w:rsidRPr="00CB7013">
        <w:t xml:space="preserve"> en la concentración acreditan o no el cumplimiento de los requisitos específicos establecidos en </w:t>
      </w:r>
      <w:r w:rsidR="00405461" w:rsidRPr="00CB7013">
        <w:t>esa</w:t>
      </w:r>
      <w:r w:rsidRPr="00CB7013">
        <w:t xml:space="preserve"> disposici</w:t>
      </w:r>
      <w:r w:rsidR="00405461" w:rsidRPr="00CB7013">
        <w:t>ón</w:t>
      </w:r>
      <w:r w:rsidRPr="00CB7013">
        <w:t xml:space="preserve"> legal.</w:t>
      </w:r>
    </w:p>
    <w:p w14:paraId="207EE3A0" w14:textId="77777777" w:rsidR="006161FB" w:rsidRPr="00CB7013" w:rsidRDefault="00AB6F83" w:rsidP="0023224A">
      <w:pPr>
        <w:ind w:right="-1"/>
        <w:rPr>
          <w:lang w:val="es-MX"/>
        </w:rPr>
      </w:pPr>
      <w:r w:rsidRPr="00CB7013">
        <w:t xml:space="preserve">Lo anterior </w:t>
      </w:r>
      <w:r w:rsidR="006161FB" w:rsidRPr="00CB7013">
        <w:t>quedó de manifiesto en el “</w:t>
      </w:r>
      <w:r w:rsidR="006161FB" w:rsidRPr="00CB7013">
        <w:rPr>
          <w:i/>
          <w:lang w:val="es-MX"/>
        </w:rPr>
        <w:t>DICTAMEN DE LAS COMISIONES UNIDAS DE COMUNICACIONES Y TRANSPORTES, DE RADIO, TELEVISIÓN Y CINEMATOGRAFÍA, Y DE ESTUDIOS LEGISLATIVOS, CON PROYECTO DE DECRETO POR EL QUE SE EXPIDEN LA LEY FEDERAL DE TELECOMUNICACIONES Y RADIODIFUSIÓN, Y LA LEY DEL SISTEMA PÚBLICO DE RADIODIFUSIÓN DEL ESTADO MEXICANO; Y SE REFORMAN, ADICIONAN Y DEROGAN DIVERSAS DISPOSICIONES EN MATERIA DE TELECOMUNICACIONES Y RADIODIFUSIÓN.</w:t>
      </w:r>
      <w:r w:rsidR="006161FB" w:rsidRPr="00CB7013">
        <w:rPr>
          <w:lang w:val="es-MX"/>
        </w:rPr>
        <w:t xml:space="preserve">” (Dictamen de la Cámara de Senadores </w:t>
      </w:r>
      <w:r w:rsidR="00E6125F">
        <w:rPr>
          <w:lang w:val="es-MX"/>
        </w:rPr>
        <w:t>relativo a la</w:t>
      </w:r>
      <w:r w:rsidR="006161FB" w:rsidRPr="00CB7013">
        <w:rPr>
          <w:lang w:val="es-MX"/>
        </w:rPr>
        <w:t xml:space="preserve"> LFTR),</w:t>
      </w:r>
      <w:r w:rsidR="006161FB" w:rsidRPr="00CB7013">
        <w:rPr>
          <w:rStyle w:val="Refdenotaalpie"/>
          <w:lang w:val="es-MX"/>
        </w:rPr>
        <w:footnoteReference w:id="3"/>
      </w:r>
      <w:r w:rsidR="006161FB" w:rsidRPr="00CB7013">
        <w:rPr>
          <w:lang w:val="es-MX"/>
        </w:rPr>
        <w:t xml:space="preserve"> en el cual se establece que:</w:t>
      </w:r>
    </w:p>
    <w:p w14:paraId="3EEF3563" w14:textId="77777777" w:rsidR="00CB7013" w:rsidRPr="00CB7013" w:rsidRDefault="006161FB" w:rsidP="0023224A">
      <w:pPr>
        <w:ind w:left="567" w:right="-1"/>
        <w:rPr>
          <w:i/>
          <w:sz w:val="20"/>
          <w:lang w:val="es-MX"/>
        </w:rPr>
      </w:pPr>
      <w:r w:rsidRPr="00CB7013">
        <w:rPr>
          <w:i/>
          <w:sz w:val="20"/>
          <w:lang w:val="es-MX"/>
        </w:rPr>
        <w:t xml:space="preserve">"Teniendo en cuenta que </w:t>
      </w:r>
      <w:r w:rsidRPr="00CB7013">
        <w:rPr>
          <w:i/>
          <w:sz w:val="20"/>
          <w:u w:val="single"/>
          <w:lang w:val="es-MX"/>
        </w:rPr>
        <w:t>el objetivo principal</w:t>
      </w:r>
      <w:r w:rsidRPr="00CB7013">
        <w:rPr>
          <w:i/>
          <w:sz w:val="20"/>
          <w:lang w:val="es-MX"/>
        </w:rPr>
        <w:t xml:space="preserve"> de la (sic) Decreto de Reforma Constitucional en materia de telecomunicaciones</w:t>
      </w:r>
      <w:r w:rsidRPr="00CB7013">
        <w:rPr>
          <w:i/>
          <w:sz w:val="20"/>
          <w:u w:val="single"/>
          <w:lang w:val="es-MX"/>
        </w:rPr>
        <w:t xml:space="preserve"> es aumentar la competencia económica en el sector</w:t>
      </w:r>
      <w:r w:rsidRPr="00CB7013">
        <w:rPr>
          <w:i/>
          <w:sz w:val="20"/>
          <w:lang w:val="es-MX"/>
        </w:rPr>
        <w:t xml:space="preserve">. Estas Comisiones Dictaminadoras establecen en el artículo transitorio Noveno en el que se especifican los casos en que, </w:t>
      </w:r>
      <w:r w:rsidRPr="00CB7013">
        <w:rPr>
          <w:i/>
          <w:sz w:val="20"/>
          <w:u w:val="single"/>
          <w:lang w:val="es-MX"/>
        </w:rPr>
        <w:t>con el fin de promover la competencia y desarrollar competidores viables en el largo plazo, y siempre que se observen determinados requisitos no se requerirá de autorización del Instituto Federal de Telecomunicaciones para llevar a cabo una concentración</w:t>
      </w:r>
      <w:r w:rsidRPr="00CB7013">
        <w:rPr>
          <w:i/>
          <w:sz w:val="20"/>
          <w:lang w:val="es-MX"/>
        </w:rPr>
        <w:t>, hasta en tanto exista un agente económico preponderante en los sectores de telecomunicaciones y radiodifusión.”</w:t>
      </w:r>
    </w:p>
    <w:p w14:paraId="79DFDCA5" w14:textId="77777777" w:rsidR="006161FB" w:rsidRPr="00CB7013" w:rsidRDefault="00AB6F83" w:rsidP="0023224A">
      <w:pPr>
        <w:ind w:left="567" w:right="-1"/>
        <w:rPr>
          <w:i/>
          <w:sz w:val="20"/>
          <w:lang w:val="es-MX"/>
        </w:rPr>
      </w:pPr>
      <w:r w:rsidRPr="00CB7013">
        <w:rPr>
          <w:sz w:val="20"/>
          <w:lang w:val="es-MX"/>
        </w:rPr>
        <w:t>[Énfasis añadido]</w:t>
      </w:r>
    </w:p>
    <w:p w14:paraId="2B25701B" w14:textId="45BED0D7" w:rsidR="006161FB" w:rsidRPr="00CB7013" w:rsidRDefault="006161FB" w:rsidP="0023224A">
      <w:pPr>
        <w:ind w:right="-1"/>
      </w:pPr>
      <w:r w:rsidRPr="00CB7013">
        <w:t>Así, conforme a lo señalado en l</w:t>
      </w:r>
      <w:r w:rsidR="001106DD" w:rsidRPr="00CB7013">
        <w:t>o</w:t>
      </w:r>
      <w:r w:rsidRPr="00CB7013">
        <w:t>s Consideran</w:t>
      </w:r>
      <w:r w:rsidR="001106DD" w:rsidRPr="00CB7013">
        <w:t>dos</w:t>
      </w:r>
      <w:r w:rsidRPr="00CB7013">
        <w:t xml:space="preserve"> Primer</w:t>
      </w:r>
      <w:r w:rsidR="001106DD" w:rsidRPr="00CB7013">
        <w:t>o</w:t>
      </w:r>
      <w:r w:rsidRPr="00CB7013">
        <w:t xml:space="preserve"> y Segund</w:t>
      </w:r>
      <w:r w:rsidR="001106DD" w:rsidRPr="00CB7013">
        <w:t>o</w:t>
      </w:r>
      <w:r w:rsidRPr="00CB7013">
        <w:rPr>
          <w:smallCaps/>
        </w:rPr>
        <w:t xml:space="preserve"> </w:t>
      </w:r>
      <w:r w:rsidR="00CB7013">
        <w:t>de la presente r</w:t>
      </w:r>
      <w:r w:rsidRPr="00CB7013">
        <w:t xml:space="preserve">esolución, las actuaciones de este Instituto </w:t>
      </w:r>
      <w:r w:rsidR="00CB7013">
        <w:t xml:space="preserve">dentro del presente procedimiento </w:t>
      </w:r>
      <w:r w:rsidRPr="00CB7013">
        <w:t xml:space="preserve">se fundamentan en los artículos </w:t>
      </w:r>
      <w:r w:rsidR="00CB7013">
        <w:t xml:space="preserve">28, </w:t>
      </w:r>
      <w:proofErr w:type="gramStart"/>
      <w:r w:rsidR="00CB7013" w:rsidRPr="007E49FF">
        <w:t xml:space="preserve">párrafos </w:t>
      </w:r>
      <w:r w:rsidR="00CB7013" w:rsidRPr="00D058D1">
        <w:t>décimo sexto</w:t>
      </w:r>
      <w:proofErr w:type="gramEnd"/>
      <w:r w:rsidR="00CB7013" w:rsidRPr="00D058D1">
        <w:t xml:space="preserve"> y décimo séptimo, de la CPEUM</w:t>
      </w:r>
      <w:r w:rsidRPr="00CB7013">
        <w:t>; Noveno Transitorio, párrafos primero a cuarto, de</w:t>
      </w:r>
      <w:r w:rsidR="00014D8D" w:rsidRPr="00CB7013">
        <w:t>l Decreto</w:t>
      </w:r>
      <w:r w:rsidR="00CB7013">
        <w:t xml:space="preserve"> que expide la LFTR</w:t>
      </w:r>
      <w:r w:rsidRPr="00CB7013">
        <w:t>; 1, 6,</w:t>
      </w:r>
      <w:r w:rsidR="00CB7013">
        <w:t xml:space="preserve"> </w:t>
      </w:r>
      <w:r w:rsidRPr="00CB7013">
        <w:t>párrafo</w:t>
      </w:r>
      <w:r w:rsidR="00CB7013">
        <w:t xml:space="preserve"> último</w:t>
      </w:r>
      <w:r w:rsidRPr="00CB7013">
        <w:t xml:space="preserve">, 7 y 15, fracción XVIII, de la LFTR; </w:t>
      </w:r>
      <w:r w:rsidRPr="00CB7013">
        <w:rPr>
          <w:bCs/>
          <w:color w:val="000000"/>
        </w:rPr>
        <w:t>8, 13, 14, 17 y 49, de la LFPA</w:t>
      </w:r>
      <w:r w:rsidR="00641F0F">
        <w:rPr>
          <w:bCs/>
          <w:color w:val="000000"/>
        </w:rPr>
        <w:t>;</w:t>
      </w:r>
      <w:r w:rsidRPr="00CB7013">
        <w:t xml:space="preserve"> y 6, fracción IX, del Estatuto</w:t>
      </w:r>
      <w:r w:rsidR="0053621E">
        <w:t xml:space="preserve"> Orgánico del Instituto</w:t>
      </w:r>
      <w:r w:rsidRPr="00CB7013">
        <w:t>.</w:t>
      </w:r>
    </w:p>
    <w:p w14:paraId="564A78F3" w14:textId="77777777" w:rsidR="006161FB" w:rsidRPr="00CB7013" w:rsidRDefault="006161FB" w:rsidP="00CB7013">
      <w:pPr>
        <w:pStyle w:val="Ttulo2"/>
        <w:spacing w:before="240"/>
      </w:pPr>
      <w:bookmarkStart w:id="8" w:name="_Toc511061396"/>
      <w:r w:rsidRPr="00CB7013">
        <w:lastRenderedPageBreak/>
        <w:t>TERCER</w:t>
      </w:r>
      <w:r w:rsidR="001106DD" w:rsidRPr="00CB7013">
        <w:t>O</w:t>
      </w:r>
      <w:r w:rsidRPr="00CB7013">
        <w:t xml:space="preserve">. </w:t>
      </w:r>
      <w:r w:rsidR="00CB7013">
        <w:t>Operación</w:t>
      </w:r>
      <w:r w:rsidRPr="00CB7013">
        <w:t xml:space="preserve"> materia del Aviso</w:t>
      </w:r>
      <w:r w:rsidR="00CB7013">
        <w:t xml:space="preserve"> de Concentración</w:t>
      </w:r>
      <w:bookmarkEnd w:id="8"/>
    </w:p>
    <w:p w14:paraId="020EE483" w14:textId="77777777" w:rsidR="004F5014" w:rsidRPr="004B1E7C" w:rsidRDefault="004F5014" w:rsidP="004B1E7C">
      <w:pPr>
        <w:rPr>
          <w:b/>
        </w:rPr>
      </w:pPr>
      <w:bookmarkStart w:id="9" w:name="_Toc511061397"/>
      <w:r w:rsidRPr="004B1E7C">
        <w:rPr>
          <w:b/>
        </w:rPr>
        <w:t>Actos constitutivos de la Operación</w:t>
      </w:r>
      <w:bookmarkEnd w:id="9"/>
    </w:p>
    <w:p w14:paraId="10612E17" w14:textId="44982800" w:rsidR="00476BFF" w:rsidRPr="007B3D1E" w:rsidRDefault="00476BFF" w:rsidP="0023224A">
      <w:pPr>
        <w:pStyle w:val="Prrafodelista"/>
        <w:spacing w:after="120" w:line="276" w:lineRule="auto"/>
        <w:ind w:left="0" w:right="-1"/>
        <w:contextualSpacing w:val="0"/>
        <w:rPr>
          <w:rFonts w:cs="Arial"/>
          <w:color w:val="000000" w:themeColor="text1"/>
        </w:rPr>
      </w:pPr>
      <w:r w:rsidRPr="00F43349">
        <w:rPr>
          <w:rFonts w:cs="Arial"/>
          <w:color w:val="000000" w:themeColor="text1"/>
        </w:rPr>
        <w:t xml:space="preserve">La </w:t>
      </w:r>
      <w:r w:rsidR="00CB7013" w:rsidRPr="00F43349">
        <w:rPr>
          <w:rFonts w:cs="Arial"/>
          <w:color w:val="000000" w:themeColor="text1"/>
        </w:rPr>
        <w:t>Operación</w:t>
      </w:r>
      <w:r w:rsidRPr="00F43349">
        <w:rPr>
          <w:rFonts w:cs="Arial"/>
          <w:color w:val="000000" w:themeColor="text1"/>
        </w:rPr>
        <w:t xml:space="preserve"> </w:t>
      </w:r>
      <w:r w:rsidR="006667D6" w:rsidRPr="00F43349">
        <w:t xml:space="preserve">consistió en la adquisición, por parte de los Compradores, de </w:t>
      </w:r>
      <w:r w:rsidR="005E1DFE" w:rsidRPr="007D02A7">
        <w:rPr>
          <w:b/>
          <w:bCs/>
          <w:color w:val="0000CC"/>
          <w:sz w:val="19"/>
          <w:szCs w:val="19"/>
        </w:rPr>
        <w:t xml:space="preserve">“CONFIDENCIAL POR LEY </w:t>
      </w:r>
      <w:r w:rsidR="005E1DFE">
        <w:rPr>
          <w:b/>
          <w:bCs/>
          <w:color w:val="0000CC"/>
          <w:sz w:val="19"/>
          <w:szCs w:val="19"/>
        </w:rPr>
        <w:t>(</w:t>
      </w:r>
      <w:r w:rsidR="00A46877">
        <w:rPr>
          <w:b/>
          <w:bCs/>
          <w:color w:val="0000CC"/>
          <w:sz w:val="19"/>
          <w:szCs w:val="19"/>
        </w:rPr>
        <w:t>3</w:t>
      </w:r>
      <w:r w:rsidR="005E1DFE">
        <w:rPr>
          <w:b/>
          <w:bCs/>
          <w:color w:val="0000CC"/>
          <w:sz w:val="19"/>
          <w:szCs w:val="19"/>
        </w:rPr>
        <w:t>)</w:t>
      </w:r>
      <w:r w:rsidR="005E1DFE" w:rsidRPr="007D02A7">
        <w:rPr>
          <w:b/>
          <w:bCs/>
          <w:color w:val="0000CC"/>
          <w:sz w:val="19"/>
          <w:szCs w:val="19"/>
        </w:rPr>
        <w:t>”</w:t>
      </w:r>
      <w:r w:rsidR="006667D6" w:rsidRPr="005E1DFE">
        <w:t xml:space="preserve"> de las acciones</w:t>
      </w:r>
      <w:r w:rsidR="006667D6" w:rsidRPr="00F43349">
        <w:t xml:space="preserve"> representativas del capital social de CFCA y de </w:t>
      </w:r>
      <w:r w:rsidR="005E1DFE" w:rsidRPr="007D02A7">
        <w:rPr>
          <w:b/>
          <w:bCs/>
          <w:color w:val="0000CC"/>
          <w:sz w:val="19"/>
          <w:szCs w:val="19"/>
        </w:rPr>
        <w:t xml:space="preserve">“CONFIDENCIAL POR LEY </w:t>
      </w:r>
      <w:r w:rsidR="005E1DFE">
        <w:rPr>
          <w:b/>
          <w:bCs/>
          <w:color w:val="0000CC"/>
          <w:sz w:val="19"/>
          <w:szCs w:val="19"/>
        </w:rPr>
        <w:t>(</w:t>
      </w:r>
      <w:r w:rsidR="00A46877">
        <w:rPr>
          <w:b/>
          <w:bCs/>
          <w:color w:val="0000CC"/>
          <w:sz w:val="19"/>
          <w:szCs w:val="19"/>
        </w:rPr>
        <w:t>4</w:t>
      </w:r>
      <w:r w:rsidR="005E1DFE">
        <w:rPr>
          <w:b/>
          <w:bCs/>
          <w:color w:val="0000CC"/>
          <w:sz w:val="19"/>
          <w:szCs w:val="19"/>
        </w:rPr>
        <w:t>)</w:t>
      </w:r>
      <w:r w:rsidR="005E1DFE" w:rsidRPr="007D02A7">
        <w:rPr>
          <w:b/>
          <w:bCs/>
          <w:color w:val="0000CC"/>
          <w:sz w:val="19"/>
          <w:szCs w:val="19"/>
        </w:rPr>
        <w:t>”</w:t>
      </w:r>
      <w:r w:rsidR="006667D6" w:rsidRPr="00F43349">
        <w:t xml:space="preserve"> acciones representativas del capital social de </w:t>
      </w:r>
      <w:proofErr w:type="spellStart"/>
      <w:r w:rsidR="006667D6" w:rsidRPr="00F43349">
        <w:t>Telco</w:t>
      </w:r>
      <w:proofErr w:type="spellEnd"/>
      <w:r w:rsidR="006667D6" w:rsidRPr="00F43349">
        <w:t xml:space="preserve">, </w:t>
      </w:r>
      <w:proofErr w:type="gramStart"/>
      <w:r w:rsidR="006667D6" w:rsidRPr="007B3D1E">
        <w:t>todas</w:t>
      </w:r>
      <w:r w:rsidR="00F91773">
        <w:t xml:space="preserve"> </w:t>
      </w:r>
      <w:r w:rsidR="006667D6" w:rsidRPr="007B3D1E">
        <w:t>propiedad</w:t>
      </w:r>
      <w:proofErr w:type="gramEnd"/>
      <w:r w:rsidR="006667D6" w:rsidRPr="007B3D1E">
        <w:t xml:space="preserve"> de los Vendedores</w:t>
      </w:r>
      <w:r w:rsidRPr="007B3D1E">
        <w:rPr>
          <w:rFonts w:cs="Arial"/>
          <w:color w:val="000000" w:themeColor="text1"/>
        </w:rPr>
        <w:t>.</w:t>
      </w:r>
    </w:p>
    <w:p w14:paraId="7B31DA2F" w14:textId="62D93184" w:rsidR="004F5014" w:rsidRDefault="00773F67" w:rsidP="00A02181">
      <w:pPr>
        <w:shd w:val="clear" w:color="auto" w:fill="FFFFFF"/>
        <w:ind w:right="-1"/>
      </w:pPr>
      <w:r w:rsidRPr="007B3D1E">
        <w:t xml:space="preserve">A efecto de llevar a cabo la Operación, el </w:t>
      </w:r>
      <w:r w:rsidR="00D55F64">
        <w:t>veinte</w:t>
      </w:r>
      <w:r w:rsidRPr="007B3D1E">
        <w:t xml:space="preserve"> de</w:t>
      </w:r>
      <w:r w:rsidRPr="00773F67">
        <w:t xml:space="preserve"> octubre de </w:t>
      </w:r>
      <w:r w:rsidR="00D55F64">
        <w:t>dos mil diecisiete</w:t>
      </w:r>
      <w:r w:rsidR="00AF14C3">
        <w:t>,</w:t>
      </w:r>
      <w:r>
        <w:t xml:space="preserve"> </w:t>
      </w:r>
      <w:r w:rsidR="007B3D1E" w:rsidRPr="007B3D1E">
        <w:t xml:space="preserve">las Partes </w:t>
      </w:r>
      <w:r w:rsidR="007B3D1E" w:rsidRPr="00C92E2B">
        <w:t xml:space="preserve">celebraron </w:t>
      </w:r>
      <w:r w:rsidRPr="00C92E2B">
        <w:t>un Acuerdo de Compraventa de Acciones</w:t>
      </w:r>
      <w:r w:rsidR="00C92E2B" w:rsidRPr="00C92E2B">
        <w:t xml:space="preserve"> sujeto a condiciones suspensivas</w:t>
      </w:r>
      <w:r w:rsidRPr="00C92E2B">
        <w:t xml:space="preserve"> firmado</w:t>
      </w:r>
      <w:r>
        <w:t xml:space="preserve"> por KIO y </w:t>
      </w:r>
      <w:proofErr w:type="spellStart"/>
      <w:r>
        <w:t>Wingu</w:t>
      </w:r>
      <w:proofErr w:type="spellEnd"/>
      <w:r>
        <w:t xml:space="preserve"> como </w:t>
      </w:r>
      <w:r w:rsidRPr="00C92E2B">
        <w:t>vendedores</w:t>
      </w:r>
      <w:r w:rsidR="00D55F64">
        <w:t>;</w:t>
      </w:r>
      <w:r w:rsidRPr="00C92E2B">
        <w:t xml:space="preserve"> ATC </w:t>
      </w:r>
      <w:proofErr w:type="spellStart"/>
      <w:r w:rsidRPr="00C92E2B">
        <w:t>MexHold</w:t>
      </w:r>
      <w:proofErr w:type="spellEnd"/>
      <w:r w:rsidRPr="00C92E2B">
        <w:t xml:space="preserve"> como comprador</w:t>
      </w:r>
      <w:r w:rsidR="00D55F64">
        <w:t>;</w:t>
      </w:r>
      <w:r w:rsidR="009357B0" w:rsidRPr="00C92E2B">
        <w:t xml:space="preserve"> y CFCA y </w:t>
      </w:r>
      <w:proofErr w:type="spellStart"/>
      <w:r w:rsidR="009357B0" w:rsidRPr="00C92E2B">
        <w:t>Telco</w:t>
      </w:r>
      <w:proofErr w:type="spellEnd"/>
      <w:r w:rsidR="009357B0" w:rsidRPr="00C92E2B">
        <w:t xml:space="preserve"> como emisoras de acciones</w:t>
      </w:r>
      <w:r w:rsidR="00D55F64">
        <w:t>.</w:t>
      </w:r>
      <w:r w:rsidR="00C92E2B" w:rsidRPr="00A02181">
        <w:rPr>
          <w:vertAlign w:val="superscript"/>
        </w:rPr>
        <w:footnoteReference w:id="4"/>
      </w:r>
      <w:r w:rsidRPr="00C92E2B">
        <w:t xml:space="preserve"> </w:t>
      </w:r>
      <w:r w:rsidR="00D55F64">
        <w:t xml:space="preserve">Este acuerdo </w:t>
      </w:r>
      <w:r w:rsidRPr="00773F67">
        <w:t xml:space="preserve">fue modificado el </w:t>
      </w:r>
      <w:r w:rsidR="00D55F64">
        <w:t>diecisiete</w:t>
      </w:r>
      <w:r w:rsidRPr="00773F67">
        <w:t xml:space="preserve"> de noviembre de </w:t>
      </w:r>
      <w:r w:rsidR="00D55F64">
        <w:t>dos mil diecisiete</w:t>
      </w:r>
      <w:r w:rsidRPr="00773F67">
        <w:t xml:space="preserve"> para efectos de incluir a ATC HFM como comprador</w:t>
      </w:r>
      <w:r w:rsidR="007B3D1E">
        <w:t xml:space="preserve"> y actualizar el número de acciones </w:t>
      </w:r>
      <w:r w:rsidR="00A02181">
        <w:t xml:space="preserve">de </w:t>
      </w:r>
      <w:proofErr w:type="spellStart"/>
      <w:r w:rsidR="00A02181">
        <w:t>Telco</w:t>
      </w:r>
      <w:proofErr w:type="spellEnd"/>
      <w:r w:rsidR="00AF14C3">
        <w:t xml:space="preserve"> que sería adquiridas</w:t>
      </w:r>
      <w:r w:rsidR="00D55F64">
        <w:t>.</w:t>
      </w:r>
      <w:r w:rsidR="00C92E2B" w:rsidRPr="00A02181">
        <w:rPr>
          <w:vertAlign w:val="superscript"/>
        </w:rPr>
        <w:footnoteReference w:id="5"/>
      </w:r>
    </w:p>
    <w:p w14:paraId="428C25E6" w14:textId="77777777" w:rsidR="00773F67" w:rsidRPr="004B1E7C" w:rsidRDefault="004F5014" w:rsidP="004B1E7C">
      <w:pPr>
        <w:rPr>
          <w:b/>
        </w:rPr>
      </w:pPr>
      <w:bookmarkStart w:id="10" w:name="_Toc511061398"/>
      <w:r w:rsidRPr="004B1E7C">
        <w:rPr>
          <w:b/>
        </w:rPr>
        <w:t>Fecha en la que se realizó la concentración</w:t>
      </w:r>
      <w:bookmarkEnd w:id="10"/>
    </w:p>
    <w:p w14:paraId="1596C6E4" w14:textId="77777777" w:rsidR="003D72B3" w:rsidRDefault="008C49E8" w:rsidP="0023224A">
      <w:pPr>
        <w:pStyle w:val="Prrafodelista"/>
        <w:spacing w:after="120" w:line="276" w:lineRule="auto"/>
        <w:ind w:left="0" w:right="-1"/>
        <w:contextualSpacing w:val="0"/>
      </w:pPr>
      <w:r>
        <w:t>Las Partes mencionaron que l</w:t>
      </w:r>
      <w:r w:rsidR="003D72B3" w:rsidRPr="00F43349">
        <w:t xml:space="preserve">a Operación </w:t>
      </w:r>
      <w:r w:rsidR="00C92E2B">
        <w:t>surtió efectos plenos</w:t>
      </w:r>
      <w:r w:rsidR="003D72B3" w:rsidRPr="00F43349">
        <w:t xml:space="preserve"> el </w:t>
      </w:r>
      <w:r w:rsidR="00D55F64">
        <w:t>diecisiete</w:t>
      </w:r>
      <w:r w:rsidR="006667D6" w:rsidRPr="00F43349">
        <w:t xml:space="preserve"> de noviembre de </w:t>
      </w:r>
      <w:r w:rsidR="00D55F64">
        <w:t>dos mil diecisiete</w:t>
      </w:r>
      <w:r w:rsidR="003D72B3" w:rsidRPr="00F43349">
        <w:t xml:space="preserve">, fecha en que se </w:t>
      </w:r>
      <w:r w:rsidR="006667D6" w:rsidRPr="00F43349">
        <w:t>cumplieron las condiciones suspensivas</w:t>
      </w:r>
      <w:r w:rsidR="00C92E2B">
        <w:t xml:space="preserve"> del </w:t>
      </w:r>
      <w:r w:rsidR="00C92E2B" w:rsidRPr="00C92E2B">
        <w:t>Acuerdo de Compraventa de Acciones</w:t>
      </w:r>
      <w:r w:rsidR="00D55F64">
        <w:t>;</w:t>
      </w:r>
      <w:r w:rsidR="006667D6" w:rsidRPr="00F43349">
        <w:t xml:space="preserve"> y se endosaron las acciones correspondientes en favor de los Compradores</w:t>
      </w:r>
      <w:r w:rsidR="003D72B3" w:rsidRPr="00F43349">
        <w:t>.</w:t>
      </w:r>
      <w:r w:rsidR="00C92E2B" w:rsidRPr="00C92E2B">
        <w:rPr>
          <w:rStyle w:val="Refdenotaalpie"/>
        </w:rPr>
        <w:footnoteReference w:id="6"/>
      </w:r>
    </w:p>
    <w:p w14:paraId="5458E69A" w14:textId="77777777" w:rsidR="00D55F64" w:rsidRPr="004B1E7C" w:rsidRDefault="00D55F64" w:rsidP="004B1E7C">
      <w:pPr>
        <w:rPr>
          <w:b/>
        </w:rPr>
      </w:pPr>
      <w:bookmarkStart w:id="11" w:name="_Toc511061399"/>
      <w:r w:rsidRPr="004B1E7C">
        <w:rPr>
          <w:b/>
        </w:rPr>
        <w:t>Cambios en las estructuras accionarias de las sociedades Adquiridas</w:t>
      </w:r>
      <w:bookmarkEnd w:id="11"/>
    </w:p>
    <w:p w14:paraId="7193909D" w14:textId="147C7CFC" w:rsidR="00A613B6" w:rsidRDefault="00D50C2E" w:rsidP="0023224A">
      <w:pPr>
        <w:pStyle w:val="Prrafodelista"/>
        <w:spacing w:after="120" w:line="276" w:lineRule="auto"/>
        <w:ind w:left="0" w:right="-1"/>
        <w:contextualSpacing w:val="0"/>
      </w:pPr>
      <w:r w:rsidRPr="00F43349">
        <w:t>A continuación</w:t>
      </w:r>
      <w:r w:rsidR="00A02181">
        <w:t>,</w:t>
      </w:r>
      <w:r w:rsidRPr="00F43349">
        <w:t xml:space="preserve"> se presenta</w:t>
      </w:r>
      <w:r w:rsidR="00F43349">
        <w:t>n</w:t>
      </w:r>
      <w:r w:rsidRPr="00F43349">
        <w:t xml:space="preserve"> la</w:t>
      </w:r>
      <w:r w:rsidR="00F43349">
        <w:t>s</w:t>
      </w:r>
      <w:r w:rsidRPr="00F43349">
        <w:t xml:space="preserve"> estructura</w:t>
      </w:r>
      <w:r w:rsidR="00F43349">
        <w:t>s</w:t>
      </w:r>
      <w:r w:rsidRPr="00F43349">
        <w:t xml:space="preserve"> de</w:t>
      </w:r>
      <w:r w:rsidR="00D115B5" w:rsidRPr="00F43349">
        <w:t>l</w:t>
      </w:r>
      <w:r w:rsidRPr="00F43349">
        <w:t xml:space="preserve"> capital social de </w:t>
      </w:r>
      <w:r w:rsidR="00F43349">
        <w:t xml:space="preserve">CFCA y </w:t>
      </w:r>
      <w:proofErr w:type="spellStart"/>
      <w:r w:rsidR="00F43349">
        <w:t>Telco</w:t>
      </w:r>
      <w:proofErr w:type="spellEnd"/>
      <w:r w:rsidRPr="00F43349">
        <w:t xml:space="preserve"> antes (</w:t>
      </w:r>
      <w:r w:rsidR="00F43349">
        <w:t>Figura</w:t>
      </w:r>
      <w:r w:rsidRPr="00F43349">
        <w:t xml:space="preserve"> 1) y después (</w:t>
      </w:r>
      <w:r w:rsidR="00F43349">
        <w:t xml:space="preserve">Figura </w:t>
      </w:r>
      <w:r w:rsidRPr="00F43349">
        <w:t>2) de la Operación.</w:t>
      </w:r>
    </w:p>
    <w:p w14:paraId="06D392D6" w14:textId="209D1392" w:rsidR="00EB776A" w:rsidRDefault="00EB776A" w:rsidP="00945FB6">
      <w:pPr>
        <w:pStyle w:val="Prrafodelista"/>
        <w:spacing w:before="0" w:after="0" w:line="240" w:lineRule="auto"/>
        <w:ind w:left="0" w:right="-1"/>
        <w:contextualSpacing w:val="0"/>
      </w:pPr>
      <w:r>
        <w:rPr>
          <w:noProof/>
          <w:lang w:val="es-MX"/>
        </w:rPr>
        <w:drawing>
          <wp:inline distT="0" distB="0" distL="0" distR="0" wp14:anchorId="1AE94F89" wp14:editId="5FB8D047">
            <wp:extent cx="5958840" cy="2023745"/>
            <wp:effectExtent l="0" t="0" r="3810" b="0"/>
            <wp:docPr id="17" name="Imagen 17" descr="Estructura accionaria de CFCA y Telco antes y despues de la operación."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58840" cy="2023745"/>
                    </a:xfrm>
                    <a:prstGeom prst="rect">
                      <a:avLst/>
                    </a:prstGeom>
                    <a:noFill/>
                    <a:ln>
                      <a:noFill/>
                    </a:ln>
                  </pic:spPr>
                </pic:pic>
              </a:graphicData>
            </a:graphic>
          </wp:inline>
        </w:drawing>
      </w:r>
    </w:p>
    <w:p w14:paraId="08B2474C" w14:textId="3D87B884" w:rsidR="00224139" w:rsidRDefault="00224139" w:rsidP="00945FB6">
      <w:pPr>
        <w:shd w:val="clear" w:color="auto" w:fill="FFFFFF"/>
        <w:spacing w:before="0" w:after="0" w:line="240" w:lineRule="auto"/>
        <w:ind w:firstLine="708"/>
      </w:pPr>
      <w:r w:rsidRPr="00D058D1">
        <w:rPr>
          <w:sz w:val="16"/>
          <w:szCs w:val="16"/>
        </w:rPr>
        <w:t xml:space="preserve">Fuente: Elaboración propia con información contenida en Fojas </w:t>
      </w:r>
      <w:r>
        <w:rPr>
          <w:sz w:val="16"/>
          <w:szCs w:val="16"/>
        </w:rPr>
        <w:t>21-22, 290 y 717-718</w:t>
      </w:r>
      <w:r w:rsidRPr="00D058D1">
        <w:rPr>
          <w:sz w:val="16"/>
          <w:szCs w:val="16"/>
        </w:rPr>
        <w:t xml:space="preserve"> del Expediente</w:t>
      </w:r>
    </w:p>
    <w:p w14:paraId="621B1E53" w14:textId="05717F9E" w:rsidR="00773F67" w:rsidRDefault="00A4574F" w:rsidP="00A02181">
      <w:pPr>
        <w:shd w:val="clear" w:color="auto" w:fill="FFFFFF"/>
        <w:ind w:right="-1"/>
      </w:pPr>
      <w:r>
        <w:lastRenderedPageBreak/>
        <w:t>De acuerdo con la información proporcionada por l</w:t>
      </w:r>
      <w:r w:rsidR="00F43349" w:rsidRPr="00813D32">
        <w:t>as Partes</w:t>
      </w:r>
      <w:r>
        <w:t>, “</w:t>
      </w:r>
      <w:r w:rsidRPr="00A02181">
        <w:rPr>
          <w:i/>
        </w:rPr>
        <w:t xml:space="preserve">ninguna de las Sociedades [CFCA y </w:t>
      </w:r>
      <w:proofErr w:type="spellStart"/>
      <w:r w:rsidRPr="00A02181">
        <w:rPr>
          <w:i/>
        </w:rPr>
        <w:t>Telco</w:t>
      </w:r>
      <w:proofErr w:type="spellEnd"/>
      <w:r w:rsidRPr="00A02181">
        <w:rPr>
          <w:i/>
        </w:rPr>
        <w:t>]</w:t>
      </w:r>
      <w:r w:rsidR="00F43349" w:rsidRPr="00A02181">
        <w:rPr>
          <w:i/>
        </w:rPr>
        <w:t xml:space="preserve"> </w:t>
      </w:r>
      <w:r w:rsidRPr="00A02181">
        <w:rPr>
          <w:i/>
        </w:rPr>
        <w:t>es propietaria de ninguna acción o parte social de cualquier otra Persona. Al Cierre, CFCA será propietaria de</w:t>
      </w:r>
      <w:r w:rsidR="005E1DFE">
        <w:rPr>
          <w:i/>
        </w:rPr>
        <w:t xml:space="preserve"> </w:t>
      </w:r>
      <w:r w:rsidR="005E1DFE" w:rsidRPr="007D02A7">
        <w:rPr>
          <w:b/>
          <w:bCs/>
          <w:color w:val="0000CC"/>
          <w:sz w:val="19"/>
          <w:szCs w:val="19"/>
        </w:rPr>
        <w:t xml:space="preserve">“CONFIDENCIAL POR LEY </w:t>
      </w:r>
      <w:r w:rsidR="005E1DFE">
        <w:rPr>
          <w:b/>
          <w:bCs/>
          <w:color w:val="0000CC"/>
          <w:sz w:val="19"/>
          <w:szCs w:val="19"/>
        </w:rPr>
        <w:t>(</w:t>
      </w:r>
      <w:r w:rsidR="005E1DFE" w:rsidRPr="007D02A7">
        <w:rPr>
          <w:b/>
          <w:bCs/>
          <w:color w:val="0000CC"/>
          <w:sz w:val="19"/>
          <w:szCs w:val="19"/>
        </w:rPr>
        <w:t>1</w:t>
      </w:r>
      <w:r w:rsidR="00A46877">
        <w:rPr>
          <w:b/>
          <w:bCs/>
          <w:color w:val="0000CC"/>
          <w:sz w:val="19"/>
          <w:szCs w:val="19"/>
        </w:rPr>
        <w:t>4</w:t>
      </w:r>
      <w:r w:rsidR="005E1DFE">
        <w:rPr>
          <w:b/>
          <w:bCs/>
          <w:color w:val="0000CC"/>
          <w:sz w:val="19"/>
          <w:szCs w:val="19"/>
        </w:rPr>
        <w:t>)</w:t>
      </w:r>
      <w:r w:rsidR="005E1DFE" w:rsidRPr="007D02A7">
        <w:rPr>
          <w:b/>
          <w:bCs/>
          <w:color w:val="0000CC"/>
          <w:sz w:val="19"/>
          <w:szCs w:val="19"/>
        </w:rPr>
        <w:t>”</w:t>
      </w:r>
      <w:r w:rsidRPr="00A02181">
        <w:rPr>
          <w:i/>
        </w:rPr>
        <w:t xml:space="preserve"> acciones que representan el capital social de </w:t>
      </w:r>
      <w:proofErr w:type="spellStart"/>
      <w:r w:rsidRPr="00A02181">
        <w:rPr>
          <w:i/>
        </w:rPr>
        <w:t>Telco</w:t>
      </w:r>
      <w:proofErr w:type="spellEnd"/>
      <w:r w:rsidRPr="00A02181">
        <w:rPr>
          <w:i/>
        </w:rPr>
        <w:t>,</w:t>
      </w:r>
      <w:r w:rsidR="005E1DFE">
        <w:rPr>
          <w:i/>
        </w:rPr>
        <w:t xml:space="preserve"> </w:t>
      </w:r>
      <w:r w:rsidR="005E1DFE" w:rsidRPr="007D02A7">
        <w:rPr>
          <w:b/>
          <w:bCs/>
          <w:color w:val="0000CC"/>
          <w:sz w:val="19"/>
          <w:szCs w:val="19"/>
        </w:rPr>
        <w:t xml:space="preserve">“CONFIDENCIAL POR LEY </w:t>
      </w:r>
      <w:r w:rsidR="005E1DFE">
        <w:rPr>
          <w:b/>
          <w:bCs/>
          <w:color w:val="0000CC"/>
          <w:sz w:val="19"/>
          <w:szCs w:val="19"/>
        </w:rPr>
        <w:t>(</w:t>
      </w:r>
      <w:r w:rsidR="005E1DFE" w:rsidRPr="007D02A7">
        <w:rPr>
          <w:b/>
          <w:bCs/>
          <w:color w:val="0000CC"/>
          <w:sz w:val="19"/>
          <w:szCs w:val="19"/>
        </w:rPr>
        <w:t>1</w:t>
      </w:r>
      <w:r w:rsidR="00A46877">
        <w:rPr>
          <w:b/>
          <w:bCs/>
          <w:color w:val="0000CC"/>
          <w:sz w:val="19"/>
          <w:szCs w:val="19"/>
        </w:rPr>
        <w:t>5</w:t>
      </w:r>
      <w:r w:rsidR="005E1DFE">
        <w:rPr>
          <w:b/>
          <w:bCs/>
          <w:color w:val="0000CC"/>
          <w:sz w:val="19"/>
          <w:szCs w:val="19"/>
        </w:rPr>
        <w:t>)</w:t>
      </w:r>
      <w:r w:rsidR="005E1DFE" w:rsidRPr="007D02A7">
        <w:rPr>
          <w:b/>
          <w:bCs/>
          <w:color w:val="0000CC"/>
          <w:sz w:val="19"/>
          <w:szCs w:val="19"/>
        </w:rPr>
        <w:t>”</w:t>
      </w:r>
      <w:r w:rsidR="005E1DFE">
        <w:rPr>
          <w:b/>
          <w:bCs/>
          <w:color w:val="0000CC"/>
          <w:sz w:val="19"/>
          <w:szCs w:val="19"/>
        </w:rPr>
        <w:t xml:space="preserve"> </w:t>
      </w:r>
      <w:r w:rsidRPr="00A02181">
        <w:rPr>
          <w:i/>
        </w:rPr>
        <w:t>ninguna Sociedad será propietaria de ninguna otra acción o parte social de cualquier otra Persona.</w:t>
      </w:r>
      <w:r>
        <w:t>”</w:t>
      </w:r>
      <w:r w:rsidR="00F43349" w:rsidRPr="00A02181">
        <w:rPr>
          <w:vertAlign w:val="superscript"/>
        </w:rPr>
        <w:footnoteReference w:id="7"/>
      </w:r>
    </w:p>
    <w:p w14:paraId="45673A1B" w14:textId="174D14B9" w:rsidR="00A02181" w:rsidRDefault="00773F67" w:rsidP="00A02181">
      <w:pPr>
        <w:shd w:val="clear" w:color="auto" w:fill="FFFFFF"/>
        <w:ind w:right="-1"/>
      </w:pPr>
      <w:r w:rsidRPr="00376707">
        <w:t xml:space="preserve">De este modo, en virtud de la Operación, </w:t>
      </w:r>
      <w:r>
        <w:t>los Compradores</w:t>
      </w:r>
      <w:r w:rsidRPr="00376707">
        <w:t xml:space="preserve"> adquirie</w:t>
      </w:r>
      <w:r>
        <w:t xml:space="preserve">ron directamente </w:t>
      </w:r>
      <w:r w:rsidR="005E1DFE" w:rsidRPr="007D02A7">
        <w:rPr>
          <w:b/>
          <w:bCs/>
          <w:color w:val="0000CC"/>
          <w:sz w:val="19"/>
          <w:szCs w:val="19"/>
        </w:rPr>
        <w:t xml:space="preserve">“CONFIDENCIAL POR LEY </w:t>
      </w:r>
      <w:r w:rsidR="005E1DFE">
        <w:rPr>
          <w:b/>
          <w:bCs/>
          <w:color w:val="0000CC"/>
          <w:sz w:val="19"/>
          <w:szCs w:val="19"/>
        </w:rPr>
        <w:t>(</w:t>
      </w:r>
      <w:r w:rsidR="005E1DFE" w:rsidRPr="007D02A7">
        <w:rPr>
          <w:b/>
          <w:bCs/>
          <w:color w:val="0000CC"/>
          <w:sz w:val="19"/>
          <w:szCs w:val="19"/>
        </w:rPr>
        <w:t>1</w:t>
      </w:r>
      <w:r w:rsidR="00A46877">
        <w:rPr>
          <w:b/>
          <w:bCs/>
          <w:color w:val="0000CC"/>
          <w:sz w:val="19"/>
          <w:szCs w:val="19"/>
        </w:rPr>
        <w:t>6</w:t>
      </w:r>
      <w:r w:rsidR="005E1DFE">
        <w:rPr>
          <w:b/>
          <w:bCs/>
          <w:color w:val="0000CC"/>
          <w:sz w:val="19"/>
          <w:szCs w:val="19"/>
        </w:rPr>
        <w:t>)</w:t>
      </w:r>
      <w:r w:rsidR="005E1DFE" w:rsidRPr="007D02A7">
        <w:rPr>
          <w:b/>
          <w:bCs/>
          <w:color w:val="0000CC"/>
          <w:sz w:val="19"/>
          <w:szCs w:val="19"/>
        </w:rPr>
        <w:t>”</w:t>
      </w:r>
      <w:r w:rsidRPr="005E1DFE">
        <w:t xml:space="preserve"> de las a</w:t>
      </w:r>
      <w:r w:rsidRPr="00F43349">
        <w:t>cciones representativas del capital social de CFCA</w:t>
      </w:r>
      <w:r w:rsidRPr="00376707">
        <w:t xml:space="preserve"> </w:t>
      </w:r>
      <w:r>
        <w:t xml:space="preserve">y directa e indirectamente </w:t>
      </w:r>
      <w:r w:rsidR="005E1DFE" w:rsidRPr="007D02A7">
        <w:rPr>
          <w:b/>
          <w:bCs/>
          <w:color w:val="0000CC"/>
          <w:sz w:val="19"/>
          <w:szCs w:val="19"/>
        </w:rPr>
        <w:t xml:space="preserve">“CONFIDENCIAL POR LEY </w:t>
      </w:r>
      <w:r w:rsidR="005E1DFE">
        <w:rPr>
          <w:b/>
          <w:bCs/>
          <w:color w:val="0000CC"/>
          <w:sz w:val="19"/>
          <w:szCs w:val="19"/>
        </w:rPr>
        <w:t>(</w:t>
      </w:r>
      <w:r w:rsidR="005E1DFE" w:rsidRPr="007D02A7">
        <w:rPr>
          <w:b/>
          <w:bCs/>
          <w:color w:val="0000CC"/>
          <w:sz w:val="19"/>
          <w:szCs w:val="19"/>
        </w:rPr>
        <w:t>1</w:t>
      </w:r>
      <w:r w:rsidR="00A46877">
        <w:rPr>
          <w:b/>
          <w:bCs/>
          <w:color w:val="0000CC"/>
          <w:sz w:val="19"/>
          <w:szCs w:val="19"/>
        </w:rPr>
        <w:t>7</w:t>
      </w:r>
      <w:r w:rsidR="005E1DFE">
        <w:rPr>
          <w:b/>
          <w:bCs/>
          <w:color w:val="0000CC"/>
          <w:sz w:val="19"/>
          <w:szCs w:val="19"/>
        </w:rPr>
        <w:t>)</w:t>
      </w:r>
      <w:r w:rsidR="005E1DFE" w:rsidRPr="007D02A7">
        <w:rPr>
          <w:b/>
          <w:bCs/>
          <w:color w:val="0000CC"/>
          <w:sz w:val="19"/>
          <w:szCs w:val="19"/>
        </w:rPr>
        <w:t>”</w:t>
      </w:r>
      <w:r w:rsidR="005E1DFE">
        <w:rPr>
          <w:b/>
          <w:bCs/>
          <w:color w:val="0000CC"/>
          <w:sz w:val="19"/>
          <w:szCs w:val="19"/>
        </w:rPr>
        <w:t xml:space="preserve"> </w:t>
      </w:r>
      <w:r w:rsidRPr="005E1DFE">
        <w:t>de las acciones</w:t>
      </w:r>
      <w:r w:rsidRPr="00F43349">
        <w:t xml:space="preserve"> representativas del capital social de </w:t>
      </w:r>
      <w:proofErr w:type="spellStart"/>
      <w:r w:rsidR="00D82BB6">
        <w:t>Telco</w:t>
      </w:r>
      <w:proofErr w:type="spellEnd"/>
      <w:r w:rsidR="00B04B6D">
        <w:t>, quienes no tienen participación accionaria en otras sociedades</w:t>
      </w:r>
      <w:r w:rsidR="00D82BB6">
        <w:t>.</w:t>
      </w:r>
    </w:p>
    <w:p w14:paraId="242D037D" w14:textId="77777777" w:rsidR="00C21EBF" w:rsidRPr="004B1E7C" w:rsidRDefault="00831174" w:rsidP="004B1E7C">
      <w:pPr>
        <w:rPr>
          <w:b/>
        </w:rPr>
      </w:pPr>
      <w:bookmarkStart w:id="12" w:name="_Toc511061400"/>
      <w:r w:rsidRPr="004B1E7C">
        <w:rPr>
          <w:b/>
        </w:rPr>
        <w:t>Títulos de concesión, permisos y/o autorizaciones de las Sociedades Adquiridas</w:t>
      </w:r>
      <w:bookmarkEnd w:id="12"/>
    </w:p>
    <w:p w14:paraId="6DEB988A" w14:textId="77777777" w:rsidR="00773F67" w:rsidRDefault="00D82BB6" w:rsidP="00A02181">
      <w:pPr>
        <w:shd w:val="clear" w:color="auto" w:fill="FFFFFF"/>
        <w:ind w:right="-1"/>
      </w:pPr>
      <w:r>
        <w:t xml:space="preserve">Las Sociedades Adquiridas son </w:t>
      </w:r>
      <w:r w:rsidR="00773F67">
        <w:t>titular</w:t>
      </w:r>
      <w:r>
        <w:t>es</w:t>
      </w:r>
      <w:r w:rsidR="00773F67">
        <w:t xml:space="preserve"> de </w:t>
      </w:r>
      <w:r>
        <w:t>1 (</w:t>
      </w:r>
      <w:r w:rsidR="00773F67">
        <w:t>una</w:t>
      </w:r>
      <w:r>
        <w:t>)</w:t>
      </w:r>
      <w:r w:rsidR="00773F67">
        <w:t xml:space="preserve"> autorización para comercializar servicios de telecomunicaciones (</w:t>
      </w:r>
      <w:r w:rsidR="00773F67" w:rsidRPr="00773F67">
        <w:t xml:space="preserve">servicios de </w:t>
      </w:r>
      <w:r w:rsidR="007A731B">
        <w:t>A</w:t>
      </w:r>
      <w:r w:rsidR="00773F67" w:rsidRPr="00773F67">
        <w:t>cceso a Internet</w:t>
      </w:r>
      <w:r w:rsidR="007A731B">
        <w:t xml:space="preserve"> Fijo,</w:t>
      </w:r>
      <w:r w:rsidR="00773F67" w:rsidRPr="00773F67">
        <w:t xml:space="preserve"> tran</w:t>
      </w:r>
      <w:r w:rsidR="00773F67">
        <w:t>smisión de datos y enlaces dedic</w:t>
      </w:r>
      <w:r w:rsidR="00773F67" w:rsidRPr="00773F67">
        <w:t>ados</w:t>
      </w:r>
      <w:r w:rsidR="00773F67">
        <w:t xml:space="preserve">), otorgada el </w:t>
      </w:r>
      <w:r w:rsidR="00C21EBF">
        <w:t>dieciocho</w:t>
      </w:r>
      <w:r w:rsidR="00773F67">
        <w:t xml:space="preserve"> de octubre de </w:t>
      </w:r>
      <w:r w:rsidR="00C21EBF">
        <w:t>dos mil diecisiete</w:t>
      </w:r>
      <w:r w:rsidR="00773F67">
        <w:t>.</w:t>
      </w:r>
      <w:r w:rsidR="00773F67" w:rsidRPr="00A02181">
        <w:rPr>
          <w:vertAlign w:val="superscript"/>
        </w:rPr>
        <w:footnoteReference w:id="8"/>
      </w:r>
      <w:r w:rsidR="00773F67">
        <w:t xml:space="preserve"> </w:t>
      </w:r>
    </w:p>
    <w:p w14:paraId="0247E6F0" w14:textId="77777777" w:rsidR="00C21EBF" w:rsidRPr="004B1E7C" w:rsidRDefault="00C21EBF" w:rsidP="004B1E7C">
      <w:pPr>
        <w:rPr>
          <w:b/>
        </w:rPr>
      </w:pPr>
      <w:bookmarkStart w:id="13" w:name="_Toc511061401"/>
      <w:r w:rsidRPr="004B1E7C">
        <w:rPr>
          <w:b/>
        </w:rPr>
        <w:t>Acuerdo comercial entre las Partes</w:t>
      </w:r>
      <w:bookmarkEnd w:id="13"/>
    </w:p>
    <w:p w14:paraId="1B7341F5" w14:textId="16372A58" w:rsidR="00C21EBF" w:rsidRDefault="00C92E2B" w:rsidP="0023224A">
      <w:pPr>
        <w:pStyle w:val="Prrafodelista"/>
        <w:spacing w:after="120" w:line="276" w:lineRule="auto"/>
        <w:ind w:left="0" w:right="-1"/>
        <w:contextualSpacing w:val="0"/>
      </w:pPr>
      <w:r>
        <w:t xml:space="preserve">Finalmente, las Partes mencionaron que </w:t>
      </w:r>
      <w:r w:rsidRPr="00F43349">
        <w:t xml:space="preserve">el </w:t>
      </w:r>
      <w:r w:rsidR="00C21EBF">
        <w:t>diecisiete</w:t>
      </w:r>
      <w:r w:rsidRPr="00F43349">
        <w:t xml:space="preserve"> de noviembre de </w:t>
      </w:r>
      <w:r w:rsidR="00C21EBF">
        <w:t>dos mil diecisiete</w:t>
      </w:r>
      <w:r w:rsidR="007E0379">
        <w:t xml:space="preserve">, </w:t>
      </w:r>
      <w:r w:rsidR="005E1DFE" w:rsidRPr="007D02A7">
        <w:rPr>
          <w:b/>
          <w:bCs/>
          <w:color w:val="0000CC"/>
          <w:sz w:val="19"/>
          <w:szCs w:val="19"/>
        </w:rPr>
        <w:t xml:space="preserve">“CONFIDENCIAL POR LEY </w:t>
      </w:r>
      <w:r w:rsidR="005E1DFE">
        <w:rPr>
          <w:b/>
          <w:bCs/>
          <w:color w:val="0000CC"/>
          <w:sz w:val="19"/>
          <w:szCs w:val="19"/>
        </w:rPr>
        <w:t>(</w:t>
      </w:r>
      <w:r w:rsidR="005E1DFE" w:rsidRPr="007D02A7">
        <w:rPr>
          <w:b/>
          <w:bCs/>
          <w:color w:val="0000CC"/>
          <w:sz w:val="19"/>
          <w:szCs w:val="19"/>
        </w:rPr>
        <w:t>1</w:t>
      </w:r>
      <w:r w:rsidR="00A46877">
        <w:rPr>
          <w:b/>
          <w:bCs/>
          <w:color w:val="0000CC"/>
          <w:sz w:val="19"/>
          <w:szCs w:val="19"/>
        </w:rPr>
        <w:t>8</w:t>
      </w:r>
      <w:r w:rsidR="005E1DFE">
        <w:rPr>
          <w:b/>
          <w:bCs/>
          <w:color w:val="0000CC"/>
          <w:sz w:val="19"/>
          <w:szCs w:val="19"/>
        </w:rPr>
        <w:t>)</w:t>
      </w:r>
      <w:r w:rsidR="005E1DFE" w:rsidRPr="007D02A7">
        <w:rPr>
          <w:b/>
          <w:bCs/>
          <w:color w:val="0000CC"/>
          <w:sz w:val="19"/>
          <w:szCs w:val="19"/>
        </w:rPr>
        <w:t>”</w:t>
      </w:r>
      <w:r w:rsidR="005E1DFE">
        <w:rPr>
          <w:b/>
          <w:bCs/>
          <w:color w:val="0000CC"/>
          <w:sz w:val="19"/>
          <w:szCs w:val="19"/>
        </w:rPr>
        <w:t xml:space="preserve"> </w:t>
      </w:r>
      <w:r w:rsidR="007E0379">
        <w:t>celebraron un A</w:t>
      </w:r>
      <w:r>
        <w:t>cuerdo</w:t>
      </w:r>
      <w:r w:rsidR="007E0379">
        <w:t xml:space="preserve"> Comercial por medio del cual el primero proporcionará al segundo </w:t>
      </w:r>
      <w:r w:rsidR="005E1DFE" w:rsidRPr="007D02A7">
        <w:rPr>
          <w:b/>
          <w:bCs/>
          <w:color w:val="0000CC"/>
          <w:sz w:val="19"/>
          <w:szCs w:val="19"/>
        </w:rPr>
        <w:t xml:space="preserve">“CONFIDENCIAL POR LEY </w:t>
      </w:r>
      <w:r w:rsidR="005E1DFE">
        <w:rPr>
          <w:b/>
          <w:bCs/>
          <w:color w:val="0000CC"/>
          <w:sz w:val="19"/>
          <w:szCs w:val="19"/>
        </w:rPr>
        <w:t>(</w:t>
      </w:r>
      <w:r w:rsidR="005E1DFE" w:rsidRPr="007D02A7">
        <w:rPr>
          <w:b/>
          <w:bCs/>
          <w:color w:val="0000CC"/>
          <w:sz w:val="19"/>
          <w:szCs w:val="19"/>
        </w:rPr>
        <w:t>1</w:t>
      </w:r>
      <w:r w:rsidR="00A46877">
        <w:rPr>
          <w:b/>
          <w:bCs/>
          <w:color w:val="0000CC"/>
          <w:sz w:val="19"/>
          <w:szCs w:val="19"/>
        </w:rPr>
        <w:t>9</w:t>
      </w:r>
      <w:r w:rsidR="005E1DFE">
        <w:rPr>
          <w:b/>
          <w:bCs/>
          <w:color w:val="0000CC"/>
          <w:sz w:val="19"/>
          <w:szCs w:val="19"/>
        </w:rPr>
        <w:t>)</w:t>
      </w:r>
      <w:r w:rsidR="005E1DFE" w:rsidRPr="007D02A7">
        <w:rPr>
          <w:b/>
          <w:bCs/>
          <w:color w:val="0000CC"/>
          <w:sz w:val="19"/>
          <w:szCs w:val="19"/>
        </w:rPr>
        <w:t>”</w:t>
      </w:r>
      <w:r w:rsidR="007E0379" w:rsidRPr="00CE70F2">
        <w:rPr>
          <w:rStyle w:val="Refdenotaalpie"/>
        </w:rPr>
        <w:footnoteReference w:id="9"/>
      </w:r>
      <w:r w:rsidR="00CE70F2">
        <w:t xml:space="preserve"> </w:t>
      </w:r>
    </w:p>
    <w:p w14:paraId="2FB61366" w14:textId="68857C3A" w:rsidR="00831174" w:rsidRDefault="00303CB8" w:rsidP="00831174">
      <w:pPr>
        <w:pStyle w:val="Prrafodelista"/>
        <w:spacing w:after="120" w:line="276" w:lineRule="auto"/>
        <w:ind w:left="0" w:right="-1"/>
        <w:contextualSpacing w:val="0"/>
      </w:pPr>
      <w:r>
        <w:t xml:space="preserve">La vigencia del Acuerdo Comercial es de </w:t>
      </w:r>
      <w:r w:rsidR="005E1DFE" w:rsidRPr="007D02A7">
        <w:rPr>
          <w:b/>
          <w:bCs/>
          <w:color w:val="0000CC"/>
          <w:sz w:val="19"/>
          <w:szCs w:val="19"/>
        </w:rPr>
        <w:t xml:space="preserve">“CONFIDENCIAL POR LEY </w:t>
      </w:r>
      <w:r w:rsidR="005E1DFE">
        <w:rPr>
          <w:b/>
          <w:bCs/>
          <w:color w:val="0000CC"/>
          <w:sz w:val="19"/>
          <w:szCs w:val="19"/>
        </w:rPr>
        <w:t>(</w:t>
      </w:r>
      <w:r w:rsidR="00A46877">
        <w:rPr>
          <w:b/>
          <w:bCs/>
          <w:color w:val="0000CC"/>
          <w:sz w:val="19"/>
          <w:szCs w:val="19"/>
        </w:rPr>
        <w:t>20</w:t>
      </w:r>
      <w:r w:rsidR="005E1DFE">
        <w:rPr>
          <w:b/>
          <w:bCs/>
          <w:color w:val="0000CC"/>
          <w:sz w:val="19"/>
          <w:szCs w:val="19"/>
        </w:rPr>
        <w:t>)</w:t>
      </w:r>
      <w:r w:rsidR="005E1DFE" w:rsidRPr="007D02A7">
        <w:rPr>
          <w:b/>
          <w:bCs/>
          <w:color w:val="0000CC"/>
          <w:sz w:val="19"/>
          <w:szCs w:val="19"/>
        </w:rPr>
        <w:t>”</w:t>
      </w:r>
      <w:r>
        <w:t xml:space="preserve"> contados a partir del </w:t>
      </w:r>
      <w:r w:rsidR="00C21EBF">
        <w:t>diecisiete</w:t>
      </w:r>
      <w:r w:rsidRPr="00F43349">
        <w:t xml:space="preserve"> de noviembre de </w:t>
      </w:r>
      <w:r w:rsidR="00C21EBF">
        <w:t>dos mil diecisiete;</w:t>
      </w:r>
      <w:r>
        <w:t xml:space="preserve"> y </w:t>
      </w:r>
      <w:r w:rsidR="005E1DFE" w:rsidRPr="007D02A7">
        <w:rPr>
          <w:b/>
          <w:bCs/>
          <w:color w:val="0000CC"/>
          <w:sz w:val="19"/>
          <w:szCs w:val="19"/>
        </w:rPr>
        <w:t xml:space="preserve">“CONFIDENCIAL POR LEY </w:t>
      </w:r>
      <w:r w:rsidR="005E1DFE">
        <w:rPr>
          <w:b/>
          <w:bCs/>
          <w:color w:val="0000CC"/>
          <w:sz w:val="19"/>
          <w:szCs w:val="19"/>
        </w:rPr>
        <w:t>(</w:t>
      </w:r>
      <w:r w:rsidR="00A46877">
        <w:rPr>
          <w:b/>
          <w:bCs/>
          <w:color w:val="0000CC"/>
          <w:sz w:val="19"/>
          <w:szCs w:val="19"/>
        </w:rPr>
        <w:t>2</w:t>
      </w:r>
      <w:r w:rsidR="005E1DFE" w:rsidRPr="007D02A7">
        <w:rPr>
          <w:b/>
          <w:bCs/>
          <w:color w:val="0000CC"/>
          <w:sz w:val="19"/>
          <w:szCs w:val="19"/>
        </w:rPr>
        <w:t>1</w:t>
      </w:r>
      <w:r w:rsidR="005E1DFE">
        <w:rPr>
          <w:b/>
          <w:bCs/>
          <w:color w:val="0000CC"/>
          <w:sz w:val="19"/>
          <w:szCs w:val="19"/>
        </w:rPr>
        <w:t>)</w:t>
      </w:r>
      <w:r w:rsidR="005E1DFE" w:rsidRPr="007D02A7">
        <w:rPr>
          <w:b/>
          <w:bCs/>
          <w:color w:val="0000CC"/>
          <w:sz w:val="19"/>
          <w:szCs w:val="19"/>
        </w:rPr>
        <w:t>”</w:t>
      </w:r>
      <w:r>
        <w:t xml:space="preserve"> un monto </w:t>
      </w:r>
      <w:r w:rsidR="005E1DFE" w:rsidRPr="007D02A7">
        <w:rPr>
          <w:b/>
          <w:bCs/>
          <w:color w:val="0000CC"/>
          <w:sz w:val="19"/>
          <w:szCs w:val="19"/>
        </w:rPr>
        <w:t xml:space="preserve">“CONFIDENCIAL POR LEY </w:t>
      </w:r>
      <w:r w:rsidR="005E1DFE">
        <w:rPr>
          <w:b/>
          <w:bCs/>
          <w:color w:val="0000CC"/>
          <w:sz w:val="19"/>
          <w:szCs w:val="19"/>
        </w:rPr>
        <w:t>(</w:t>
      </w:r>
      <w:r w:rsidR="00A46877">
        <w:rPr>
          <w:b/>
          <w:bCs/>
          <w:color w:val="0000CC"/>
          <w:sz w:val="19"/>
          <w:szCs w:val="19"/>
        </w:rPr>
        <w:t>22</w:t>
      </w:r>
      <w:r w:rsidR="005E1DFE">
        <w:rPr>
          <w:b/>
          <w:bCs/>
          <w:color w:val="0000CC"/>
          <w:sz w:val="19"/>
          <w:szCs w:val="19"/>
        </w:rPr>
        <w:t>)</w:t>
      </w:r>
      <w:r w:rsidR="005E1DFE" w:rsidRPr="007D02A7">
        <w:rPr>
          <w:b/>
          <w:bCs/>
          <w:color w:val="0000CC"/>
          <w:sz w:val="19"/>
          <w:szCs w:val="19"/>
        </w:rPr>
        <w:t>”</w:t>
      </w:r>
      <w:r>
        <w:t xml:space="preserve"> de </w:t>
      </w:r>
      <w:bookmarkStart w:id="14" w:name="_Toc510429524"/>
      <w:bookmarkStart w:id="15" w:name="_Toc510440043"/>
      <w:bookmarkStart w:id="16" w:name="_Toc435697306"/>
      <w:bookmarkStart w:id="17" w:name="_Toc435697382"/>
      <w:bookmarkEnd w:id="14"/>
      <w:bookmarkEnd w:id="15"/>
      <w:r w:rsidR="005E1DFE" w:rsidRPr="007D02A7">
        <w:rPr>
          <w:b/>
          <w:bCs/>
          <w:color w:val="0000CC"/>
          <w:sz w:val="19"/>
          <w:szCs w:val="19"/>
        </w:rPr>
        <w:t xml:space="preserve">“CONFIDENCIAL POR LEY </w:t>
      </w:r>
      <w:r w:rsidR="005E1DFE">
        <w:rPr>
          <w:b/>
          <w:bCs/>
          <w:color w:val="0000CC"/>
          <w:sz w:val="19"/>
          <w:szCs w:val="19"/>
        </w:rPr>
        <w:t>(</w:t>
      </w:r>
      <w:r w:rsidR="00A46877">
        <w:rPr>
          <w:b/>
          <w:bCs/>
          <w:color w:val="0000CC"/>
          <w:sz w:val="19"/>
          <w:szCs w:val="19"/>
        </w:rPr>
        <w:t>23</w:t>
      </w:r>
      <w:r w:rsidR="005E1DFE">
        <w:rPr>
          <w:b/>
          <w:bCs/>
          <w:color w:val="0000CC"/>
          <w:sz w:val="19"/>
          <w:szCs w:val="19"/>
        </w:rPr>
        <w:t>)</w:t>
      </w:r>
      <w:r w:rsidR="005E1DFE" w:rsidRPr="007D02A7">
        <w:rPr>
          <w:b/>
          <w:bCs/>
          <w:color w:val="0000CC"/>
          <w:sz w:val="19"/>
          <w:szCs w:val="19"/>
        </w:rPr>
        <w:t>”</w:t>
      </w:r>
      <w:r w:rsidR="00424CCF">
        <w:t>.</w:t>
      </w:r>
    </w:p>
    <w:p w14:paraId="7712EDCB" w14:textId="24AAFDD9" w:rsidR="008C49E8" w:rsidRPr="004B1E7C" w:rsidRDefault="00831174" w:rsidP="004B1E7C">
      <w:pPr>
        <w:rPr>
          <w:b/>
        </w:rPr>
      </w:pPr>
      <w:bookmarkStart w:id="18" w:name="_Toc511061402"/>
      <w:r w:rsidRPr="004B1E7C">
        <w:rPr>
          <w:b/>
        </w:rPr>
        <w:t>O</w:t>
      </w:r>
      <w:r w:rsidR="008C49E8" w:rsidRPr="004B1E7C">
        <w:rPr>
          <w:b/>
        </w:rPr>
        <w:t>bjetivos de la Operación</w:t>
      </w:r>
      <w:bookmarkEnd w:id="16"/>
      <w:bookmarkEnd w:id="17"/>
      <w:bookmarkEnd w:id="18"/>
    </w:p>
    <w:p w14:paraId="2C39785D" w14:textId="214C2A39" w:rsidR="008C49E8" w:rsidRPr="002074CC" w:rsidRDefault="008C49E8" w:rsidP="00E04A5D">
      <w:pPr>
        <w:pStyle w:val="Prrafodelista"/>
        <w:spacing w:after="120" w:line="276" w:lineRule="auto"/>
        <w:ind w:left="0" w:right="-1"/>
        <w:contextualSpacing w:val="0"/>
      </w:pPr>
      <w:r w:rsidRPr="002074CC">
        <w:t>Las Partes mencionaron que la racionalidad de la Operación estriba en los siguientes elementos:</w:t>
      </w:r>
      <w:r w:rsidRPr="002074CC">
        <w:rPr>
          <w:vertAlign w:val="superscript"/>
        </w:rPr>
        <w:footnoteReference w:id="10"/>
      </w:r>
    </w:p>
    <w:p w14:paraId="33CB45C0" w14:textId="3ACE46E5" w:rsidR="00E04A5D" w:rsidRPr="002074CC" w:rsidRDefault="00A46877" w:rsidP="00A46877">
      <w:pPr>
        <w:pStyle w:val="Prrafodelista"/>
        <w:spacing w:after="120" w:line="276" w:lineRule="auto"/>
        <w:ind w:left="567"/>
        <w:contextualSpacing w:val="0"/>
        <w:rPr>
          <w:rFonts w:eastAsia="Times New Roman"/>
          <w:i/>
          <w:color w:val="000000"/>
          <w:lang w:val="es-MX"/>
        </w:rPr>
      </w:pPr>
      <w:r>
        <w:rPr>
          <w:b/>
          <w:bCs/>
          <w:color w:val="0000CC"/>
          <w:sz w:val="19"/>
          <w:szCs w:val="19"/>
        </w:rPr>
        <w:t>“CONFIDENCIAL POR LEY (24</w:t>
      </w:r>
      <w:r w:rsidR="002074CC" w:rsidRPr="002074CC">
        <w:rPr>
          <w:b/>
          <w:bCs/>
          <w:color w:val="0000CC"/>
          <w:sz w:val="19"/>
          <w:szCs w:val="19"/>
        </w:rPr>
        <w:t>)”</w:t>
      </w:r>
    </w:p>
    <w:p w14:paraId="5FA5742C" w14:textId="77777777" w:rsidR="00C939EA" w:rsidRPr="002074CC" w:rsidRDefault="00C939EA" w:rsidP="00C939EA">
      <w:pPr>
        <w:pStyle w:val="Ttulo2"/>
        <w:spacing w:before="240"/>
      </w:pPr>
      <w:bookmarkStart w:id="19" w:name="_Toc511061403"/>
      <w:r w:rsidRPr="002074CC">
        <w:t>CUARTO. Descripción de las Partes involucradas en la Operación</w:t>
      </w:r>
      <w:bookmarkEnd w:id="19"/>
    </w:p>
    <w:p w14:paraId="6966984B" w14:textId="77777777" w:rsidR="00C939EA" w:rsidRPr="001C6B1E" w:rsidRDefault="00C939EA" w:rsidP="001C6B1E">
      <w:pPr>
        <w:pStyle w:val="Prrafodelista"/>
        <w:spacing w:after="120" w:line="276" w:lineRule="auto"/>
        <w:ind w:left="0"/>
        <w:contextualSpacing w:val="0"/>
        <w:rPr>
          <w:rFonts w:eastAsia="Times New Roman"/>
          <w:color w:val="000000"/>
          <w:lang w:val="es-MX"/>
        </w:rPr>
      </w:pPr>
      <w:r w:rsidRPr="002074CC">
        <w:rPr>
          <w:rFonts w:eastAsia="Times New Roman"/>
          <w:color w:val="000000"/>
          <w:lang w:val="es-MX"/>
        </w:rPr>
        <w:t>En las siguientes secciones se presentan las estructuras del capital social y las actividades económicas que realizan</w:t>
      </w:r>
      <w:r w:rsidRPr="001C6B1E">
        <w:rPr>
          <w:rFonts w:eastAsia="Times New Roman"/>
          <w:color w:val="000000"/>
          <w:lang w:val="es-MX"/>
        </w:rPr>
        <w:t xml:space="preserve"> los Vendedores,</w:t>
      </w:r>
      <w:r w:rsidR="008725D0" w:rsidRPr="001C6B1E">
        <w:rPr>
          <w:rFonts w:eastAsia="Times New Roman"/>
          <w:color w:val="000000"/>
          <w:lang w:val="es-MX"/>
        </w:rPr>
        <w:t xml:space="preserve"> </w:t>
      </w:r>
      <w:r w:rsidR="007E0D49" w:rsidRPr="001C6B1E">
        <w:rPr>
          <w:rFonts w:eastAsia="Times New Roman"/>
          <w:color w:val="000000"/>
          <w:lang w:val="es-MX"/>
        </w:rPr>
        <w:t>las Sociedades Adquiridas y los Compradores</w:t>
      </w:r>
      <w:r w:rsidR="008725D0" w:rsidRPr="001C6B1E">
        <w:rPr>
          <w:rFonts w:eastAsia="Times New Roman"/>
          <w:color w:val="000000"/>
          <w:lang w:val="es-MX"/>
        </w:rPr>
        <w:t>,</w:t>
      </w:r>
      <w:r w:rsidRPr="001C6B1E">
        <w:rPr>
          <w:rFonts w:eastAsia="Times New Roman"/>
          <w:color w:val="000000"/>
          <w:lang w:val="es-MX"/>
        </w:rPr>
        <w:t xml:space="preserve"> así como las personas relacionadas con éstos.</w:t>
      </w:r>
    </w:p>
    <w:p w14:paraId="1FED6D0F" w14:textId="77777777" w:rsidR="00125707" w:rsidRPr="004B1E7C" w:rsidRDefault="00E1564A" w:rsidP="004B1E7C">
      <w:pPr>
        <w:rPr>
          <w:b/>
        </w:rPr>
      </w:pPr>
      <w:bookmarkStart w:id="20" w:name="_Toc510429527"/>
      <w:bookmarkStart w:id="21" w:name="_Toc510440046"/>
      <w:bookmarkStart w:id="22" w:name="_Toc511061404"/>
      <w:bookmarkEnd w:id="20"/>
      <w:bookmarkEnd w:id="21"/>
      <w:r w:rsidRPr="004B1E7C">
        <w:rPr>
          <w:b/>
        </w:rPr>
        <w:t xml:space="preserve">4.1. </w:t>
      </w:r>
      <w:r w:rsidR="00125707" w:rsidRPr="004B1E7C">
        <w:rPr>
          <w:b/>
        </w:rPr>
        <w:t>Los Vendedores</w:t>
      </w:r>
      <w:bookmarkEnd w:id="22"/>
    </w:p>
    <w:p w14:paraId="727D9CEE" w14:textId="77777777" w:rsidR="00125707" w:rsidRPr="004B1E7C" w:rsidRDefault="00E1564A" w:rsidP="004B1E7C">
      <w:pPr>
        <w:rPr>
          <w:b/>
        </w:rPr>
      </w:pPr>
      <w:bookmarkStart w:id="23" w:name="_Toc511061405"/>
      <w:r w:rsidRPr="004B1E7C">
        <w:rPr>
          <w:b/>
        </w:rPr>
        <w:lastRenderedPageBreak/>
        <w:t xml:space="preserve">4.1.1. </w:t>
      </w:r>
      <w:r w:rsidR="00125707" w:rsidRPr="004B1E7C">
        <w:rPr>
          <w:b/>
        </w:rPr>
        <w:t>KIO</w:t>
      </w:r>
      <w:bookmarkEnd w:id="23"/>
    </w:p>
    <w:p w14:paraId="57FA5769" w14:textId="77777777" w:rsidR="0030526C" w:rsidRPr="005862AB" w:rsidRDefault="005862AB" w:rsidP="001C6B1E">
      <w:pPr>
        <w:pStyle w:val="Prrafodelista"/>
        <w:spacing w:after="120" w:line="276" w:lineRule="auto"/>
        <w:ind w:left="0"/>
        <w:contextualSpacing w:val="0"/>
        <w:rPr>
          <w:rFonts w:eastAsia="Times New Roman"/>
          <w:color w:val="000000"/>
          <w:lang w:val="es-MX"/>
        </w:rPr>
      </w:pPr>
      <w:r w:rsidRPr="005862AB">
        <w:rPr>
          <w:rFonts w:eastAsia="Times New Roman"/>
          <w:color w:val="000000"/>
          <w:lang w:val="es-MX"/>
        </w:rPr>
        <w:t>KIO</w:t>
      </w:r>
      <w:r w:rsidR="0030526C" w:rsidRPr="005862AB">
        <w:rPr>
          <w:rFonts w:eastAsia="Times New Roman"/>
          <w:color w:val="000000"/>
          <w:lang w:val="es-MX"/>
        </w:rPr>
        <w:t xml:space="preserve"> es una sociedad constituida conforme a las leyes mexicanas, según consta en la escritura pública de fecha </w:t>
      </w:r>
      <w:r w:rsidR="00FE38DD">
        <w:rPr>
          <w:rFonts w:eastAsia="Times New Roman"/>
          <w:color w:val="000000"/>
          <w:lang w:val="es-MX"/>
        </w:rPr>
        <w:t>veintitrés</w:t>
      </w:r>
      <w:r w:rsidR="0030526C" w:rsidRPr="005862AB">
        <w:rPr>
          <w:rFonts w:eastAsia="Times New Roman"/>
          <w:color w:val="000000"/>
          <w:lang w:val="es-MX"/>
        </w:rPr>
        <w:t xml:space="preserve"> de </w:t>
      </w:r>
      <w:r w:rsidRPr="005862AB">
        <w:rPr>
          <w:rFonts w:eastAsia="Times New Roman"/>
          <w:color w:val="000000"/>
          <w:lang w:val="es-MX"/>
        </w:rPr>
        <w:t>marzo</w:t>
      </w:r>
      <w:r w:rsidR="0030526C" w:rsidRPr="005862AB">
        <w:rPr>
          <w:rFonts w:eastAsia="Times New Roman"/>
          <w:color w:val="000000"/>
          <w:lang w:val="es-MX"/>
        </w:rPr>
        <w:t xml:space="preserve"> de </w:t>
      </w:r>
      <w:r w:rsidR="00FE38DD">
        <w:rPr>
          <w:rFonts w:eastAsia="Times New Roman"/>
          <w:color w:val="000000"/>
          <w:lang w:val="es-MX"/>
        </w:rPr>
        <w:t>dos mil uno</w:t>
      </w:r>
      <w:r w:rsidR="0030526C" w:rsidRPr="005862AB">
        <w:rPr>
          <w:rFonts w:eastAsia="Times New Roman"/>
          <w:color w:val="000000"/>
          <w:lang w:val="es-MX"/>
        </w:rPr>
        <w:t>.</w:t>
      </w:r>
      <w:r w:rsidR="0030526C" w:rsidRPr="005862AB">
        <w:rPr>
          <w:rFonts w:eastAsia="Times New Roman"/>
          <w:color w:val="000000"/>
          <w:vertAlign w:val="superscript"/>
          <w:lang w:val="es-MX"/>
        </w:rPr>
        <w:footnoteReference w:id="11"/>
      </w:r>
    </w:p>
    <w:p w14:paraId="39F84836" w14:textId="77777777" w:rsidR="0030526C" w:rsidRPr="005862AB" w:rsidRDefault="0030526C" w:rsidP="001C6B1E">
      <w:pPr>
        <w:pStyle w:val="Prrafodelista"/>
        <w:spacing w:after="120" w:line="276" w:lineRule="auto"/>
        <w:ind w:left="0"/>
        <w:contextualSpacing w:val="0"/>
        <w:rPr>
          <w:rFonts w:eastAsia="Times New Roman"/>
          <w:color w:val="000000"/>
          <w:lang w:val="es-MX"/>
        </w:rPr>
      </w:pPr>
      <w:r w:rsidRPr="005862AB">
        <w:rPr>
          <w:rFonts w:eastAsia="Times New Roman"/>
          <w:color w:val="000000"/>
          <w:lang w:val="es-MX"/>
        </w:rPr>
        <w:t xml:space="preserve">Los principales accionistas de </w:t>
      </w:r>
      <w:r w:rsidR="005862AB" w:rsidRPr="005862AB">
        <w:rPr>
          <w:rFonts w:eastAsia="Times New Roman"/>
          <w:color w:val="000000"/>
          <w:lang w:val="es-MX"/>
        </w:rPr>
        <w:t>KIO</w:t>
      </w:r>
      <w:r w:rsidRPr="005862AB">
        <w:rPr>
          <w:rFonts w:eastAsia="Times New Roman"/>
          <w:color w:val="000000"/>
          <w:lang w:val="es-MX"/>
        </w:rPr>
        <w:t xml:space="preserve"> son </w:t>
      </w:r>
      <w:r w:rsidR="00E128CA">
        <w:rPr>
          <w:rFonts w:eastAsia="Times New Roman"/>
          <w:color w:val="000000"/>
          <w:lang w:val="es-MX"/>
        </w:rPr>
        <w:t xml:space="preserve">las </w:t>
      </w:r>
      <w:r w:rsidRPr="005862AB">
        <w:rPr>
          <w:rFonts w:eastAsia="Times New Roman"/>
          <w:color w:val="000000"/>
          <w:lang w:val="es-MX"/>
        </w:rPr>
        <w:t xml:space="preserve">personas </w:t>
      </w:r>
      <w:r w:rsidR="005862AB" w:rsidRPr="005862AB">
        <w:rPr>
          <w:rFonts w:eastAsia="Times New Roman"/>
          <w:color w:val="000000"/>
          <w:lang w:val="es-MX"/>
        </w:rPr>
        <w:t xml:space="preserve">que se </w:t>
      </w:r>
      <w:r w:rsidR="00FE38DD">
        <w:rPr>
          <w:rFonts w:eastAsia="Times New Roman"/>
          <w:color w:val="000000"/>
          <w:lang w:val="es-MX"/>
        </w:rPr>
        <w:t xml:space="preserve">listan </w:t>
      </w:r>
      <w:r w:rsidRPr="005862AB">
        <w:rPr>
          <w:rFonts w:eastAsia="Times New Roman"/>
          <w:color w:val="000000"/>
          <w:lang w:val="es-MX"/>
        </w:rPr>
        <w:t xml:space="preserve">en el siguiente cuadro. La estructura accionaria de </w:t>
      </w:r>
      <w:r w:rsidR="005862AB" w:rsidRPr="005862AB">
        <w:rPr>
          <w:rFonts w:eastAsia="Times New Roman"/>
          <w:color w:val="000000"/>
          <w:lang w:val="es-MX"/>
        </w:rPr>
        <w:t>KIO</w:t>
      </w:r>
      <w:r w:rsidRPr="005862AB">
        <w:rPr>
          <w:rFonts w:eastAsia="Times New Roman"/>
          <w:color w:val="000000"/>
          <w:lang w:val="es-MX"/>
        </w:rPr>
        <w:t xml:space="preserve"> no se modific</w:t>
      </w:r>
      <w:r w:rsidR="005862AB" w:rsidRPr="005862AB">
        <w:rPr>
          <w:rFonts w:eastAsia="Times New Roman"/>
          <w:color w:val="000000"/>
          <w:lang w:val="es-MX"/>
        </w:rPr>
        <w:t>ó</w:t>
      </w:r>
      <w:r w:rsidRPr="005862AB">
        <w:rPr>
          <w:rFonts w:eastAsia="Times New Roman"/>
          <w:color w:val="000000"/>
          <w:lang w:val="es-MX"/>
        </w:rPr>
        <w:t xml:space="preserve"> en virtud de la Operación.</w:t>
      </w:r>
    </w:p>
    <w:p w14:paraId="04F71D22" w14:textId="5EA77F59" w:rsidR="0030526C" w:rsidRPr="005862AB" w:rsidRDefault="0030526C" w:rsidP="000763D4">
      <w:pPr>
        <w:pStyle w:val="Sinespaciado"/>
        <w:keepNext/>
        <w:numPr>
          <w:ilvl w:val="0"/>
          <w:numId w:val="24"/>
        </w:numPr>
        <w:spacing w:before="120" w:after="120" w:line="276" w:lineRule="auto"/>
        <w:ind w:right="567" w:hanging="1287"/>
        <w:jc w:val="both"/>
        <w:rPr>
          <w:rFonts w:ascii="ITC Avant Garde" w:hAnsi="ITC Avant Garde"/>
          <w:b/>
        </w:rPr>
      </w:pPr>
      <w:r w:rsidRPr="005862AB">
        <w:rPr>
          <w:rFonts w:ascii="ITC Avant Garde" w:hAnsi="ITC Avant Garde"/>
          <w:b/>
        </w:rPr>
        <w:t xml:space="preserve">Accionistas de </w:t>
      </w:r>
      <w:r w:rsidR="005862AB" w:rsidRPr="005862AB">
        <w:rPr>
          <w:rFonts w:ascii="ITC Avant Garde" w:hAnsi="ITC Avant Garde"/>
          <w:b/>
        </w:rPr>
        <w:t>KIO</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Cuadro 1"/>
        <w:tblDescription w:val="Presenta la participación accionaria de los accionistas de KIO"/>
      </w:tblPr>
      <w:tblGrid>
        <w:gridCol w:w="5524"/>
        <w:gridCol w:w="2976"/>
      </w:tblGrid>
      <w:tr w:rsidR="00F713FF" w:rsidRPr="008523DB" w14:paraId="13EE7CD3" w14:textId="77777777" w:rsidTr="00FC73A3">
        <w:trPr>
          <w:trHeight w:val="223"/>
          <w:tblHeader/>
          <w:jc w:val="center"/>
        </w:trPr>
        <w:tc>
          <w:tcPr>
            <w:tcW w:w="5524" w:type="dxa"/>
            <w:vMerge w:val="restart"/>
            <w:shd w:val="clear" w:color="auto" w:fill="92D050"/>
            <w:noWrap/>
            <w:vAlign w:val="center"/>
            <w:hideMark/>
          </w:tcPr>
          <w:p w14:paraId="172548D7" w14:textId="78BC4372" w:rsidR="00F713FF" w:rsidRPr="008523DB" w:rsidRDefault="00F713FF" w:rsidP="008523DB">
            <w:pPr>
              <w:keepNext/>
              <w:spacing w:before="0" w:after="0" w:line="240" w:lineRule="auto"/>
              <w:jc w:val="center"/>
              <w:rPr>
                <w:rFonts w:eastAsia="Times New Roman"/>
                <w:b/>
                <w:bCs/>
                <w:sz w:val="18"/>
                <w:szCs w:val="18"/>
              </w:rPr>
            </w:pPr>
            <w:r w:rsidRPr="008523DB">
              <w:rPr>
                <w:rFonts w:eastAsia="Times New Roman"/>
                <w:b/>
                <w:bCs/>
                <w:sz w:val="18"/>
                <w:szCs w:val="18"/>
              </w:rPr>
              <w:t>Accionista</w:t>
            </w:r>
          </w:p>
        </w:tc>
        <w:tc>
          <w:tcPr>
            <w:tcW w:w="2976" w:type="dxa"/>
            <w:vMerge w:val="restart"/>
            <w:shd w:val="clear" w:color="auto" w:fill="92D050"/>
            <w:noWrap/>
            <w:vAlign w:val="center"/>
            <w:hideMark/>
          </w:tcPr>
          <w:p w14:paraId="0C682F62" w14:textId="77777777" w:rsidR="00F713FF" w:rsidRPr="008523DB" w:rsidRDefault="00F713FF" w:rsidP="008523DB">
            <w:pPr>
              <w:keepNext/>
              <w:spacing w:before="0" w:after="0" w:line="240" w:lineRule="auto"/>
              <w:jc w:val="center"/>
              <w:rPr>
                <w:rFonts w:eastAsia="Times New Roman"/>
                <w:b/>
                <w:bCs/>
                <w:sz w:val="18"/>
                <w:szCs w:val="18"/>
              </w:rPr>
            </w:pPr>
            <w:r w:rsidRPr="008523DB">
              <w:rPr>
                <w:rFonts w:eastAsia="Times New Roman"/>
                <w:b/>
                <w:bCs/>
                <w:sz w:val="18"/>
                <w:szCs w:val="18"/>
              </w:rPr>
              <w:t>Participación (%)</w:t>
            </w:r>
          </w:p>
        </w:tc>
      </w:tr>
      <w:tr w:rsidR="00F713FF" w:rsidRPr="005E4056" w14:paraId="71655C3D" w14:textId="77777777" w:rsidTr="00FC73A3">
        <w:trPr>
          <w:trHeight w:val="256"/>
          <w:tblHeader/>
          <w:jc w:val="center"/>
        </w:trPr>
        <w:tc>
          <w:tcPr>
            <w:tcW w:w="5524" w:type="dxa"/>
            <w:vMerge/>
            <w:shd w:val="clear" w:color="auto" w:fill="92D050"/>
            <w:noWrap/>
            <w:vAlign w:val="center"/>
          </w:tcPr>
          <w:p w14:paraId="3F37634C" w14:textId="77777777" w:rsidR="00F713FF" w:rsidRPr="005E4056" w:rsidRDefault="00F713FF" w:rsidP="00856CAF">
            <w:pPr>
              <w:spacing w:before="0" w:after="0"/>
              <w:jc w:val="center"/>
              <w:rPr>
                <w:rFonts w:eastAsia="Times New Roman"/>
                <w:b/>
                <w:color w:val="000000"/>
                <w:sz w:val="18"/>
                <w:szCs w:val="18"/>
                <w:highlight w:val="yellow"/>
              </w:rPr>
            </w:pPr>
          </w:p>
        </w:tc>
        <w:tc>
          <w:tcPr>
            <w:tcW w:w="2976" w:type="dxa"/>
            <w:vMerge/>
            <w:shd w:val="clear" w:color="auto" w:fill="92D050"/>
            <w:noWrap/>
            <w:vAlign w:val="center"/>
          </w:tcPr>
          <w:p w14:paraId="4AE940BC" w14:textId="77777777" w:rsidR="00F713FF" w:rsidRPr="005E4056" w:rsidRDefault="00F713FF" w:rsidP="00856CAF">
            <w:pPr>
              <w:spacing w:before="0" w:after="0"/>
              <w:jc w:val="center"/>
              <w:rPr>
                <w:rFonts w:eastAsia="Times New Roman"/>
                <w:b/>
                <w:color w:val="000000"/>
                <w:sz w:val="18"/>
                <w:szCs w:val="18"/>
                <w:highlight w:val="yellow"/>
              </w:rPr>
            </w:pPr>
          </w:p>
        </w:tc>
      </w:tr>
      <w:tr w:rsidR="00F713FF" w:rsidRPr="00F713FF" w14:paraId="6BBF3DF8" w14:textId="77777777" w:rsidTr="00FC73A3">
        <w:trPr>
          <w:trHeight w:val="20"/>
          <w:jc w:val="center"/>
        </w:trPr>
        <w:tc>
          <w:tcPr>
            <w:tcW w:w="5524" w:type="dxa"/>
            <w:shd w:val="clear" w:color="auto" w:fill="auto"/>
            <w:noWrap/>
            <w:vAlign w:val="center"/>
          </w:tcPr>
          <w:p w14:paraId="5890783C" w14:textId="38FDFF74" w:rsidR="00F713FF" w:rsidRPr="00E128CA" w:rsidRDefault="002074CC" w:rsidP="00A46877">
            <w:pPr>
              <w:spacing w:before="0" w:after="0"/>
              <w:jc w:val="left"/>
              <w:rPr>
                <w:rFonts w:eastAsia="Times New Roman"/>
                <w:b/>
                <w:color w:val="000000"/>
                <w:sz w:val="18"/>
                <w:szCs w:val="18"/>
                <w:highlight w:val="cyan"/>
              </w:rPr>
            </w:pPr>
            <w:r w:rsidRPr="007D02A7">
              <w:rPr>
                <w:b/>
                <w:bCs/>
                <w:color w:val="0000CC"/>
                <w:sz w:val="19"/>
                <w:szCs w:val="19"/>
              </w:rPr>
              <w:t xml:space="preserve">“CONFIDENCIAL POR LEY </w:t>
            </w:r>
            <w:r>
              <w:rPr>
                <w:b/>
                <w:bCs/>
                <w:color w:val="0000CC"/>
                <w:sz w:val="19"/>
                <w:szCs w:val="19"/>
              </w:rPr>
              <w:t>(</w:t>
            </w:r>
            <w:r w:rsidR="00A46877">
              <w:rPr>
                <w:b/>
                <w:bCs/>
                <w:color w:val="0000CC"/>
                <w:sz w:val="19"/>
                <w:szCs w:val="19"/>
              </w:rPr>
              <w:t>25</w:t>
            </w:r>
            <w:r>
              <w:rPr>
                <w:b/>
                <w:bCs/>
                <w:color w:val="0000CC"/>
                <w:sz w:val="19"/>
                <w:szCs w:val="19"/>
              </w:rPr>
              <w:t>)</w:t>
            </w:r>
            <w:r w:rsidRPr="007D02A7">
              <w:rPr>
                <w:b/>
                <w:bCs/>
                <w:color w:val="0000CC"/>
                <w:sz w:val="19"/>
                <w:szCs w:val="19"/>
              </w:rPr>
              <w:t>”</w:t>
            </w:r>
          </w:p>
        </w:tc>
        <w:tc>
          <w:tcPr>
            <w:tcW w:w="2976" w:type="dxa"/>
            <w:shd w:val="clear" w:color="auto" w:fill="auto"/>
            <w:noWrap/>
            <w:vAlign w:val="center"/>
          </w:tcPr>
          <w:p w14:paraId="39617B2D" w14:textId="2E9902C1" w:rsidR="00F713FF" w:rsidRPr="00F713FF" w:rsidRDefault="002074CC" w:rsidP="00A46877">
            <w:pPr>
              <w:spacing w:before="0" w:after="0"/>
              <w:jc w:val="right"/>
              <w:rPr>
                <w:rFonts w:eastAsia="Times New Roman"/>
                <w:b/>
                <w:color w:val="000000"/>
                <w:sz w:val="18"/>
                <w:szCs w:val="18"/>
              </w:rPr>
            </w:pPr>
            <w:r w:rsidRPr="007D02A7">
              <w:rPr>
                <w:b/>
                <w:bCs/>
                <w:color w:val="0000CC"/>
                <w:sz w:val="19"/>
                <w:szCs w:val="19"/>
              </w:rPr>
              <w:t xml:space="preserve">“CONFIDENCIAL POR LEY </w:t>
            </w:r>
            <w:r>
              <w:rPr>
                <w:b/>
                <w:bCs/>
                <w:color w:val="0000CC"/>
                <w:sz w:val="19"/>
                <w:szCs w:val="19"/>
              </w:rPr>
              <w:t>(</w:t>
            </w:r>
            <w:r w:rsidR="00A46877">
              <w:rPr>
                <w:b/>
                <w:bCs/>
                <w:color w:val="0000CC"/>
                <w:sz w:val="19"/>
                <w:szCs w:val="19"/>
              </w:rPr>
              <w:t>26</w:t>
            </w:r>
            <w:r>
              <w:rPr>
                <w:b/>
                <w:bCs/>
                <w:color w:val="0000CC"/>
                <w:sz w:val="19"/>
                <w:szCs w:val="19"/>
              </w:rPr>
              <w:t>)</w:t>
            </w:r>
            <w:r w:rsidRPr="007D02A7">
              <w:rPr>
                <w:b/>
                <w:bCs/>
                <w:color w:val="0000CC"/>
                <w:sz w:val="19"/>
                <w:szCs w:val="19"/>
              </w:rPr>
              <w:t>”</w:t>
            </w:r>
          </w:p>
        </w:tc>
      </w:tr>
      <w:tr w:rsidR="002074CC" w:rsidRPr="005E4056" w14:paraId="376F7678" w14:textId="77777777" w:rsidTr="00FC73A3">
        <w:trPr>
          <w:trHeight w:val="20"/>
          <w:jc w:val="center"/>
        </w:trPr>
        <w:tc>
          <w:tcPr>
            <w:tcW w:w="5524" w:type="dxa"/>
            <w:shd w:val="clear" w:color="auto" w:fill="auto"/>
            <w:noWrap/>
            <w:vAlign w:val="center"/>
          </w:tcPr>
          <w:p w14:paraId="22B93E05" w14:textId="3484E3AB" w:rsidR="002074CC" w:rsidRPr="00F713FF" w:rsidRDefault="002074CC" w:rsidP="002074CC">
            <w:pPr>
              <w:spacing w:before="0" w:after="0"/>
              <w:jc w:val="left"/>
              <w:rPr>
                <w:rFonts w:eastAsia="Times New Roman"/>
                <w:color w:val="000000"/>
                <w:sz w:val="18"/>
                <w:szCs w:val="18"/>
              </w:rPr>
            </w:pPr>
            <w:r w:rsidRPr="00F713FF">
              <w:rPr>
                <w:rFonts w:eastAsia="Times New Roman"/>
                <w:color w:val="000000"/>
                <w:sz w:val="18"/>
                <w:szCs w:val="18"/>
              </w:rPr>
              <w:t xml:space="preserve">LSC </w:t>
            </w:r>
            <w:proofErr w:type="spellStart"/>
            <w:r w:rsidRPr="00F713FF">
              <w:rPr>
                <w:rFonts w:eastAsia="Times New Roman"/>
                <w:color w:val="000000"/>
                <w:sz w:val="18"/>
                <w:szCs w:val="18"/>
              </w:rPr>
              <w:t>Ventures</w:t>
            </w:r>
            <w:proofErr w:type="spellEnd"/>
            <w:r w:rsidRPr="00F713FF">
              <w:rPr>
                <w:rFonts w:eastAsia="Times New Roman"/>
                <w:color w:val="000000"/>
                <w:sz w:val="18"/>
                <w:szCs w:val="18"/>
              </w:rPr>
              <w:t>, S. de R.L. de C.V.</w:t>
            </w:r>
          </w:p>
        </w:tc>
        <w:tc>
          <w:tcPr>
            <w:tcW w:w="2976" w:type="dxa"/>
            <w:shd w:val="clear" w:color="auto" w:fill="auto"/>
            <w:noWrap/>
          </w:tcPr>
          <w:p w14:paraId="378D0116" w14:textId="0E8FE907" w:rsidR="002074CC" w:rsidRPr="00E128CA" w:rsidRDefault="00FC73A3" w:rsidP="002074CC">
            <w:pPr>
              <w:spacing w:before="0" w:after="0"/>
              <w:jc w:val="right"/>
              <w:rPr>
                <w:rFonts w:eastAsia="Times New Roman"/>
                <w:color w:val="000000"/>
                <w:sz w:val="18"/>
                <w:szCs w:val="18"/>
                <w:highlight w:val="cyan"/>
              </w:rPr>
            </w:pPr>
            <w:r>
              <w:rPr>
                <w:b/>
                <w:bCs/>
                <w:color w:val="0000CC"/>
                <w:sz w:val="19"/>
                <w:szCs w:val="19"/>
              </w:rPr>
              <w:t>“CONFIDENCIAL POR LEY (27</w:t>
            </w:r>
            <w:r w:rsidR="002074CC" w:rsidRPr="006D395F">
              <w:rPr>
                <w:b/>
                <w:bCs/>
                <w:color w:val="0000CC"/>
                <w:sz w:val="19"/>
                <w:szCs w:val="19"/>
              </w:rPr>
              <w:t>)”</w:t>
            </w:r>
          </w:p>
        </w:tc>
      </w:tr>
      <w:tr w:rsidR="002074CC" w:rsidRPr="00E128CA" w14:paraId="3AF0804E" w14:textId="77777777" w:rsidTr="00FC73A3">
        <w:trPr>
          <w:trHeight w:val="20"/>
          <w:jc w:val="center"/>
        </w:trPr>
        <w:tc>
          <w:tcPr>
            <w:tcW w:w="5524" w:type="dxa"/>
            <w:shd w:val="clear" w:color="auto" w:fill="auto"/>
            <w:noWrap/>
          </w:tcPr>
          <w:p w14:paraId="4A20AC64" w14:textId="276F7668" w:rsidR="002074CC" w:rsidRPr="00E128CA" w:rsidRDefault="002074CC" w:rsidP="00FC73A3">
            <w:pPr>
              <w:spacing w:before="0" w:after="0"/>
              <w:jc w:val="left"/>
              <w:rPr>
                <w:rFonts w:eastAsia="Times New Roman"/>
                <w:color w:val="000000"/>
                <w:sz w:val="18"/>
                <w:szCs w:val="18"/>
                <w:highlight w:val="cyan"/>
              </w:rPr>
            </w:pPr>
            <w:r w:rsidRPr="00E7723C">
              <w:rPr>
                <w:b/>
                <w:bCs/>
                <w:color w:val="0000CC"/>
                <w:sz w:val="19"/>
                <w:szCs w:val="19"/>
              </w:rPr>
              <w:t>“CONFIDENCIAL POR LEY (</w:t>
            </w:r>
            <w:r w:rsidR="00FC73A3">
              <w:rPr>
                <w:b/>
                <w:bCs/>
                <w:color w:val="0000CC"/>
                <w:sz w:val="19"/>
                <w:szCs w:val="19"/>
              </w:rPr>
              <w:t>28</w:t>
            </w:r>
            <w:r w:rsidRPr="00E7723C">
              <w:rPr>
                <w:b/>
                <w:bCs/>
                <w:color w:val="0000CC"/>
                <w:sz w:val="19"/>
                <w:szCs w:val="19"/>
              </w:rPr>
              <w:t>)”</w:t>
            </w:r>
          </w:p>
        </w:tc>
        <w:tc>
          <w:tcPr>
            <w:tcW w:w="2976" w:type="dxa"/>
            <w:shd w:val="clear" w:color="auto" w:fill="auto"/>
            <w:noWrap/>
          </w:tcPr>
          <w:p w14:paraId="62824727" w14:textId="22356FF8" w:rsidR="002074CC" w:rsidRPr="00E128CA" w:rsidRDefault="00FC73A3" w:rsidP="002074CC">
            <w:pPr>
              <w:spacing w:before="0" w:after="0"/>
              <w:jc w:val="right"/>
              <w:rPr>
                <w:rFonts w:eastAsia="Times New Roman"/>
                <w:color w:val="000000"/>
                <w:sz w:val="18"/>
                <w:szCs w:val="18"/>
                <w:highlight w:val="cyan"/>
              </w:rPr>
            </w:pPr>
            <w:r>
              <w:rPr>
                <w:b/>
                <w:bCs/>
                <w:color w:val="0000CC"/>
                <w:sz w:val="19"/>
                <w:szCs w:val="19"/>
              </w:rPr>
              <w:t>“CONFIDENCIAL POR LEY (29</w:t>
            </w:r>
            <w:r w:rsidR="002074CC" w:rsidRPr="006D395F">
              <w:rPr>
                <w:b/>
                <w:bCs/>
                <w:color w:val="0000CC"/>
                <w:sz w:val="19"/>
                <w:szCs w:val="19"/>
              </w:rPr>
              <w:t>)”</w:t>
            </w:r>
          </w:p>
        </w:tc>
      </w:tr>
      <w:tr w:rsidR="002074CC" w:rsidRPr="005E4056" w14:paraId="104D0590" w14:textId="77777777" w:rsidTr="00FC73A3">
        <w:trPr>
          <w:trHeight w:val="20"/>
          <w:jc w:val="center"/>
        </w:trPr>
        <w:tc>
          <w:tcPr>
            <w:tcW w:w="5524" w:type="dxa"/>
            <w:shd w:val="clear" w:color="auto" w:fill="auto"/>
            <w:noWrap/>
          </w:tcPr>
          <w:p w14:paraId="377701B5" w14:textId="467904DD" w:rsidR="002074CC" w:rsidRPr="00E128CA" w:rsidRDefault="00FC73A3" w:rsidP="002074CC">
            <w:pPr>
              <w:spacing w:before="0" w:after="0"/>
              <w:jc w:val="left"/>
              <w:rPr>
                <w:rFonts w:eastAsia="Times New Roman"/>
                <w:color w:val="000000"/>
                <w:sz w:val="18"/>
                <w:szCs w:val="18"/>
                <w:highlight w:val="cyan"/>
              </w:rPr>
            </w:pPr>
            <w:r>
              <w:rPr>
                <w:b/>
                <w:bCs/>
                <w:color w:val="0000CC"/>
                <w:sz w:val="19"/>
                <w:szCs w:val="19"/>
              </w:rPr>
              <w:t>“CONFIDENCIAL POR LEY (30</w:t>
            </w:r>
            <w:r w:rsidR="002074CC" w:rsidRPr="00E7723C">
              <w:rPr>
                <w:b/>
                <w:bCs/>
                <w:color w:val="0000CC"/>
                <w:sz w:val="19"/>
                <w:szCs w:val="19"/>
              </w:rPr>
              <w:t>)”</w:t>
            </w:r>
          </w:p>
        </w:tc>
        <w:tc>
          <w:tcPr>
            <w:tcW w:w="2976" w:type="dxa"/>
            <w:shd w:val="clear" w:color="auto" w:fill="auto"/>
            <w:noWrap/>
          </w:tcPr>
          <w:p w14:paraId="6B8960A2" w14:textId="710029A7" w:rsidR="002074CC" w:rsidRPr="00E128CA" w:rsidRDefault="002074CC" w:rsidP="002074CC">
            <w:pPr>
              <w:spacing w:before="0" w:after="0"/>
              <w:jc w:val="right"/>
              <w:rPr>
                <w:rFonts w:eastAsia="Times New Roman"/>
                <w:color w:val="000000"/>
                <w:sz w:val="18"/>
                <w:szCs w:val="18"/>
                <w:highlight w:val="cyan"/>
              </w:rPr>
            </w:pPr>
            <w:r w:rsidRPr="006D395F">
              <w:rPr>
                <w:b/>
                <w:bCs/>
                <w:color w:val="0000CC"/>
                <w:sz w:val="19"/>
                <w:szCs w:val="19"/>
              </w:rPr>
              <w:t>“CONFI</w:t>
            </w:r>
            <w:r w:rsidR="00FC73A3">
              <w:rPr>
                <w:b/>
                <w:bCs/>
                <w:color w:val="0000CC"/>
                <w:sz w:val="19"/>
                <w:szCs w:val="19"/>
              </w:rPr>
              <w:t>DENCIAL POR LEY (31</w:t>
            </w:r>
            <w:r w:rsidRPr="006D395F">
              <w:rPr>
                <w:b/>
                <w:bCs/>
                <w:color w:val="0000CC"/>
                <w:sz w:val="19"/>
                <w:szCs w:val="19"/>
              </w:rPr>
              <w:t>)”</w:t>
            </w:r>
          </w:p>
        </w:tc>
      </w:tr>
      <w:tr w:rsidR="002074CC" w:rsidRPr="00E92285" w14:paraId="047BE464" w14:textId="77777777" w:rsidTr="00FC73A3">
        <w:trPr>
          <w:trHeight w:val="20"/>
          <w:jc w:val="center"/>
        </w:trPr>
        <w:tc>
          <w:tcPr>
            <w:tcW w:w="5524" w:type="dxa"/>
            <w:shd w:val="clear" w:color="auto" w:fill="auto"/>
            <w:noWrap/>
            <w:vAlign w:val="center"/>
          </w:tcPr>
          <w:p w14:paraId="75DB2F90" w14:textId="6DC6052C" w:rsidR="002074CC" w:rsidRPr="00955BA9" w:rsidRDefault="002074CC" w:rsidP="002074CC">
            <w:pPr>
              <w:spacing w:before="0" w:after="0"/>
              <w:jc w:val="left"/>
              <w:rPr>
                <w:rFonts w:eastAsia="Times New Roman"/>
                <w:b/>
                <w:color w:val="000000"/>
                <w:sz w:val="18"/>
                <w:szCs w:val="18"/>
                <w:lang w:val="en-US"/>
              </w:rPr>
            </w:pPr>
            <w:r w:rsidRPr="00955BA9">
              <w:rPr>
                <w:rFonts w:eastAsia="Times New Roman"/>
                <w:b/>
                <w:color w:val="000000"/>
                <w:sz w:val="18"/>
                <w:szCs w:val="18"/>
                <w:lang w:val="en-US"/>
              </w:rPr>
              <w:t>AWA Holding Company, S.A.P.I. de C.V.</w:t>
            </w:r>
          </w:p>
        </w:tc>
        <w:tc>
          <w:tcPr>
            <w:tcW w:w="2976" w:type="dxa"/>
            <w:shd w:val="clear" w:color="auto" w:fill="auto"/>
            <w:noWrap/>
          </w:tcPr>
          <w:p w14:paraId="74BCA7BD" w14:textId="26DF23BE" w:rsidR="002074CC" w:rsidRPr="00E128CA" w:rsidRDefault="00FC73A3" w:rsidP="00FC73A3">
            <w:pPr>
              <w:spacing w:before="0" w:after="0"/>
              <w:jc w:val="right"/>
              <w:rPr>
                <w:rFonts w:eastAsia="Times New Roman"/>
                <w:b/>
                <w:color w:val="000000"/>
                <w:sz w:val="18"/>
                <w:szCs w:val="18"/>
                <w:highlight w:val="cyan"/>
              </w:rPr>
            </w:pPr>
            <w:r>
              <w:rPr>
                <w:b/>
                <w:bCs/>
                <w:color w:val="0000CC"/>
                <w:sz w:val="19"/>
                <w:szCs w:val="19"/>
              </w:rPr>
              <w:t>“CONFIDENCIAL POR LEY (32</w:t>
            </w:r>
            <w:r w:rsidR="002074CC" w:rsidRPr="006D395F">
              <w:rPr>
                <w:b/>
                <w:bCs/>
                <w:color w:val="0000CC"/>
                <w:sz w:val="19"/>
                <w:szCs w:val="19"/>
              </w:rPr>
              <w:t>)”</w:t>
            </w:r>
          </w:p>
        </w:tc>
      </w:tr>
      <w:tr w:rsidR="002074CC" w:rsidRPr="00E92285" w14:paraId="7100BDDD" w14:textId="77777777" w:rsidTr="00FC73A3">
        <w:trPr>
          <w:trHeight w:val="20"/>
          <w:jc w:val="center"/>
        </w:trPr>
        <w:tc>
          <w:tcPr>
            <w:tcW w:w="5524" w:type="dxa"/>
            <w:shd w:val="clear" w:color="auto" w:fill="auto"/>
            <w:noWrap/>
            <w:vAlign w:val="center"/>
          </w:tcPr>
          <w:p w14:paraId="1FF58501" w14:textId="033FB37C" w:rsidR="002074CC" w:rsidRPr="00E92285" w:rsidRDefault="002074CC" w:rsidP="002074CC">
            <w:pPr>
              <w:spacing w:before="0" w:after="0"/>
              <w:jc w:val="left"/>
              <w:rPr>
                <w:rFonts w:eastAsia="Times New Roman"/>
                <w:b/>
                <w:color w:val="000000"/>
                <w:sz w:val="18"/>
                <w:szCs w:val="18"/>
              </w:rPr>
            </w:pPr>
            <w:r w:rsidRPr="00E92285">
              <w:rPr>
                <w:rFonts w:eastAsia="Times New Roman"/>
                <w:b/>
                <w:color w:val="000000"/>
                <w:sz w:val="18"/>
                <w:szCs w:val="18"/>
              </w:rPr>
              <w:t>Banco Nacional de México, en su carácter de fiduciario del Fideicomiso No. 17403-1</w:t>
            </w:r>
          </w:p>
        </w:tc>
        <w:tc>
          <w:tcPr>
            <w:tcW w:w="2976" w:type="dxa"/>
            <w:shd w:val="clear" w:color="auto" w:fill="auto"/>
            <w:noWrap/>
          </w:tcPr>
          <w:p w14:paraId="28FC4571" w14:textId="1FCF3D43" w:rsidR="002074CC" w:rsidRPr="00E128CA" w:rsidRDefault="00FC73A3" w:rsidP="002074CC">
            <w:pPr>
              <w:spacing w:before="0" w:after="0"/>
              <w:jc w:val="right"/>
              <w:rPr>
                <w:rFonts w:eastAsia="Times New Roman"/>
                <w:b/>
                <w:color w:val="000000"/>
                <w:sz w:val="18"/>
                <w:szCs w:val="18"/>
                <w:highlight w:val="cyan"/>
              </w:rPr>
            </w:pPr>
            <w:r>
              <w:rPr>
                <w:b/>
                <w:bCs/>
                <w:color w:val="0000CC"/>
                <w:sz w:val="19"/>
                <w:szCs w:val="19"/>
              </w:rPr>
              <w:t>“CONFIDENCIAL POR LEY (33</w:t>
            </w:r>
            <w:r w:rsidR="002074CC" w:rsidRPr="006D395F">
              <w:rPr>
                <w:b/>
                <w:bCs/>
                <w:color w:val="0000CC"/>
                <w:sz w:val="19"/>
                <w:szCs w:val="19"/>
              </w:rPr>
              <w:t>)”</w:t>
            </w:r>
          </w:p>
        </w:tc>
      </w:tr>
      <w:tr w:rsidR="002074CC" w:rsidRPr="00F713FF" w14:paraId="2ADA7138" w14:textId="77777777" w:rsidTr="00FC73A3">
        <w:trPr>
          <w:trHeight w:val="20"/>
          <w:jc w:val="center"/>
        </w:trPr>
        <w:tc>
          <w:tcPr>
            <w:tcW w:w="5524" w:type="dxa"/>
            <w:shd w:val="clear" w:color="auto" w:fill="auto"/>
            <w:noWrap/>
            <w:vAlign w:val="center"/>
          </w:tcPr>
          <w:p w14:paraId="4480C1DE" w14:textId="77777777" w:rsidR="002074CC" w:rsidRPr="00F713FF" w:rsidRDefault="002074CC" w:rsidP="002074CC">
            <w:pPr>
              <w:spacing w:before="0" w:after="0"/>
              <w:jc w:val="left"/>
              <w:rPr>
                <w:rFonts w:eastAsia="Times New Roman"/>
                <w:b/>
                <w:color w:val="000000"/>
                <w:sz w:val="18"/>
                <w:szCs w:val="18"/>
              </w:rPr>
            </w:pPr>
            <w:r w:rsidRPr="00F713FF">
              <w:rPr>
                <w:rFonts w:eastAsia="Times New Roman"/>
                <w:b/>
                <w:color w:val="000000"/>
                <w:sz w:val="18"/>
                <w:szCs w:val="18"/>
              </w:rPr>
              <w:t>Banco Nacional de México, en su carácter de fiduciario del Fideicomiso No. 17405-8</w:t>
            </w:r>
          </w:p>
        </w:tc>
        <w:tc>
          <w:tcPr>
            <w:tcW w:w="2976" w:type="dxa"/>
            <w:shd w:val="clear" w:color="auto" w:fill="auto"/>
            <w:noWrap/>
          </w:tcPr>
          <w:p w14:paraId="1A9A41C9" w14:textId="054CDC4C" w:rsidR="002074CC" w:rsidRPr="00E128CA" w:rsidRDefault="00FC73A3" w:rsidP="002074CC">
            <w:pPr>
              <w:spacing w:before="0" w:after="0"/>
              <w:jc w:val="right"/>
              <w:rPr>
                <w:rFonts w:eastAsia="Times New Roman"/>
                <w:b/>
                <w:color w:val="000000"/>
                <w:sz w:val="18"/>
                <w:szCs w:val="18"/>
                <w:highlight w:val="cyan"/>
              </w:rPr>
            </w:pPr>
            <w:r>
              <w:rPr>
                <w:b/>
                <w:bCs/>
                <w:color w:val="0000CC"/>
                <w:sz w:val="19"/>
                <w:szCs w:val="19"/>
              </w:rPr>
              <w:t>“CONFIDENCIAL POR LEY (34</w:t>
            </w:r>
            <w:r w:rsidR="002074CC" w:rsidRPr="006D395F">
              <w:rPr>
                <w:b/>
                <w:bCs/>
                <w:color w:val="0000CC"/>
                <w:sz w:val="19"/>
                <w:szCs w:val="19"/>
              </w:rPr>
              <w:t>)”</w:t>
            </w:r>
          </w:p>
        </w:tc>
      </w:tr>
      <w:tr w:rsidR="002074CC" w:rsidRPr="005E4056" w14:paraId="7914D5BE" w14:textId="77777777" w:rsidTr="00FC73A3">
        <w:trPr>
          <w:trHeight w:val="20"/>
          <w:jc w:val="center"/>
        </w:trPr>
        <w:tc>
          <w:tcPr>
            <w:tcW w:w="5524" w:type="dxa"/>
            <w:shd w:val="clear" w:color="auto" w:fill="auto"/>
            <w:noWrap/>
            <w:vAlign w:val="center"/>
          </w:tcPr>
          <w:p w14:paraId="193649D6" w14:textId="53747C76" w:rsidR="002074CC" w:rsidRPr="00E128CA" w:rsidRDefault="002074CC" w:rsidP="002074CC">
            <w:pPr>
              <w:spacing w:before="0" w:after="0"/>
              <w:jc w:val="left"/>
              <w:rPr>
                <w:rFonts w:eastAsia="Times New Roman"/>
                <w:color w:val="000000"/>
                <w:sz w:val="18"/>
                <w:szCs w:val="18"/>
                <w:highlight w:val="cyan"/>
              </w:rPr>
            </w:pPr>
            <w:r w:rsidRPr="007D02A7">
              <w:rPr>
                <w:b/>
                <w:bCs/>
                <w:color w:val="0000CC"/>
                <w:sz w:val="19"/>
                <w:szCs w:val="19"/>
              </w:rPr>
              <w:t xml:space="preserve">“CONFIDENCIAL POR LEY </w:t>
            </w:r>
            <w:r>
              <w:rPr>
                <w:b/>
                <w:bCs/>
                <w:color w:val="0000CC"/>
                <w:sz w:val="19"/>
                <w:szCs w:val="19"/>
              </w:rPr>
              <w:t>(</w:t>
            </w:r>
            <w:r w:rsidR="00FC73A3">
              <w:rPr>
                <w:b/>
                <w:bCs/>
                <w:color w:val="0000CC"/>
                <w:sz w:val="19"/>
                <w:szCs w:val="19"/>
              </w:rPr>
              <w:t>35</w:t>
            </w:r>
            <w:r>
              <w:rPr>
                <w:b/>
                <w:bCs/>
                <w:color w:val="0000CC"/>
                <w:sz w:val="19"/>
                <w:szCs w:val="19"/>
              </w:rPr>
              <w:t>)</w:t>
            </w:r>
            <w:r w:rsidRPr="007D02A7">
              <w:rPr>
                <w:b/>
                <w:bCs/>
                <w:color w:val="0000CC"/>
                <w:sz w:val="19"/>
                <w:szCs w:val="19"/>
              </w:rPr>
              <w:t>”</w:t>
            </w:r>
          </w:p>
        </w:tc>
        <w:tc>
          <w:tcPr>
            <w:tcW w:w="2976" w:type="dxa"/>
            <w:shd w:val="clear" w:color="auto" w:fill="auto"/>
            <w:noWrap/>
          </w:tcPr>
          <w:p w14:paraId="52BB5E13" w14:textId="7700CEAD" w:rsidR="002074CC" w:rsidRPr="00E128CA" w:rsidRDefault="00FC73A3" w:rsidP="002074CC">
            <w:pPr>
              <w:spacing w:before="0" w:after="0"/>
              <w:jc w:val="right"/>
              <w:rPr>
                <w:rFonts w:eastAsia="Times New Roman"/>
                <w:color w:val="000000"/>
                <w:sz w:val="18"/>
                <w:szCs w:val="18"/>
                <w:highlight w:val="cyan"/>
              </w:rPr>
            </w:pPr>
            <w:r>
              <w:rPr>
                <w:b/>
                <w:bCs/>
                <w:color w:val="0000CC"/>
                <w:sz w:val="19"/>
                <w:szCs w:val="19"/>
              </w:rPr>
              <w:t>“CONFIDENCIAL POR LEY (36</w:t>
            </w:r>
            <w:r w:rsidR="002074CC" w:rsidRPr="006D395F">
              <w:rPr>
                <w:b/>
                <w:bCs/>
                <w:color w:val="0000CC"/>
                <w:sz w:val="19"/>
                <w:szCs w:val="19"/>
              </w:rPr>
              <w:t>)”</w:t>
            </w:r>
          </w:p>
        </w:tc>
      </w:tr>
      <w:tr w:rsidR="00F713FF" w:rsidRPr="00F713FF" w14:paraId="059D1EF2" w14:textId="77777777" w:rsidTr="00FC73A3">
        <w:trPr>
          <w:trHeight w:val="20"/>
          <w:jc w:val="center"/>
        </w:trPr>
        <w:tc>
          <w:tcPr>
            <w:tcW w:w="5524" w:type="dxa"/>
            <w:shd w:val="clear" w:color="auto" w:fill="auto"/>
            <w:noWrap/>
            <w:vAlign w:val="center"/>
          </w:tcPr>
          <w:p w14:paraId="2F58C7DF" w14:textId="77777777" w:rsidR="00F713FF" w:rsidRPr="00F713FF" w:rsidRDefault="00F713FF" w:rsidP="00F713FF">
            <w:pPr>
              <w:spacing w:before="0" w:after="0"/>
              <w:jc w:val="left"/>
              <w:rPr>
                <w:rFonts w:eastAsia="Times New Roman"/>
                <w:b/>
                <w:color w:val="000000"/>
                <w:sz w:val="18"/>
                <w:szCs w:val="18"/>
              </w:rPr>
            </w:pPr>
            <w:r w:rsidRPr="00F713FF">
              <w:rPr>
                <w:rFonts w:eastAsia="Times New Roman"/>
                <w:b/>
                <w:color w:val="000000"/>
                <w:sz w:val="18"/>
                <w:szCs w:val="18"/>
              </w:rPr>
              <w:t>TOTAL</w:t>
            </w:r>
          </w:p>
        </w:tc>
        <w:tc>
          <w:tcPr>
            <w:tcW w:w="2976" w:type="dxa"/>
            <w:shd w:val="clear" w:color="auto" w:fill="auto"/>
            <w:noWrap/>
            <w:vAlign w:val="center"/>
          </w:tcPr>
          <w:p w14:paraId="7BF87493" w14:textId="77777777" w:rsidR="00F713FF" w:rsidRPr="00F713FF" w:rsidRDefault="00F713FF" w:rsidP="00F713FF">
            <w:pPr>
              <w:spacing w:before="0" w:after="0"/>
              <w:jc w:val="right"/>
              <w:rPr>
                <w:rFonts w:eastAsia="Times New Roman"/>
                <w:b/>
                <w:color w:val="000000"/>
                <w:sz w:val="18"/>
                <w:szCs w:val="18"/>
              </w:rPr>
            </w:pPr>
            <w:r w:rsidRPr="00F713FF">
              <w:rPr>
                <w:rFonts w:eastAsia="Times New Roman"/>
                <w:b/>
                <w:color w:val="000000"/>
                <w:sz w:val="18"/>
                <w:szCs w:val="18"/>
              </w:rPr>
              <w:t>100.00</w:t>
            </w:r>
          </w:p>
        </w:tc>
      </w:tr>
    </w:tbl>
    <w:p w14:paraId="77B8E0FC" w14:textId="77777777" w:rsidR="0030526C" w:rsidRPr="00473CD3" w:rsidRDefault="0030526C" w:rsidP="0030526C">
      <w:pPr>
        <w:pStyle w:val="Notaalpie"/>
        <w:ind w:left="1134" w:right="708"/>
        <w:rPr>
          <w:rFonts w:eastAsia="Calibri" w:cs="Times New Roman"/>
          <w:sz w:val="16"/>
        </w:rPr>
      </w:pPr>
      <w:r w:rsidRPr="00F713FF">
        <w:rPr>
          <w:rFonts w:eastAsia="Calibri" w:cs="Times New Roman"/>
          <w:sz w:val="16"/>
        </w:rPr>
        <w:t xml:space="preserve">Fuente: Elaboración propia con información contenida en Foja </w:t>
      </w:r>
      <w:r w:rsidR="00F713FF" w:rsidRPr="00F713FF">
        <w:rPr>
          <w:rFonts w:eastAsia="Calibri" w:cs="Times New Roman"/>
          <w:sz w:val="16"/>
        </w:rPr>
        <w:t>1491</w:t>
      </w:r>
      <w:r w:rsidRPr="00F713FF">
        <w:rPr>
          <w:rFonts w:eastAsia="Calibri" w:cs="Times New Roman"/>
          <w:sz w:val="16"/>
        </w:rPr>
        <w:t xml:space="preserve"> del Expediente.</w:t>
      </w:r>
    </w:p>
    <w:p w14:paraId="203D0F4B" w14:textId="77777777" w:rsidR="00E92285" w:rsidRDefault="00E92285" w:rsidP="00E92285">
      <w:pPr>
        <w:pStyle w:val="Prrafodelista"/>
        <w:spacing w:after="120" w:line="276" w:lineRule="auto"/>
        <w:ind w:left="0"/>
        <w:contextualSpacing w:val="0"/>
        <w:rPr>
          <w:rFonts w:eastAsia="Times New Roman"/>
          <w:color w:val="000000"/>
          <w:lang w:val="es-MX"/>
        </w:rPr>
      </w:pPr>
      <w:r>
        <w:rPr>
          <w:rFonts w:eastAsia="Times New Roman"/>
          <w:color w:val="000000"/>
          <w:lang w:val="es-MX"/>
        </w:rPr>
        <w:t>Respecto a las personas morales accionistas de KIO, las Partes señalaron lo siguiente:</w:t>
      </w:r>
      <w:r w:rsidRPr="00E92285">
        <w:rPr>
          <w:vertAlign w:val="superscript"/>
          <w:lang w:val="es-MX"/>
        </w:rPr>
        <w:footnoteReference w:id="12"/>
      </w:r>
    </w:p>
    <w:p w14:paraId="61807807" w14:textId="26496827" w:rsidR="00E92285" w:rsidRPr="00E92285" w:rsidRDefault="00E92285" w:rsidP="00E92285">
      <w:pPr>
        <w:pStyle w:val="Prrafodelista"/>
        <w:numPr>
          <w:ilvl w:val="0"/>
          <w:numId w:val="33"/>
        </w:numPr>
        <w:spacing w:after="120" w:line="276" w:lineRule="auto"/>
        <w:ind w:left="567"/>
        <w:contextualSpacing w:val="0"/>
        <w:rPr>
          <w:rFonts w:eastAsia="Times New Roman"/>
          <w:color w:val="000000"/>
          <w:lang w:val="es-MX"/>
        </w:rPr>
      </w:pPr>
      <w:r w:rsidRPr="00E92285">
        <w:rPr>
          <w:rFonts w:eastAsia="Times New Roman"/>
          <w:color w:val="000000"/>
          <w:lang w:val="es-MX"/>
        </w:rPr>
        <w:t xml:space="preserve">AWA Holding Company, S.A.P.I. de C.V., </w:t>
      </w:r>
      <w:r w:rsidR="00F5535D" w:rsidRPr="00E92285">
        <w:rPr>
          <w:rFonts w:eastAsia="Times New Roman"/>
          <w:color w:val="000000"/>
          <w:lang w:val="es-MX"/>
        </w:rPr>
        <w:t xml:space="preserve">tiene como accionistas al C. </w:t>
      </w:r>
      <w:r w:rsidR="00527774" w:rsidRPr="007D02A7">
        <w:rPr>
          <w:b/>
          <w:bCs/>
          <w:color w:val="0000CC"/>
          <w:sz w:val="19"/>
          <w:szCs w:val="19"/>
        </w:rPr>
        <w:t xml:space="preserve">“CONFIDENCIAL POR LEY </w:t>
      </w:r>
      <w:r w:rsidR="00527774">
        <w:rPr>
          <w:b/>
          <w:bCs/>
          <w:color w:val="0000CC"/>
          <w:sz w:val="19"/>
          <w:szCs w:val="19"/>
        </w:rPr>
        <w:t>(</w:t>
      </w:r>
      <w:r w:rsidR="00FC73A3">
        <w:rPr>
          <w:b/>
          <w:bCs/>
          <w:color w:val="0000CC"/>
          <w:sz w:val="19"/>
          <w:szCs w:val="19"/>
        </w:rPr>
        <w:t>37</w:t>
      </w:r>
      <w:r w:rsidR="00527774">
        <w:rPr>
          <w:b/>
          <w:bCs/>
          <w:color w:val="0000CC"/>
          <w:sz w:val="19"/>
          <w:szCs w:val="19"/>
        </w:rPr>
        <w:t>)</w:t>
      </w:r>
      <w:r w:rsidR="00527774" w:rsidRPr="007D02A7">
        <w:rPr>
          <w:b/>
          <w:bCs/>
          <w:color w:val="0000CC"/>
          <w:sz w:val="19"/>
          <w:szCs w:val="19"/>
        </w:rPr>
        <w:t>”</w:t>
      </w:r>
      <w:r w:rsidR="00F5535D" w:rsidRPr="00E92285">
        <w:rPr>
          <w:rFonts w:eastAsia="Times New Roman"/>
          <w:color w:val="000000"/>
          <w:lang w:val="es-MX"/>
        </w:rPr>
        <w:t xml:space="preserve"> con </w:t>
      </w:r>
      <w:r w:rsidR="00527774" w:rsidRPr="007D02A7">
        <w:rPr>
          <w:b/>
          <w:bCs/>
          <w:color w:val="0000CC"/>
          <w:sz w:val="19"/>
          <w:szCs w:val="19"/>
        </w:rPr>
        <w:t xml:space="preserve">“CONFIDENCIAL POR LEY </w:t>
      </w:r>
      <w:r w:rsidR="00527774">
        <w:rPr>
          <w:b/>
          <w:bCs/>
          <w:color w:val="0000CC"/>
          <w:sz w:val="19"/>
          <w:szCs w:val="19"/>
        </w:rPr>
        <w:t>(</w:t>
      </w:r>
      <w:r w:rsidR="00FC73A3">
        <w:rPr>
          <w:b/>
          <w:bCs/>
          <w:color w:val="0000CC"/>
          <w:sz w:val="19"/>
          <w:szCs w:val="19"/>
        </w:rPr>
        <w:t>38</w:t>
      </w:r>
      <w:r w:rsidR="00527774">
        <w:rPr>
          <w:b/>
          <w:bCs/>
          <w:color w:val="0000CC"/>
          <w:sz w:val="19"/>
          <w:szCs w:val="19"/>
        </w:rPr>
        <w:t>)</w:t>
      </w:r>
      <w:r w:rsidR="00527774" w:rsidRPr="007D02A7">
        <w:rPr>
          <w:b/>
          <w:bCs/>
          <w:color w:val="0000CC"/>
          <w:sz w:val="19"/>
          <w:szCs w:val="19"/>
        </w:rPr>
        <w:t>”</w:t>
      </w:r>
      <w:r w:rsidR="00F5535D" w:rsidRPr="00E92285">
        <w:rPr>
          <w:rFonts w:eastAsia="Times New Roman"/>
          <w:color w:val="000000"/>
          <w:lang w:val="es-MX"/>
        </w:rPr>
        <w:t xml:space="preserve"> por ciento) de las acciones representativas del capital social y a los CC. </w:t>
      </w:r>
      <w:r w:rsidR="00527774" w:rsidRPr="007D02A7">
        <w:rPr>
          <w:b/>
          <w:bCs/>
          <w:color w:val="0000CC"/>
          <w:sz w:val="19"/>
          <w:szCs w:val="19"/>
        </w:rPr>
        <w:t xml:space="preserve">“CONFIDENCIAL POR LEY </w:t>
      </w:r>
      <w:r w:rsidR="00527774">
        <w:rPr>
          <w:b/>
          <w:bCs/>
          <w:color w:val="0000CC"/>
          <w:sz w:val="19"/>
          <w:szCs w:val="19"/>
        </w:rPr>
        <w:t>(</w:t>
      </w:r>
      <w:r w:rsidR="00FC73A3">
        <w:rPr>
          <w:b/>
          <w:bCs/>
          <w:color w:val="0000CC"/>
          <w:sz w:val="19"/>
          <w:szCs w:val="19"/>
        </w:rPr>
        <w:t>39</w:t>
      </w:r>
      <w:r w:rsidR="00527774">
        <w:rPr>
          <w:b/>
          <w:bCs/>
          <w:color w:val="0000CC"/>
          <w:sz w:val="19"/>
          <w:szCs w:val="19"/>
        </w:rPr>
        <w:t>)</w:t>
      </w:r>
      <w:r w:rsidR="00527774" w:rsidRPr="007D02A7">
        <w:rPr>
          <w:b/>
          <w:bCs/>
          <w:color w:val="0000CC"/>
          <w:sz w:val="19"/>
          <w:szCs w:val="19"/>
        </w:rPr>
        <w:t>”</w:t>
      </w:r>
      <w:r w:rsidR="00F5535D" w:rsidRPr="00E92285">
        <w:rPr>
          <w:rFonts w:eastAsia="Times New Roman"/>
          <w:color w:val="000000"/>
          <w:lang w:val="es-MX"/>
        </w:rPr>
        <w:t xml:space="preserve">, cada uno con </w:t>
      </w:r>
      <w:r w:rsidR="00527774" w:rsidRPr="007D02A7">
        <w:rPr>
          <w:b/>
          <w:bCs/>
          <w:color w:val="0000CC"/>
          <w:sz w:val="19"/>
          <w:szCs w:val="19"/>
        </w:rPr>
        <w:t xml:space="preserve">“CONFIDENCIAL POR LEY </w:t>
      </w:r>
      <w:r w:rsidR="00527774">
        <w:rPr>
          <w:b/>
          <w:bCs/>
          <w:color w:val="0000CC"/>
          <w:sz w:val="19"/>
          <w:szCs w:val="19"/>
        </w:rPr>
        <w:t>(</w:t>
      </w:r>
      <w:r w:rsidR="00FC73A3">
        <w:rPr>
          <w:b/>
          <w:bCs/>
          <w:color w:val="0000CC"/>
          <w:sz w:val="19"/>
          <w:szCs w:val="19"/>
        </w:rPr>
        <w:t>40</w:t>
      </w:r>
      <w:r w:rsidR="00527774">
        <w:rPr>
          <w:b/>
          <w:bCs/>
          <w:color w:val="0000CC"/>
          <w:sz w:val="19"/>
          <w:szCs w:val="19"/>
        </w:rPr>
        <w:t>)</w:t>
      </w:r>
      <w:r w:rsidR="00527774" w:rsidRPr="007D02A7">
        <w:rPr>
          <w:b/>
          <w:bCs/>
          <w:color w:val="0000CC"/>
          <w:sz w:val="19"/>
          <w:szCs w:val="19"/>
        </w:rPr>
        <w:t>”</w:t>
      </w:r>
      <w:r w:rsidR="00527774">
        <w:rPr>
          <w:b/>
          <w:bCs/>
          <w:color w:val="0000CC"/>
          <w:sz w:val="19"/>
          <w:szCs w:val="19"/>
        </w:rPr>
        <w:t xml:space="preserve"> </w:t>
      </w:r>
      <w:r w:rsidR="00F5535D" w:rsidRPr="00E92285">
        <w:rPr>
          <w:rFonts w:eastAsia="Times New Roman"/>
          <w:color w:val="000000"/>
          <w:lang w:val="es-MX"/>
        </w:rPr>
        <w:t>por ciento) de las acciones representativas del capital social</w:t>
      </w:r>
      <w:r w:rsidRPr="00E92285">
        <w:rPr>
          <w:rFonts w:eastAsia="Times New Roman"/>
          <w:color w:val="000000"/>
          <w:lang w:val="es-MX"/>
        </w:rPr>
        <w:t>;</w:t>
      </w:r>
    </w:p>
    <w:p w14:paraId="18897ED6" w14:textId="487D1110" w:rsidR="00E92285" w:rsidRPr="00E92285" w:rsidRDefault="00E92285" w:rsidP="00E92285">
      <w:pPr>
        <w:pStyle w:val="Prrafodelista"/>
        <w:numPr>
          <w:ilvl w:val="0"/>
          <w:numId w:val="33"/>
        </w:numPr>
        <w:spacing w:after="120" w:line="276" w:lineRule="auto"/>
        <w:ind w:left="567"/>
        <w:contextualSpacing w:val="0"/>
        <w:rPr>
          <w:rFonts w:eastAsia="Times New Roman"/>
          <w:color w:val="000000"/>
          <w:lang w:val="es-MX"/>
        </w:rPr>
      </w:pPr>
      <w:r w:rsidRPr="00E92285">
        <w:rPr>
          <w:rFonts w:eastAsia="Times New Roman"/>
          <w:color w:val="000000"/>
          <w:lang w:val="es-MX"/>
        </w:rPr>
        <w:t xml:space="preserve">Los fideicomisos </w:t>
      </w:r>
      <w:r w:rsidR="00140276">
        <w:rPr>
          <w:rFonts w:eastAsia="Times New Roman"/>
          <w:color w:val="000000"/>
          <w:lang w:val="es-MX"/>
        </w:rPr>
        <w:t xml:space="preserve">que son </w:t>
      </w:r>
      <w:r w:rsidRPr="00E92285">
        <w:rPr>
          <w:rFonts w:eastAsia="Times New Roman"/>
          <w:color w:val="000000"/>
          <w:lang w:val="es-MX"/>
        </w:rPr>
        <w:t xml:space="preserve">accionistas de KIO, tienen como fideicomitentes y fideicomisarios a miembros de la familia </w:t>
      </w:r>
      <w:r w:rsidR="00527774" w:rsidRPr="007D02A7">
        <w:rPr>
          <w:b/>
          <w:bCs/>
          <w:color w:val="0000CC"/>
          <w:sz w:val="19"/>
          <w:szCs w:val="19"/>
        </w:rPr>
        <w:t xml:space="preserve">“CONFIDENCIAL POR LEY </w:t>
      </w:r>
      <w:r w:rsidR="00527774">
        <w:rPr>
          <w:b/>
          <w:bCs/>
          <w:color w:val="0000CC"/>
          <w:sz w:val="19"/>
          <w:szCs w:val="19"/>
        </w:rPr>
        <w:t>(</w:t>
      </w:r>
      <w:r w:rsidR="00FC73A3">
        <w:rPr>
          <w:b/>
          <w:bCs/>
          <w:color w:val="0000CC"/>
          <w:sz w:val="19"/>
          <w:szCs w:val="19"/>
        </w:rPr>
        <w:t>4</w:t>
      </w:r>
      <w:r w:rsidR="00527774" w:rsidRPr="007D02A7">
        <w:rPr>
          <w:b/>
          <w:bCs/>
          <w:color w:val="0000CC"/>
          <w:sz w:val="19"/>
          <w:szCs w:val="19"/>
        </w:rPr>
        <w:t>1</w:t>
      </w:r>
      <w:r w:rsidR="00527774">
        <w:rPr>
          <w:b/>
          <w:bCs/>
          <w:color w:val="0000CC"/>
          <w:sz w:val="19"/>
          <w:szCs w:val="19"/>
        </w:rPr>
        <w:t>)</w:t>
      </w:r>
      <w:r w:rsidR="00527774" w:rsidRPr="007D02A7">
        <w:rPr>
          <w:b/>
          <w:bCs/>
          <w:color w:val="0000CC"/>
          <w:sz w:val="19"/>
          <w:szCs w:val="19"/>
        </w:rPr>
        <w:t>”</w:t>
      </w:r>
      <w:r w:rsidRPr="00E92285">
        <w:rPr>
          <w:rFonts w:eastAsia="Times New Roman"/>
          <w:color w:val="000000"/>
          <w:lang w:val="es-MX"/>
        </w:rPr>
        <w:t>, y</w:t>
      </w:r>
    </w:p>
    <w:p w14:paraId="6DD3867F" w14:textId="7542E2B2" w:rsidR="00F5535D" w:rsidRPr="00E92285" w:rsidRDefault="00E92285" w:rsidP="00E92285">
      <w:pPr>
        <w:pStyle w:val="Prrafodelista"/>
        <w:numPr>
          <w:ilvl w:val="0"/>
          <w:numId w:val="33"/>
        </w:numPr>
        <w:spacing w:after="120" w:line="276" w:lineRule="auto"/>
        <w:ind w:left="567"/>
        <w:contextualSpacing w:val="0"/>
        <w:rPr>
          <w:rFonts w:eastAsia="Times New Roman"/>
          <w:color w:val="000000"/>
          <w:lang w:val="es-MX"/>
        </w:rPr>
      </w:pPr>
      <w:r w:rsidRPr="00E92285">
        <w:rPr>
          <w:rFonts w:eastAsia="Times New Roman"/>
          <w:color w:val="000000"/>
        </w:rPr>
        <w:t xml:space="preserve">LSC </w:t>
      </w:r>
      <w:proofErr w:type="spellStart"/>
      <w:r w:rsidRPr="00E92285">
        <w:rPr>
          <w:rFonts w:eastAsia="Times New Roman"/>
          <w:color w:val="000000"/>
        </w:rPr>
        <w:t>Ventures</w:t>
      </w:r>
      <w:proofErr w:type="spellEnd"/>
      <w:r w:rsidRPr="00E92285">
        <w:rPr>
          <w:rFonts w:eastAsia="Times New Roman"/>
          <w:color w:val="000000"/>
        </w:rPr>
        <w:t xml:space="preserve">, S. de R.L. de C.V. tiene como accionistas a los CC. </w:t>
      </w:r>
      <w:r w:rsidR="00527774" w:rsidRPr="007D02A7">
        <w:rPr>
          <w:b/>
          <w:bCs/>
          <w:color w:val="0000CC"/>
          <w:sz w:val="19"/>
          <w:szCs w:val="19"/>
        </w:rPr>
        <w:t xml:space="preserve">“CONFIDENCIAL POR LEY </w:t>
      </w:r>
      <w:r w:rsidR="00527774">
        <w:rPr>
          <w:b/>
          <w:bCs/>
          <w:color w:val="0000CC"/>
          <w:sz w:val="19"/>
          <w:szCs w:val="19"/>
        </w:rPr>
        <w:t>(</w:t>
      </w:r>
      <w:r w:rsidR="00FC73A3">
        <w:rPr>
          <w:b/>
          <w:bCs/>
          <w:color w:val="0000CC"/>
          <w:sz w:val="19"/>
          <w:szCs w:val="19"/>
        </w:rPr>
        <w:t>42</w:t>
      </w:r>
      <w:r w:rsidR="00527774">
        <w:rPr>
          <w:b/>
          <w:bCs/>
          <w:color w:val="0000CC"/>
          <w:sz w:val="19"/>
          <w:szCs w:val="19"/>
        </w:rPr>
        <w:t>)</w:t>
      </w:r>
      <w:r w:rsidR="00527774" w:rsidRPr="007D02A7">
        <w:rPr>
          <w:b/>
          <w:bCs/>
          <w:color w:val="0000CC"/>
          <w:sz w:val="19"/>
          <w:szCs w:val="19"/>
        </w:rPr>
        <w:t>”</w:t>
      </w:r>
      <w:r w:rsidRPr="00E92285">
        <w:rPr>
          <w:rFonts w:eastAsia="Times New Roman"/>
          <w:color w:val="000000"/>
        </w:rPr>
        <w:t xml:space="preserve">, con </w:t>
      </w:r>
      <w:r w:rsidR="00527774" w:rsidRPr="007D02A7">
        <w:rPr>
          <w:b/>
          <w:bCs/>
          <w:color w:val="0000CC"/>
          <w:sz w:val="19"/>
          <w:szCs w:val="19"/>
        </w:rPr>
        <w:t xml:space="preserve">“CONFIDENCIAL POR LEY </w:t>
      </w:r>
      <w:r w:rsidR="00527774">
        <w:rPr>
          <w:b/>
          <w:bCs/>
          <w:color w:val="0000CC"/>
          <w:sz w:val="19"/>
          <w:szCs w:val="19"/>
        </w:rPr>
        <w:t>(</w:t>
      </w:r>
      <w:r w:rsidR="00FC73A3">
        <w:rPr>
          <w:b/>
          <w:bCs/>
          <w:color w:val="0000CC"/>
          <w:sz w:val="19"/>
          <w:szCs w:val="19"/>
        </w:rPr>
        <w:t>43</w:t>
      </w:r>
      <w:r w:rsidR="00527774">
        <w:rPr>
          <w:b/>
          <w:bCs/>
          <w:color w:val="0000CC"/>
          <w:sz w:val="19"/>
          <w:szCs w:val="19"/>
        </w:rPr>
        <w:t>)</w:t>
      </w:r>
      <w:r w:rsidR="00527774" w:rsidRPr="007D02A7">
        <w:rPr>
          <w:b/>
          <w:bCs/>
          <w:color w:val="0000CC"/>
          <w:sz w:val="19"/>
          <w:szCs w:val="19"/>
        </w:rPr>
        <w:t>”</w:t>
      </w:r>
      <w:r w:rsidR="00527774">
        <w:rPr>
          <w:b/>
          <w:bCs/>
          <w:color w:val="0000CC"/>
          <w:sz w:val="19"/>
          <w:szCs w:val="19"/>
        </w:rPr>
        <w:t xml:space="preserve"> </w:t>
      </w:r>
      <w:r w:rsidRPr="00E92285">
        <w:rPr>
          <w:rFonts w:eastAsia="Times New Roman"/>
          <w:color w:val="000000"/>
        </w:rPr>
        <w:t xml:space="preserve">por ciento) y </w:t>
      </w:r>
      <w:r w:rsidR="00527774" w:rsidRPr="007D02A7">
        <w:rPr>
          <w:b/>
          <w:bCs/>
          <w:color w:val="0000CC"/>
          <w:sz w:val="19"/>
          <w:szCs w:val="19"/>
        </w:rPr>
        <w:t xml:space="preserve">“CONFIDENCIAL POR LEY </w:t>
      </w:r>
      <w:r w:rsidR="00527774">
        <w:rPr>
          <w:b/>
          <w:bCs/>
          <w:color w:val="0000CC"/>
          <w:sz w:val="19"/>
          <w:szCs w:val="19"/>
        </w:rPr>
        <w:t>(</w:t>
      </w:r>
      <w:r w:rsidR="00FC73A3">
        <w:rPr>
          <w:b/>
          <w:bCs/>
          <w:color w:val="0000CC"/>
          <w:sz w:val="19"/>
          <w:szCs w:val="19"/>
        </w:rPr>
        <w:t>44</w:t>
      </w:r>
      <w:r w:rsidR="00527774">
        <w:rPr>
          <w:b/>
          <w:bCs/>
          <w:color w:val="0000CC"/>
          <w:sz w:val="19"/>
          <w:szCs w:val="19"/>
        </w:rPr>
        <w:t>)</w:t>
      </w:r>
      <w:r w:rsidR="00527774" w:rsidRPr="007D02A7">
        <w:rPr>
          <w:b/>
          <w:bCs/>
          <w:color w:val="0000CC"/>
          <w:sz w:val="19"/>
          <w:szCs w:val="19"/>
        </w:rPr>
        <w:t>”</w:t>
      </w:r>
      <w:r w:rsidR="00527774">
        <w:rPr>
          <w:b/>
          <w:bCs/>
          <w:color w:val="0000CC"/>
          <w:sz w:val="19"/>
          <w:szCs w:val="19"/>
        </w:rPr>
        <w:t xml:space="preserve"> </w:t>
      </w:r>
      <w:r w:rsidRPr="00E92285">
        <w:rPr>
          <w:rFonts w:eastAsia="Times New Roman"/>
          <w:color w:val="000000"/>
        </w:rPr>
        <w:t xml:space="preserve">por ciento) </w:t>
      </w:r>
      <w:r w:rsidRPr="00E92285">
        <w:rPr>
          <w:rFonts w:eastAsia="Times New Roman"/>
          <w:color w:val="000000"/>
          <w:lang w:val="es-MX"/>
        </w:rPr>
        <w:t>de las acciones representativas del capital social</w:t>
      </w:r>
      <w:r w:rsidRPr="00E92285">
        <w:rPr>
          <w:rFonts w:eastAsia="Times New Roman"/>
          <w:color w:val="000000"/>
        </w:rPr>
        <w:t xml:space="preserve"> respectivamente</w:t>
      </w:r>
      <w:r w:rsidRPr="00E92285">
        <w:rPr>
          <w:rFonts w:eastAsia="Times New Roman"/>
          <w:color w:val="000000"/>
          <w:lang w:val="es-MX"/>
        </w:rPr>
        <w:t>.</w:t>
      </w:r>
    </w:p>
    <w:p w14:paraId="66DB9D29" w14:textId="3631AB96" w:rsidR="009127A8" w:rsidRDefault="009127A8" w:rsidP="00E92285">
      <w:pPr>
        <w:pStyle w:val="Prrafodelista"/>
        <w:spacing w:after="120" w:line="276" w:lineRule="auto"/>
        <w:ind w:left="0"/>
        <w:contextualSpacing w:val="0"/>
        <w:rPr>
          <w:rFonts w:eastAsia="Times New Roman"/>
          <w:color w:val="000000"/>
          <w:lang w:val="es-MX"/>
        </w:rPr>
      </w:pPr>
      <w:r w:rsidRPr="001C6B1E">
        <w:rPr>
          <w:rFonts w:eastAsia="Times New Roman"/>
          <w:color w:val="000000"/>
          <w:lang w:val="es-MX"/>
        </w:rPr>
        <w:t xml:space="preserve">Las principales subsidiaras de </w:t>
      </w:r>
      <w:r>
        <w:rPr>
          <w:rFonts w:eastAsia="Times New Roman"/>
          <w:color w:val="000000"/>
          <w:lang w:val="es-MX"/>
        </w:rPr>
        <w:t>KIO</w:t>
      </w:r>
      <w:r w:rsidRPr="001C6B1E">
        <w:rPr>
          <w:rFonts w:eastAsia="Times New Roman"/>
          <w:color w:val="000000"/>
          <w:lang w:val="es-MX"/>
        </w:rPr>
        <w:t xml:space="preserve">, incluyendo a los </w:t>
      </w:r>
      <w:r>
        <w:rPr>
          <w:rFonts w:eastAsia="Times New Roman"/>
          <w:color w:val="000000"/>
          <w:lang w:val="es-MX"/>
        </w:rPr>
        <w:t>Vendedores</w:t>
      </w:r>
      <w:r w:rsidRPr="001C6B1E">
        <w:rPr>
          <w:rFonts w:eastAsia="Times New Roman"/>
          <w:color w:val="000000"/>
          <w:lang w:val="es-MX"/>
        </w:rPr>
        <w:t xml:space="preserve">, </w:t>
      </w:r>
      <w:r>
        <w:rPr>
          <w:rFonts w:eastAsia="Times New Roman"/>
          <w:color w:val="000000"/>
          <w:lang w:val="es-MX"/>
        </w:rPr>
        <w:t xml:space="preserve">después de la Operación, </w:t>
      </w:r>
      <w:r w:rsidRPr="001C6B1E">
        <w:rPr>
          <w:rFonts w:eastAsia="Times New Roman"/>
          <w:color w:val="000000"/>
          <w:lang w:val="es-MX"/>
        </w:rPr>
        <w:t xml:space="preserve">se </w:t>
      </w:r>
      <w:r w:rsidR="00FE38DD">
        <w:rPr>
          <w:rFonts w:eastAsia="Times New Roman"/>
          <w:color w:val="000000"/>
          <w:lang w:val="es-MX"/>
        </w:rPr>
        <w:t>listan</w:t>
      </w:r>
      <w:r w:rsidR="00FE38DD" w:rsidRPr="001C6B1E">
        <w:rPr>
          <w:rFonts w:eastAsia="Times New Roman"/>
          <w:color w:val="000000"/>
          <w:lang w:val="es-MX"/>
        </w:rPr>
        <w:t xml:space="preserve"> </w:t>
      </w:r>
      <w:r w:rsidRPr="001C6B1E">
        <w:rPr>
          <w:rFonts w:eastAsia="Times New Roman"/>
          <w:color w:val="000000"/>
          <w:lang w:val="es-MX"/>
        </w:rPr>
        <w:t>en el siguiente cuadro.</w:t>
      </w:r>
    </w:p>
    <w:p w14:paraId="122924CF" w14:textId="5D0FD907" w:rsidR="009127A8" w:rsidRPr="001C6B1E" w:rsidRDefault="009127A8" w:rsidP="000763D4">
      <w:pPr>
        <w:pStyle w:val="Sinespaciado"/>
        <w:keepNext/>
        <w:numPr>
          <w:ilvl w:val="0"/>
          <w:numId w:val="24"/>
        </w:numPr>
        <w:spacing w:before="120" w:after="120" w:line="276" w:lineRule="auto"/>
        <w:ind w:left="1418" w:right="48" w:hanging="1275"/>
        <w:jc w:val="both"/>
        <w:rPr>
          <w:rFonts w:ascii="ITC Avant Garde" w:hAnsi="ITC Avant Garde"/>
          <w:b/>
        </w:rPr>
      </w:pPr>
      <w:r w:rsidRPr="001C6B1E">
        <w:rPr>
          <w:rFonts w:ascii="ITC Avant Garde" w:hAnsi="ITC Avant Garde"/>
          <w:b/>
        </w:rPr>
        <w:lastRenderedPageBreak/>
        <w:t xml:space="preserve">Principales subsidiarias directas e indirectas de </w:t>
      </w:r>
      <w:r>
        <w:rPr>
          <w:rFonts w:ascii="ITC Avant Garde" w:hAnsi="ITC Avant Garde"/>
          <w:b/>
        </w:rPr>
        <w:t>KIO (17 noviembre, 2017)</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Cuadro 2."/>
        <w:tblDescription w:val="Presenta las principales subsidiarias directas e indirectas de KIO al 17 de noviembre de 2017."/>
      </w:tblPr>
      <w:tblGrid>
        <w:gridCol w:w="2972"/>
        <w:gridCol w:w="3119"/>
        <w:gridCol w:w="3161"/>
      </w:tblGrid>
      <w:tr w:rsidR="009127A8" w:rsidRPr="008523DB" w14:paraId="7736AE59" w14:textId="77777777" w:rsidTr="00FC73A3">
        <w:trPr>
          <w:trHeight w:val="360"/>
          <w:tblHeader/>
          <w:jc w:val="center"/>
        </w:trPr>
        <w:tc>
          <w:tcPr>
            <w:tcW w:w="2972" w:type="dxa"/>
            <w:shd w:val="clear" w:color="auto" w:fill="92D050"/>
            <w:vAlign w:val="center"/>
            <w:hideMark/>
          </w:tcPr>
          <w:p w14:paraId="4F75D6CA" w14:textId="1C542822" w:rsidR="009127A8" w:rsidRPr="008523DB" w:rsidRDefault="009127A8" w:rsidP="009D3CF5">
            <w:pPr>
              <w:keepNext/>
              <w:spacing w:before="0" w:after="0" w:line="240" w:lineRule="auto"/>
              <w:jc w:val="center"/>
              <w:rPr>
                <w:rFonts w:eastAsia="Times New Roman"/>
                <w:b/>
                <w:bCs/>
                <w:sz w:val="18"/>
                <w:szCs w:val="18"/>
              </w:rPr>
            </w:pPr>
            <w:r w:rsidRPr="008523DB">
              <w:rPr>
                <w:rFonts w:eastAsia="Times New Roman"/>
                <w:b/>
                <w:bCs/>
                <w:sz w:val="18"/>
                <w:szCs w:val="18"/>
              </w:rPr>
              <w:t>Denominación o razón social</w:t>
            </w:r>
          </w:p>
        </w:tc>
        <w:tc>
          <w:tcPr>
            <w:tcW w:w="3119" w:type="dxa"/>
            <w:shd w:val="clear" w:color="auto" w:fill="92D050"/>
            <w:vAlign w:val="center"/>
            <w:hideMark/>
          </w:tcPr>
          <w:p w14:paraId="76BDE90F" w14:textId="271A831B" w:rsidR="009127A8" w:rsidRPr="008523DB" w:rsidRDefault="009127A8">
            <w:pPr>
              <w:keepNext/>
              <w:spacing w:before="0" w:after="0" w:line="240" w:lineRule="auto"/>
              <w:jc w:val="center"/>
              <w:rPr>
                <w:rFonts w:eastAsia="Times New Roman"/>
                <w:b/>
                <w:bCs/>
                <w:sz w:val="18"/>
                <w:szCs w:val="18"/>
              </w:rPr>
            </w:pPr>
            <w:r w:rsidRPr="008523DB">
              <w:rPr>
                <w:rFonts w:eastAsia="Times New Roman"/>
                <w:b/>
                <w:bCs/>
                <w:sz w:val="18"/>
                <w:szCs w:val="18"/>
              </w:rPr>
              <w:t>Accionistas</w:t>
            </w:r>
          </w:p>
        </w:tc>
        <w:tc>
          <w:tcPr>
            <w:tcW w:w="3161" w:type="dxa"/>
            <w:shd w:val="clear" w:color="auto" w:fill="92D050"/>
            <w:vAlign w:val="center"/>
            <w:hideMark/>
          </w:tcPr>
          <w:p w14:paraId="6EA2D0F1" w14:textId="77777777" w:rsidR="009127A8" w:rsidRPr="008523DB" w:rsidRDefault="009127A8">
            <w:pPr>
              <w:keepNext/>
              <w:spacing w:before="0" w:after="0" w:line="240" w:lineRule="auto"/>
              <w:jc w:val="center"/>
              <w:rPr>
                <w:rFonts w:eastAsia="Times New Roman"/>
                <w:b/>
                <w:bCs/>
                <w:sz w:val="18"/>
                <w:szCs w:val="18"/>
              </w:rPr>
            </w:pPr>
            <w:r w:rsidRPr="008523DB">
              <w:rPr>
                <w:rFonts w:eastAsia="Times New Roman"/>
                <w:b/>
                <w:bCs/>
                <w:sz w:val="18"/>
                <w:szCs w:val="18"/>
              </w:rPr>
              <w:t>Participación accionaria (%)</w:t>
            </w:r>
          </w:p>
        </w:tc>
      </w:tr>
      <w:tr w:rsidR="00FC73A3" w:rsidRPr="009127A8" w14:paraId="4B1A454F" w14:textId="77777777" w:rsidTr="00FC73A3">
        <w:trPr>
          <w:jc w:val="center"/>
        </w:trPr>
        <w:tc>
          <w:tcPr>
            <w:tcW w:w="2972" w:type="dxa"/>
            <w:vMerge w:val="restart"/>
            <w:vAlign w:val="center"/>
          </w:tcPr>
          <w:p w14:paraId="07CB95D4" w14:textId="1FF0C6EE" w:rsidR="00FC73A3" w:rsidRPr="009127A8" w:rsidRDefault="00FC73A3" w:rsidP="00FC73A3">
            <w:pPr>
              <w:spacing w:before="0" w:after="0" w:line="240" w:lineRule="auto"/>
              <w:jc w:val="left"/>
              <w:rPr>
                <w:rFonts w:eastAsia="Times New Roman"/>
                <w:color w:val="000000"/>
                <w:sz w:val="18"/>
                <w:szCs w:val="18"/>
              </w:rPr>
            </w:pPr>
            <w:r w:rsidRPr="009127A8">
              <w:rPr>
                <w:rFonts w:eastAsia="Times New Roman"/>
                <w:color w:val="000000"/>
                <w:sz w:val="18"/>
                <w:szCs w:val="18"/>
              </w:rPr>
              <w:t>Metro Net</w:t>
            </w:r>
          </w:p>
        </w:tc>
        <w:tc>
          <w:tcPr>
            <w:tcW w:w="3119" w:type="dxa"/>
            <w:tcBorders>
              <w:top w:val="single" w:sz="4" w:space="0" w:color="auto"/>
              <w:left w:val="single" w:sz="4" w:space="0" w:color="auto"/>
              <w:bottom w:val="single" w:sz="4" w:space="0" w:color="auto"/>
              <w:right w:val="single" w:sz="4" w:space="0" w:color="auto"/>
            </w:tcBorders>
            <w:vAlign w:val="center"/>
          </w:tcPr>
          <w:p w14:paraId="283FA57B" w14:textId="7A90D5B7" w:rsidR="00FC73A3" w:rsidRPr="009127A8" w:rsidRDefault="00FC73A3" w:rsidP="00FC73A3">
            <w:pPr>
              <w:spacing w:before="0" w:after="0" w:line="240" w:lineRule="auto"/>
              <w:jc w:val="center"/>
              <w:rPr>
                <w:rFonts w:eastAsia="Times New Roman"/>
                <w:color w:val="000000"/>
                <w:sz w:val="18"/>
                <w:szCs w:val="18"/>
              </w:rPr>
            </w:pPr>
            <w:r w:rsidRPr="009127A8">
              <w:rPr>
                <w:rFonts w:eastAsia="Times New Roman"/>
                <w:color w:val="000000"/>
                <w:sz w:val="18"/>
                <w:szCs w:val="18"/>
              </w:rPr>
              <w:t>KIO</w:t>
            </w:r>
          </w:p>
        </w:tc>
        <w:tc>
          <w:tcPr>
            <w:tcW w:w="3161" w:type="dxa"/>
            <w:tcBorders>
              <w:top w:val="single" w:sz="4" w:space="0" w:color="auto"/>
              <w:left w:val="single" w:sz="4" w:space="0" w:color="auto"/>
              <w:bottom w:val="single" w:sz="4" w:space="0" w:color="auto"/>
              <w:right w:val="single" w:sz="4" w:space="0" w:color="auto"/>
            </w:tcBorders>
          </w:tcPr>
          <w:p w14:paraId="2CBC33C1" w14:textId="7202213A" w:rsidR="00FC73A3" w:rsidRPr="009127A8" w:rsidRDefault="00FC73A3" w:rsidP="00FC73A3">
            <w:pPr>
              <w:spacing w:before="0" w:after="0" w:line="240" w:lineRule="auto"/>
              <w:jc w:val="right"/>
              <w:rPr>
                <w:rFonts w:eastAsia="Times New Roman"/>
                <w:color w:val="000000"/>
                <w:sz w:val="18"/>
                <w:szCs w:val="18"/>
              </w:rPr>
            </w:pPr>
            <w:r>
              <w:rPr>
                <w:b/>
                <w:bCs/>
                <w:color w:val="0000CC"/>
                <w:sz w:val="19"/>
                <w:szCs w:val="19"/>
              </w:rPr>
              <w:t>“CONFIDENCIAL POR LEY (45</w:t>
            </w:r>
            <w:r w:rsidRPr="00F002D4">
              <w:rPr>
                <w:b/>
                <w:bCs/>
                <w:color w:val="0000CC"/>
                <w:sz w:val="19"/>
                <w:szCs w:val="19"/>
              </w:rPr>
              <w:t>)”</w:t>
            </w:r>
          </w:p>
        </w:tc>
      </w:tr>
      <w:tr w:rsidR="00FC73A3" w:rsidRPr="009127A8" w14:paraId="5A2D7E69" w14:textId="77777777" w:rsidTr="00FC73A3">
        <w:trPr>
          <w:jc w:val="center"/>
        </w:trPr>
        <w:tc>
          <w:tcPr>
            <w:tcW w:w="2972" w:type="dxa"/>
            <w:vMerge/>
            <w:vAlign w:val="center"/>
          </w:tcPr>
          <w:p w14:paraId="49E1CB81" w14:textId="77777777" w:rsidR="00FC73A3" w:rsidRPr="009127A8" w:rsidRDefault="00FC73A3" w:rsidP="00FC73A3">
            <w:pPr>
              <w:spacing w:before="0" w:after="0" w:line="240" w:lineRule="auto"/>
              <w:jc w:val="left"/>
              <w:rPr>
                <w:rFonts w:eastAsia="Times New Roman"/>
                <w:color w:val="000000"/>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648EB9A" w14:textId="0AD84AD5" w:rsidR="00FC73A3" w:rsidRPr="009127A8" w:rsidRDefault="00FC73A3" w:rsidP="00FC73A3">
            <w:pPr>
              <w:spacing w:before="0" w:after="0" w:line="240" w:lineRule="auto"/>
              <w:jc w:val="center"/>
              <w:rPr>
                <w:rFonts w:eastAsia="Times New Roman"/>
                <w:color w:val="000000"/>
                <w:sz w:val="18"/>
                <w:szCs w:val="18"/>
              </w:rPr>
            </w:pPr>
            <w:proofErr w:type="spellStart"/>
            <w:r w:rsidRPr="009127A8">
              <w:rPr>
                <w:rFonts w:eastAsia="Times New Roman"/>
                <w:color w:val="000000"/>
                <w:sz w:val="18"/>
                <w:szCs w:val="18"/>
              </w:rPr>
              <w:t>Wingu</w:t>
            </w:r>
            <w:proofErr w:type="spellEnd"/>
          </w:p>
        </w:tc>
        <w:tc>
          <w:tcPr>
            <w:tcW w:w="3161" w:type="dxa"/>
            <w:tcBorders>
              <w:top w:val="single" w:sz="4" w:space="0" w:color="auto"/>
              <w:left w:val="single" w:sz="4" w:space="0" w:color="auto"/>
              <w:bottom w:val="single" w:sz="4" w:space="0" w:color="auto"/>
              <w:right w:val="single" w:sz="4" w:space="0" w:color="auto"/>
            </w:tcBorders>
          </w:tcPr>
          <w:p w14:paraId="668367AE" w14:textId="24745052" w:rsidR="00FC73A3" w:rsidRPr="009127A8" w:rsidRDefault="00FC73A3" w:rsidP="00FC73A3">
            <w:pPr>
              <w:spacing w:before="0" w:after="0" w:line="240" w:lineRule="auto"/>
              <w:jc w:val="right"/>
              <w:rPr>
                <w:rFonts w:eastAsia="Times New Roman"/>
                <w:color w:val="000000"/>
                <w:sz w:val="18"/>
                <w:szCs w:val="18"/>
              </w:rPr>
            </w:pPr>
            <w:r>
              <w:rPr>
                <w:b/>
                <w:bCs/>
                <w:color w:val="0000CC"/>
                <w:sz w:val="19"/>
                <w:szCs w:val="19"/>
              </w:rPr>
              <w:t>“CONFIDENCIAL POR LEY (46</w:t>
            </w:r>
            <w:r w:rsidRPr="00F002D4">
              <w:rPr>
                <w:b/>
                <w:bCs/>
                <w:color w:val="0000CC"/>
                <w:sz w:val="19"/>
                <w:szCs w:val="19"/>
              </w:rPr>
              <w:t>)”</w:t>
            </w:r>
          </w:p>
        </w:tc>
      </w:tr>
      <w:tr w:rsidR="00527774" w:rsidRPr="009127A8" w14:paraId="7F95293C" w14:textId="77777777" w:rsidTr="00FC73A3">
        <w:trPr>
          <w:jc w:val="center"/>
        </w:trPr>
        <w:tc>
          <w:tcPr>
            <w:tcW w:w="2972" w:type="dxa"/>
            <w:vMerge w:val="restart"/>
            <w:vAlign w:val="center"/>
          </w:tcPr>
          <w:p w14:paraId="1E577A2F" w14:textId="72ADF29F" w:rsidR="00527774" w:rsidRPr="009127A8" w:rsidRDefault="00527774" w:rsidP="00527774">
            <w:pPr>
              <w:spacing w:before="0" w:after="0" w:line="240" w:lineRule="auto"/>
              <w:jc w:val="left"/>
              <w:rPr>
                <w:rFonts w:eastAsia="Times New Roman"/>
                <w:color w:val="000000"/>
                <w:sz w:val="18"/>
                <w:szCs w:val="18"/>
              </w:rPr>
            </w:pPr>
            <w:proofErr w:type="spellStart"/>
            <w:r>
              <w:rPr>
                <w:rFonts w:eastAsia="Times New Roman"/>
                <w:color w:val="000000"/>
                <w:sz w:val="18"/>
                <w:szCs w:val="18"/>
              </w:rPr>
              <w:t>Wingu</w:t>
            </w:r>
            <w:proofErr w:type="spellEnd"/>
          </w:p>
        </w:tc>
        <w:tc>
          <w:tcPr>
            <w:tcW w:w="3119" w:type="dxa"/>
            <w:tcBorders>
              <w:top w:val="single" w:sz="4" w:space="0" w:color="auto"/>
              <w:left w:val="single" w:sz="4" w:space="0" w:color="auto"/>
              <w:bottom w:val="single" w:sz="4" w:space="0" w:color="auto"/>
              <w:right w:val="single" w:sz="4" w:space="0" w:color="auto"/>
            </w:tcBorders>
            <w:vAlign w:val="center"/>
          </w:tcPr>
          <w:p w14:paraId="1CF7101A" w14:textId="2E0E1B9D" w:rsidR="00527774" w:rsidRPr="00D52D4F" w:rsidRDefault="00527774" w:rsidP="00527774">
            <w:pPr>
              <w:spacing w:before="0" w:after="0" w:line="240" w:lineRule="auto"/>
              <w:jc w:val="center"/>
              <w:rPr>
                <w:rFonts w:eastAsia="Times New Roman"/>
                <w:color w:val="000000"/>
                <w:sz w:val="18"/>
                <w:szCs w:val="18"/>
              </w:rPr>
            </w:pPr>
            <w:r w:rsidRPr="00D52D4F">
              <w:rPr>
                <w:rFonts w:eastAsia="Times New Roman"/>
                <w:color w:val="000000"/>
                <w:sz w:val="18"/>
                <w:szCs w:val="18"/>
              </w:rPr>
              <w:t>KIO</w:t>
            </w:r>
          </w:p>
        </w:tc>
        <w:tc>
          <w:tcPr>
            <w:tcW w:w="3161" w:type="dxa"/>
            <w:tcBorders>
              <w:top w:val="single" w:sz="4" w:space="0" w:color="auto"/>
              <w:left w:val="single" w:sz="4" w:space="0" w:color="auto"/>
              <w:bottom w:val="single" w:sz="4" w:space="0" w:color="auto"/>
              <w:right w:val="single" w:sz="4" w:space="0" w:color="auto"/>
            </w:tcBorders>
          </w:tcPr>
          <w:p w14:paraId="4D3183AC" w14:textId="60358AB2" w:rsidR="00527774" w:rsidRPr="00140276" w:rsidRDefault="00FC73A3" w:rsidP="00527774">
            <w:pPr>
              <w:spacing w:before="0" w:after="0" w:line="240" w:lineRule="auto"/>
              <w:jc w:val="right"/>
              <w:rPr>
                <w:rFonts w:eastAsia="Times New Roman"/>
                <w:color w:val="000000"/>
                <w:sz w:val="18"/>
                <w:szCs w:val="18"/>
                <w:highlight w:val="cyan"/>
              </w:rPr>
            </w:pPr>
            <w:r>
              <w:rPr>
                <w:b/>
                <w:bCs/>
                <w:color w:val="0000CC"/>
                <w:sz w:val="19"/>
                <w:szCs w:val="19"/>
              </w:rPr>
              <w:t>“CONFIDENCIAL POR LEY (47</w:t>
            </w:r>
            <w:r w:rsidR="00527774" w:rsidRPr="007216C2">
              <w:rPr>
                <w:b/>
                <w:bCs/>
                <w:color w:val="0000CC"/>
                <w:sz w:val="19"/>
                <w:szCs w:val="19"/>
              </w:rPr>
              <w:t>)”</w:t>
            </w:r>
          </w:p>
        </w:tc>
      </w:tr>
      <w:tr w:rsidR="00527774" w:rsidRPr="009127A8" w14:paraId="2CB788DF" w14:textId="77777777" w:rsidTr="00FC73A3">
        <w:trPr>
          <w:jc w:val="center"/>
        </w:trPr>
        <w:tc>
          <w:tcPr>
            <w:tcW w:w="2972" w:type="dxa"/>
            <w:vMerge/>
            <w:vAlign w:val="center"/>
          </w:tcPr>
          <w:p w14:paraId="185BD524" w14:textId="77777777" w:rsidR="00527774" w:rsidRPr="009127A8" w:rsidRDefault="00527774" w:rsidP="00527774">
            <w:pPr>
              <w:spacing w:before="0" w:after="0" w:line="240" w:lineRule="auto"/>
              <w:jc w:val="left"/>
              <w:rPr>
                <w:rFonts w:eastAsia="Times New Roman"/>
                <w:color w:val="000000"/>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60C80C0" w14:textId="0BC3B705" w:rsidR="00527774" w:rsidRPr="00D52D4F" w:rsidRDefault="00527774" w:rsidP="00527774">
            <w:pPr>
              <w:spacing w:before="0" w:after="0" w:line="240" w:lineRule="auto"/>
              <w:jc w:val="center"/>
              <w:rPr>
                <w:rFonts w:eastAsia="Times New Roman"/>
                <w:color w:val="000000"/>
                <w:sz w:val="18"/>
                <w:szCs w:val="18"/>
              </w:rPr>
            </w:pPr>
            <w:r w:rsidRPr="007D02A7">
              <w:rPr>
                <w:b/>
                <w:bCs/>
                <w:color w:val="0000CC"/>
                <w:sz w:val="19"/>
                <w:szCs w:val="19"/>
              </w:rPr>
              <w:t xml:space="preserve">“CONFIDENCIAL POR LEY </w:t>
            </w:r>
            <w:r>
              <w:rPr>
                <w:b/>
                <w:bCs/>
                <w:color w:val="0000CC"/>
                <w:sz w:val="19"/>
                <w:szCs w:val="19"/>
              </w:rPr>
              <w:t>(</w:t>
            </w:r>
            <w:r w:rsidR="00FC73A3">
              <w:rPr>
                <w:b/>
                <w:bCs/>
                <w:color w:val="0000CC"/>
                <w:sz w:val="19"/>
                <w:szCs w:val="19"/>
              </w:rPr>
              <w:t>48</w:t>
            </w:r>
            <w:r>
              <w:rPr>
                <w:b/>
                <w:bCs/>
                <w:color w:val="0000CC"/>
                <w:sz w:val="19"/>
                <w:szCs w:val="19"/>
              </w:rPr>
              <w:t>)</w:t>
            </w:r>
            <w:r w:rsidRPr="007D02A7">
              <w:rPr>
                <w:b/>
                <w:bCs/>
                <w:color w:val="0000CC"/>
                <w:sz w:val="19"/>
                <w:szCs w:val="19"/>
              </w:rPr>
              <w:t>”</w:t>
            </w:r>
          </w:p>
        </w:tc>
        <w:tc>
          <w:tcPr>
            <w:tcW w:w="3161" w:type="dxa"/>
            <w:tcBorders>
              <w:top w:val="single" w:sz="4" w:space="0" w:color="auto"/>
              <w:left w:val="single" w:sz="4" w:space="0" w:color="auto"/>
              <w:bottom w:val="single" w:sz="4" w:space="0" w:color="auto"/>
              <w:right w:val="single" w:sz="4" w:space="0" w:color="auto"/>
            </w:tcBorders>
          </w:tcPr>
          <w:p w14:paraId="78B401D7" w14:textId="75AD41FA" w:rsidR="00527774" w:rsidRPr="00140276" w:rsidRDefault="00FC73A3" w:rsidP="00527774">
            <w:pPr>
              <w:spacing w:before="0" w:after="0" w:line="240" w:lineRule="auto"/>
              <w:jc w:val="right"/>
              <w:rPr>
                <w:rFonts w:eastAsia="Times New Roman"/>
                <w:color w:val="000000"/>
                <w:sz w:val="18"/>
                <w:szCs w:val="18"/>
                <w:highlight w:val="cyan"/>
              </w:rPr>
            </w:pPr>
            <w:r>
              <w:rPr>
                <w:b/>
                <w:bCs/>
                <w:color w:val="0000CC"/>
                <w:sz w:val="19"/>
                <w:szCs w:val="19"/>
              </w:rPr>
              <w:t>“CONFIDENCIAL POR LEY (49</w:t>
            </w:r>
            <w:r w:rsidR="00527774" w:rsidRPr="007216C2">
              <w:rPr>
                <w:b/>
                <w:bCs/>
                <w:color w:val="0000CC"/>
                <w:sz w:val="19"/>
                <w:szCs w:val="19"/>
              </w:rPr>
              <w:t>)”</w:t>
            </w:r>
          </w:p>
        </w:tc>
      </w:tr>
      <w:tr w:rsidR="00527774" w:rsidRPr="00D52D4F" w14:paraId="6FA8A624" w14:textId="77777777" w:rsidTr="00FC73A3">
        <w:trPr>
          <w:jc w:val="center"/>
        </w:trPr>
        <w:tc>
          <w:tcPr>
            <w:tcW w:w="2972" w:type="dxa"/>
            <w:vAlign w:val="center"/>
          </w:tcPr>
          <w:p w14:paraId="180A9EEB" w14:textId="0AE5626E" w:rsidR="00527774" w:rsidRPr="00955BA9" w:rsidRDefault="00527774" w:rsidP="00527774">
            <w:pPr>
              <w:spacing w:before="0" w:after="0" w:line="240" w:lineRule="auto"/>
              <w:jc w:val="left"/>
              <w:rPr>
                <w:rFonts w:eastAsia="Times New Roman"/>
                <w:color w:val="000000"/>
                <w:sz w:val="18"/>
                <w:szCs w:val="18"/>
                <w:lang w:val="en-US"/>
              </w:rPr>
            </w:pPr>
            <w:r w:rsidRPr="00955BA9">
              <w:rPr>
                <w:rFonts w:eastAsia="Times New Roman"/>
                <w:color w:val="000000"/>
                <w:sz w:val="18"/>
                <w:szCs w:val="18"/>
                <w:lang w:val="en-US"/>
              </w:rPr>
              <w:t>Big Data Analytics, S.A. de C.V.</w:t>
            </w:r>
          </w:p>
        </w:tc>
        <w:tc>
          <w:tcPr>
            <w:tcW w:w="3119" w:type="dxa"/>
            <w:tcBorders>
              <w:top w:val="single" w:sz="4" w:space="0" w:color="auto"/>
              <w:left w:val="single" w:sz="4" w:space="0" w:color="auto"/>
              <w:bottom w:val="single" w:sz="4" w:space="0" w:color="auto"/>
              <w:right w:val="single" w:sz="4" w:space="0" w:color="auto"/>
            </w:tcBorders>
            <w:vAlign w:val="center"/>
          </w:tcPr>
          <w:p w14:paraId="6A7F50EB" w14:textId="45DD0AF0" w:rsidR="00527774" w:rsidRPr="00D52D4F" w:rsidRDefault="00527774" w:rsidP="00527774">
            <w:pPr>
              <w:spacing w:before="0" w:after="0" w:line="240" w:lineRule="auto"/>
              <w:jc w:val="center"/>
              <w:rPr>
                <w:rFonts w:eastAsia="Times New Roman"/>
                <w:color w:val="000000"/>
                <w:sz w:val="18"/>
                <w:szCs w:val="18"/>
              </w:rPr>
            </w:pPr>
            <w:r w:rsidRPr="00D52D4F">
              <w:rPr>
                <w:rFonts w:eastAsia="Times New Roman"/>
                <w:color w:val="000000"/>
                <w:sz w:val="18"/>
                <w:szCs w:val="18"/>
              </w:rPr>
              <w:t>KIO</w:t>
            </w:r>
          </w:p>
        </w:tc>
        <w:tc>
          <w:tcPr>
            <w:tcW w:w="3161" w:type="dxa"/>
            <w:tcBorders>
              <w:top w:val="single" w:sz="4" w:space="0" w:color="auto"/>
              <w:left w:val="single" w:sz="4" w:space="0" w:color="auto"/>
              <w:bottom w:val="single" w:sz="4" w:space="0" w:color="auto"/>
              <w:right w:val="single" w:sz="4" w:space="0" w:color="auto"/>
            </w:tcBorders>
          </w:tcPr>
          <w:p w14:paraId="31504660" w14:textId="7A6BA7CC" w:rsidR="00527774" w:rsidRPr="00140276" w:rsidRDefault="00527774" w:rsidP="00FC73A3">
            <w:pPr>
              <w:spacing w:before="0" w:after="0" w:line="240" w:lineRule="auto"/>
              <w:jc w:val="right"/>
              <w:rPr>
                <w:rFonts w:eastAsia="Times New Roman"/>
                <w:color w:val="000000"/>
                <w:sz w:val="18"/>
                <w:szCs w:val="18"/>
                <w:highlight w:val="cyan"/>
              </w:rPr>
            </w:pPr>
            <w:r w:rsidRPr="007216C2">
              <w:rPr>
                <w:b/>
                <w:bCs/>
                <w:color w:val="0000CC"/>
                <w:sz w:val="19"/>
                <w:szCs w:val="19"/>
              </w:rPr>
              <w:t>“CONFIDENCIAL POR LEY (</w:t>
            </w:r>
            <w:r w:rsidR="00FC73A3">
              <w:rPr>
                <w:b/>
                <w:bCs/>
                <w:color w:val="0000CC"/>
                <w:sz w:val="19"/>
                <w:szCs w:val="19"/>
              </w:rPr>
              <w:t>50</w:t>
            </w:r>
            <w:r w:rsidRPr="007216C2">
              <w:rPr>
                <w:b/>
                <w:bCs/>
                <w:color w:val="0000CC"/>
                <w:sz w:val="19"/>
                <w:szCs w:val="19"/>
              </w:rPr>
              <w:t>)”</w:t>
            </w:r>
          </w:p>
        </w:tc>
      </w:tr>
      <w:tr w:rsidR="00527774" w:rsidRPr="00D52D4F" w14:paraId="5A0A677B" w14:textId="77777777" w:rsidTr="00FC73A3">
        <w:trPr>
          <w:jc w:val="center"/>
        </w:trPr>
        <w:tc>
          <w:tcPr>
            <w:tcW w:w="2972" w:type="dxa"/>
            <w:vMerge w:val="restart"/>
            <w:vAlign w:val="center"/>
          </w:tcPr>
          <w:p w14:paraId="33FAA80B" w14:textId="3EFC2E7D" w:rsidR="00527774" w:rsidRPr="00D52D4F" w:rsidRDefault="00527774" w:rsidP="00527774">
            <w:pPr>
              <w:spacing w:before="0" w:after="0" w:line="240" w:lineRule="auto"/>
              <w:jc w:val="left"/>
              <w:rPr>
                <w:rFonts w:eastAsia="Times New Roman"/>
                <w:color w:val="000000"/>
                <w:sz w:val="18"/>
                <w:szCs w:val="18"/>
              </w:rPr>
            </w:pPr>
            <w:r>
              <w:rPr>
                <w:rFonts w:eastAsia="Times New Roman"/>
                <w:color w:val="000000"/>
                <w:sz w:val="18"/>
                <w:szCs w:val="18"/>
              </w:rPr>
              <w:t>Internet Networks</w:t>
            </w:r>
            <w:r w:rsidRPr="00D52D4F">
              <w:rPr>
                <w:rFonts w:eastAsia="Times New Roman"/>
                <w:color w:val="000000"/>
                <w:sz w:val="18"/>
                <w:szCs w:val="18"/>
              </w:rPr>
              <w:t>, S.A. de C.V.</w:t>
            </w:r>
          </w:p>
        </w:tc>
        <w:tc>
          <w:tcPr>
            <w:tcW w:w="3119" w:type="dxa"/>
            <w:tcBorders>
              <w:top w:val="single" w:sz="4" w:space="0" w:color="auto"/>
              <w:left w:val="single" w:sz="4" w:space="0" w:color="auto"/>
              <w:bottom w:val="single" w:sz="4" w:space="0" w:color="auto"/>
              <w:right w:val="single" w:sz="4" w:space="0" w:color="auto"/>
            </w:tcBorders>
            <w:vAlign w:val="center"/>
          </w:tcPr>
          <w:p w14:paraId="320D764E" w14:textId="2B3A3BDC" w:rsidR="00527774" w:rsidRPr="00D52D4F" w:rsidRDefault="00527774" w:rsidP="00527774">
            <w:pPr>
              <w:spacing w:before="0" w:after="0" w:line="240" w:lineRule="auto"/>
              <w:jc w:val="center"/>
              <w:rPr>
                <w:rFonts w:eastAsia="Times New Roman"/>
                <w:color w:val="000000"/>
                <w:sz w:val="18"/>
                <w:szCs w:val="18"/>
              </w:rPr>
            </w:pPr>
            <w:proofErr w:type="spellStart"/>
            <w:r>
              <w:rPr>
                <w:rFonts w:eastAsia="Times New Roman"/>
                <w:color w:val="000000"/>
                <w:sz w:val="18"/>
                <w:szCs w:val="18"/>
              </w:rPr>
              <w:t>Wingu</w:t>
            </w:r>
            <w:proofErr w:type="spellEnd"/>
          </w:p>
        </w:tc>
        <w:tc>
          <w:tcPr>
            <w:tcW w:w="3161" w:type="dxa"/>
            <w:tcBorders>
              <w:top w:val="single" w:sz="4" w:space="0" w:color="auto"/>
              <w:left w:val="single" w:sz="4" w:space="0" w:color="auto"/>
              <w:bottom w:val="single" w:sz="4" w:space="0" w:color="auto"/>
              <w:right w:val="single" w:sz="4" w:space="0" w:color="auto"/>
            </w:tcBorders>
          </w:tcPr>
          <w:p w14:paraId="49804CAD" w14:textId="56F67EB6" w:rsidR="00527774" w:rsidRPr="00140276" w:rsidRDefault="00527774" w:rsidP="00527774">
            <w:pPr>
              <w:spacing w:before="0" w:after="0" w:line="240" w:lineRule="auto"/>
              <w:jc w:val="right"/>
              <w:rPr>
                <w:rFonts w:eastAsia="Times New Roman"/>
                <w:color w:val="000000"/>
                <w:sz w:val="18"/>
                <w:szCs w:val="18"/>
                <w:highlight w:val="cyan"/>
              </w:rPr>
            </w:pPr>
            <w:r w:rsidRPr="007216C2">
              <w:rPr>
                <w:b/>
                <w:bCs/>
                <w:color w:val="0000CC"/>
                <w:sz w:val="19"/>
                <w:szCs w:val="19"/>
              </w:rPr>
              <w:t xml:space="preserve">“CONFIDENCIAL </w:t>
            </w:r>
            <w:r w:rsidR="00FC73A3">
              <w:rPr>
                <w:b/>
                <w:bCs/>
                <w:color w:val="0000CC"/>
                <w:sz w:val="19"/>
                <w:szCs w:val="19"/>
              </w:rPr>
              <w:t>POR LEY (51</w:t>
            </w:r>
            <w:r w:rsidRPr="007216C2">
              <w:rPr>
                <w:b/>
                <w:bCs/>
                <w:color w:val="0000CC"/>
                <w:sz w:val="19"/>
                <w:szCs w:val="19"/>
              </w:rPr>
              <w:t>)”</w:t>
            </w:r>
          </w:p>
        </w:tc>
      </w:tr>
      <w:tr w:rsidR="00527774" w:rsidRPr="00D52D4F" w14:paraId="26B98801" w14:textId="77777777" w:rsidTr="00FC73A3">
        <w:trPr>
          <w:jc w:val="center"/>
        </w:trPr>
        <w:tc>
          <w:tcPr>
            <w:tcW w:w="2972" w:type="dxa"/>
            <w:vMerge/>
            <w:vAlign w:val="center"/>
          </w:tcPr>
          <w:p w14:paraId="5C30C355" w14:textId="77777777" w:rsidR="00527774" w:rsidRDefault="00527774" w:rsidP="00527774">
            <w:pPr>
              <w:spacing w:before="0" w:after="0" w:line="240" w:lineRule="auto"/>
              <w:jc w:val="left"/>
              <w:rPr>
                <w:rFonts w:eastAsia="Times New Roman"/>
                <w:color w:val="000000"/>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5C27210" w14:textId="77777777" w:rsidR="00527774" w:rsidRDefault="00527774" w:rsidP="00527774">
            <w:pPr>
              <w:spacing w:before="0" w:after="0" w:line="240" w:lineRule="auto"/>
              <w:jc w:val="center"/>
              <w:rPr>
                <w:rFonts w:eastAsia="Times New Roman"/>
                <w:color w:val="000000"/>
                <w:sz w:val="18"/>
                <w:szCs w:val="18"/>
              </w:rPr>
            </w:pPr>
            <w:r>
              <w:rPr>
                <w:rFonts w:eastAsia="Times New Roman"/>
                <w:color w:val="000000"/>
                <w:sz w:val="18"/>
                <w:szCs w:val="18"/>
              </w:rPr>
              <w:t>KIO</w:t>
            </w:r>
          </w:p>
        </w:tc>
        <w:tc>
          <w:tcPr>
            <w:tcW w:w="3161" w:type="dxa"/>
            <w:tcBorders>
              <w:top w:val="single" w:sz="4" w:space="0" w:color="auto"/>
              <w:left w:val="single" w:sz="4" w:space="0" w:color="auto"/>
              <w:bottom w:val="single" w:sz="4" w:space="0" w:color="auto"/>
              <w:right w:val="single" w:sz="4" w:space="0" w:color="auto"/>
            </w:tcBorders>
          </w:tcPr>
          <w:p w14:paraId="1F9EB604" w14:textId="0D88C292" w:rsidR="00527774" w:rsidRPr="00140276" w:rsidRDefault="00FC73A3" w:rsidP="00527774">
            <w:pPr>
              <w:spacing w:before="0" w:after="0" w:line="240" w:lineRule="auto"/>
              <w:jc w:val="right"/>
              <w:rPr>
                <w:rFonts w:eastAsia="Times New Roman"/>
                <w:color w:val="000000"/>
                <w:sz w:val="18"/>
                <w:szCs w:val="18"/>
                <w:highlight w:val="cyan"/>
              </w:rPr>
            </w:pPr>
            <w:r>
              <w:rPr>
                <w:b/>
                <w:bCs/>
                <w:color w:val="0000CC"/>
                <w:sz w:val="19"/>
                <w:szCs w:val="19"/>
              </w:rPr>
              <w:t>“CONFIDENCIAL POR LEY (52</w:t>
            </w:r>
            <w:r w:rsidR="00527774" w:rsidRPr="007216C2">
              <w:rPr>
                <w:b/>
                <w:bCs/>
                <w:color w:val="0000CC"/>
                <w:sz w:val="19"/>
                <w:szCs w:val="19"/>
              </w:rPr>
              <w:t>)”</w:t>
            </w:r>
          </w:p>
        </w:tc>
      </w:tr>
      <w:tr w:rsidR="00527774" w:rsidRPr="00D52D4F" w14:paraId="0840C82D" w14:textId="77777777" w:rsidTr="00FC73A3">
        <w:trPr>
          <w:jc w:val="center"/>
        </w:trPr>
        <w:tc>
          <w:tcPr>
            <w:tcW w:w="2972" w:type="dxa"/>
            <w:vMerge w:val="restart"/>
            <w:vAlign w:val="center"/>
          </w:tcPr>
          <w:p w14:paraId="36A34BF5" w14:textId="77777777" w:rsidR="00527774" w:rsidRDefault="00527774" w:rsidP="00527774">
            <w:pPr>
              <w:spacing w:before="0" w:after="0" w:line="240" w:lineRule="auto"/>
              <w:jc w:val="left"/>
              <w:rPr>
                <w:rFonts w:eastAsia="Times New Roman"/>
                <w:color w:val="000000"/>
                <w:sz w:val="18"/>
                <w:szCs w:val="18"/>
              </w:rPr>
            </w:pPr>
            <w:proofErr w:type="spellStart"/>
            <w:r>
              <w:rPr>
                <w:rFonts w:eastAsia="Times New Roman"/>
                <w:color w:val="000000"/>
                <w:sz w:val="18"/>
                <w:szCs w:val="18"/>
              </w:rPr>
              <w:t>InterPlanet</w:t>
            </w:r>
            <w:proofErr w:type="spellEnd"/>
            <w:r w:rsidRPr="00D52D4F">
              <w:rPr>
                <w:rFonts w:eastAsia="Times New Roman"/>
                <w:color w:val="000000"/>
                <w:sz w:val="18"/>
                <w:szCs w:val="18"/>
              </w:rPr>
              <w:t>, S.A. de C.V.</w:t>
            </w:r>
          </w:p>
        </w:tc>
        <w:tc>
          <w:tcPr>
            <w:tcW w:w="3119" w:type="dxa"/>
            <w:tcBorders>
              <w:top w:val="single" w:sz="4" w:space="0" w:color="auto"/>
              <w:left w:val="single" w:sz="4" w:space="0" w:color="auto"/>
              <w:bottom w:val="single" w:sz="4" w:space="0" w:color="auto"/>
              <w:right w:val="single" w:sz="4" w:space="0" w:color="auto"/>
            </w:tcBorders>
            <w:vAlign w:val="center"/>
          </w:tcPr>
          <w:p w14:paraId="31A5B552" w14:textId="77777777" w:rsidR="00527774" w:rsidRDefault="00527774" w:rsidP="00527774">
            <w:pPr>
              <w:spacing w:before="0" w:after="0" w:line="240" w:lineRule="auto"/>
              <w:jc w:val="center"/>
              <w:rPr>
                <w:rFonts w:eastAsia="Times New Roman"/>
                <w:color w:val="000000"/>
                <w:sz w:val="18"/>
                <w:szCs w:val="18"/>
              </w:rPr>
            </w:pPr>
            <w:proofErr w:type="spellStart"/>
            <w:r>
              <w:rPr>
                <w:rFonts w:eastAsia="Times New Roman"/>
                <w:color w:val="000000"/>
                <w:sz w:val="18"/>
                <w:szCs w:val="18"/>
              </w:rPr>
              <w:t>Wingu</w:t>
            </w:r>
            <w:proofErr w:type="spellEnd"/>
          </w:p>
        </w:tc>
        <w:tc>
          <w:tcPr>
            <w:tcW w:w="3161" w:type="dxa"/>
            <w:tcBorders>
              <w:top w:val="single" w:sz="4" w:space="0" w:color="auto"/>
              <w:left w:val="single" w:sz="4" w:space="0" w:color="auto"/>
              <w:bottom w:val="single" w:sz="4" w:space="0" w:color="auto"/>
              <w:right w:val="single" w:sz="4" w:space="0" w:color="auto"/>
            </w:tcBorders>
          </w:tcPr>
          <w:p w14:paraId="3D29D0EC" w14:textId="5DE01599" w:rsidR="00527774" w:rsidRPr="00140276" w:rsidRDefault="00FC73A3" w:rsidP="00527774">
            <w:pPr>
              <w:spacing w:before="0" w:after="0" w:line="240" w:lineRule="auto"/>
              <w:jc w:val="right"/>
              <w:rPr>
                <w:rFonts w:eastAsia="Times New Roman"/>
                <w:color w:val="000000"/>
                <w:sz w:val="18"/>
                <w:szCs w:val="18"/>
                <w:highlight w:val="cyan"/>
              </w:rPr>
            </w:pPr>
            <w:r>
              <w:rPr>
                <w:b/>
                <w:bCs/>
                <w:color w:val="0000CC"/>
                <w:sz w:val="19"/>
                <w:szCs w:val="19"/>
              </w:rPr>
              <w:t>“CONFIDENCIAL POR LEY (53</w:t>
            </w:r>
            <w:r w:rsidR="00527774" w:rsidRPr="007216C2">
              <w:rPr>
                <w:b/>
                <w:bCs/>
                <w:color w:val="0000CC"/>
                <w:sz w:val="19"/>
                <w:szCs w:val="19"/>
              </w:rPr>
              <w:t>)”</w:t>
            </w:r>
          </w:p>
        </w:tc>
      </w:tr>
      <w:tr w:rsidR="00527774" w:rsidRPr="00D52D4F" w14:paraId="266A1DAA" w14:textId="77777777" w:rsidTr="00FC73A3">
        <w:trPr>
          <w:jc w:val="center"/>
        </w:trPr>
        <w:tc>
          <w:tcPr>
            <w:tcW w:w="2972" w:type="dxa"/>
            <w:vMerge/>
            <w:vAlign w:val="center"/>
          </w:tcPr>
          <w:p w14:paraId="384C230A" w14:textId="77777777" w:rsidR="00527774" w:rsidRDefault="00527774" w:rsidP="00527774">
            <w:pPr>
              <w:spacing w:before="0" w:after="0" w:line="240" w:lineRule="auto"/>
              <w:jc w:val="left"/>
              <w:rPr>
                <w:rFonts w:eastAsia="Times New Roman"/>
                <w:color w:val="000000"/>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BE9156A" w14:textId="77777777" w:rsidR="00527774" w:rsidRDefault="00527774" w:rsidP="00527774">
            <w:pPr>
              <w:spacing w:before="0" w:after="0" w:line="240" w:lineRule="auto"/>
              <w:jc w:val="center"/>
              <w:rPr>
                <w:rFonts w:eastAsia="Times New Roman"/>
                <w:color w:val="000000"/>
                <w:sz w:val="18"/>
                <w:szCs w:val="18"/>
              </w:rPr>
            </w:pPr>
            <w:r>
              <w:rPr>
                <w:rFonts w:eastAsia="Times New Roman"/>
                <w:color w:val="000000"/>
                <w:sz w:val="18"/>
                <w:szCs w:val="18"/>
              </w:rPr>
              <w:t>KIO</w:t>
            </w:r>
          </w:p>
        </w:tc>
        <w:tc>
          <w:tcPr>
            <w:tcW w:w="3161" w:type="dxa"/>
            <w:tcBorders>
              <w:top w:val="single" w:sz="4" w:space="0" w:color="auto"/>
              <w:left w:val="single" w:sz="4" w:space="0" w:color="auto"/>
              <w:bottom w:val="single" w:sz="4" w:space="0" w:color="auto"/>
              <w:right w:val="single" w:sz="4" w:space="0" w:color="auto"/>
            </w:tcBorders>
          </w:tcPr>
          <w:p w14:paraId="17E77B19" w14:textId="37BB517A" w:rsidR="00527774" w:rsidRPr="00140276" w:rsidRDefault="00FC73A3" w:rsidP="00527774">
            <w:pPr>
              <w:spacing w:before="0" w:after="0" w:line="240" w:lineRule="auto"/>
              <w:jc w:val="right"/>
              <w:rPr>
                <w:rFonts w:eastAsia="Times New Roman"/>
                <w:color w:val="000000"/>
                <w:sz w:val="18"/>
                <w:szCs w:val="18"/>
                <w:highlight w:val="cyan"/>
              </w:rPr>
            </w:pPr>
            <w:r>
              <w:rPr>
                <w:b/>
                <w:bCs/>
                <w:color w:val="0000CC"/>
                <w:sz w:val="19"/>
                <w:szCs w:val="19"/>
              </w:rPr>
              <w:t>“CONFIDENCIAL POR LEY (54</w:t>
            </w:r>
            <w:r w:rsidR="00527774" w:rsidRPr="007216C2">
              <w:rPr>
                <w:b/>
                <w:bCs/>
                <w:color w:val="0000CC"/>
                <w:sz w:val="19"/>
                <w:szCs w:val="19"/>
              </w:rPr>
              <w:t>)”</w:t>
            </w:r>
          </w:p>
        </w:tc>
      </w:tr>
      <w:tr w:rsidR="00527774" w:rsidRPr="00D52D4F" w14:paraId="392E7E42" w14:textId="77777777" w:rsidTr="00FC73A3">
        <w:trPr>
          <w:jc w:val="center"/>
        </w:trPr>
        <w:tc>
          <w:tcPr>
            <w:tcW w:w="2972" w:type="dxa"/>
            <w:vMerge w:val="restart"/>
            <w:vAlign w:val="center"/>
          </w:tcPr>
          <w:p w14:paraId="5000C358" w14:textId="53C64FC2" w:rsidR="00527774" w:rsidRDefault="00527774" w:rsidP="00527774">
            <w:pPr>
              <w:spacing w:before="0" w:after="0" w:line="240" w:lineRule="auto"/>
              <w:jc w:val="left"/>
              <w:rPr>
                <w:rFonts w:eastAsia="Times New Roman"/>
                <w:color w:val="000000"/>
                <w:sz w:val="18"/>
                <w:szCs w:val="18"/>
              </w:rPr>
            </w:pPr>
            <w:r>
              <w:rPr>
                <w:rFonts w:eastAsia="Times New Roman"/>
                <w:color w:val="000000"/>
                <w:sz w:val="18"/>
                <w:szCs w:val="18"/>
              </w:rPr>
              <w:t>Servicios de TI Perú, S.A.</w:t>
            </w:r>
          </w:p>
        </w:tc>
        <w:tc>
          <w:tcPr>
            <w:tcW w:w="3119" w:type="dxa"/>
            <w:tcBorders>
              <w:top w:val="single" w:sz="4" w:space="0" w:color="auto"/>
              <w:left w:val="single" w:sz="4" w:space="0" w:color="auto"/>
              <w:bottom w:val="single" w:sz="4" w:space="0" w:color="auto"/>
              <w:right w:val="single" w:sz="4" w:space="0" w:color="auto"/>
            </w:tcBorders>
            <w:vAlign w:val="center"/>
          </w:tcPr>
          <w:p w14:paraId="4852F6D6" w14:textId="77777777" w:rsidR="00527774" w:rsidRDefault="00527774" w:rsidP="00527774">
            <w:pPr>
              <w:spacing w:before="0" w:after="0" w:line="240" w:lineRule="auto"/>
              <w:jc w:val="center"/>
              <w:rPr>
                <w:rFonts w:eastAsia="Times New Roman"/>
                <w:color w:val="000000"/>
                <w:sz w:val="18"/>
                <w:szCs w:val="18"/>
              </w:rPr>
            </w:pPr>
            <w:r>
              <w:rPr>
                <w:rFonts w:eastAsia="Times New Roman"/>
                <w:color w:val="000000"/>
                <w:sz w:val="18"/>
                <w:szCs w:val="18"/>
              </w:rPr>
              <w:t>Metro Net</w:t>
            </w:r>
          </w:p>
        </w:tc>
        <w:tc>
          <w:tcPr>
            <w:tcW w:w="3161" w:type="dxa"/>
            <w:tcBorders>
              <w:top w:val="single" w:sz="4" w:space="0" w:color="auto"/>
              <w:left w:val="single" w:sz="4" w:space="0" w:color="auto"/>
              <w:bottom w:val="single" w:sz="4" w:space="0" w:color="auto"/>
              <w:right w:val="single" w:sz="4" w:space="0" w:color="auto"/>
            </w:tcBorders>
          </w:tcPr>
          <w:p w14:paraId="31D450DA" w14:textId="55E5FD08" w:rsidR="00527774" w:rsidRPr="00140276" w:rsidRDefault="00FC73A3" w:rsidP="00527774">
            <w:pPr>
              <w:spacing w:before="0" w:after="0" w:line="240" w:lineRule="auto"/>
              <w:jc w:val="right"/>
              <w:rPr>
                <w:rFonts w:eastAsia="Times New Roman"/>
                <w:color w:val="000000"/>
                <w:sz w:val="18"/>
                <w:szCs w:val="18"/>
                <w:highlight w:val="cyan"/>
              </w:rPr>
            </w:pPr>
            <w:r>
              <w:rPr>
                <w:b/>
                <w:bCs/>
                <w:color w:val="0000CC"/>
                <w:sz w:val="19"/>
                <w:szCs w:val="19"/>
              </w:rPr>
              <w:t>“CONFIDENCIAL POR LEY (55</w:t>
            </w:r>
            <w:r w:rsidR="00527774" w:rsidRPr="007216C2">
              <w:rPr>
                <w:b/>
                <w:bCs/>
                <w:color w:val="0000CC"/>
                <w:sz w:val="19"/>
                <w:szCs w:val="19"/>
              </w:rPr>
              <w:t>)”</w:t>
            </w:r>
          </w:p>
        </w:tc>
      </w:tr>
      <w:tr w:rsidR="00527774" w:rsidRPr="00D52D4F" w14:paraId="2BF2D9DF" w14:textId="77777777" w:rsidTr="00FC73A3">
        <w:trPr>
          <w:jc w:val="center"/>
        </w:trPr>
        <w:tc>
          <w:tcPr>
            <w:tcW w:w="2972" w:type="dxa"/>
            <w:vMerge/>
            <w:vAlign w:val="center"/>
          </w:tcPr>
          <w:p w14:paraId="47AE7342" w14:textId="77777777" w:rsidR="00527774" w:rsidRDefault="00527774" w:rsidP="00527774">
            <w:pPr>
              <w:spacing w:before="0" w:after="0" w:line="240" w:lineRule="auto"/>
              <w:jc w:val="left"/>
              <w:rPr>
                <w:rFonts w:eastAsia="Times New Roman"/>
                <w:color w:val="000000"/>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A88772F" w14:textId="77777777" w:rsidR="00527774" w:rsidRDefault="00527774" w:rsidP="00527774">
            <w:pPr>
              <w:spacing w:before="0" w:after="0" w:line="240" w:lineRule="auto"/>
              <w:jc w:val="center"/>
              <w:rPr>
                <w:rFonts w:eastAsia="Times New Roman"/>
                <w:color w:val="000000"/>
                <w:sz w:val="18"/>
                <w:szCs w:val="18"/>
              </w:rPr>
            </w:pPr>
            <w:proofErr w:type="spellStart"/>
            <w:r>
              <w:rPr>
                <w:rFonts w:eastAsia="Times New Roman"/>
                <w:color w:val="000000"/>
                <w:sz w:val="18"/>
                <w:szCs w:val="18"/>
              </w:rPr>
              <w:t>Wingu</w:t>
            </w:r>
            <w:proofErr w:type="spellEnd"/>
          </w:p>
        </w:tc>
        <w:tc>
          <w:tcPr>
            <w:tcW w:w="3161" w:type="dxa"/>
            <w:tcBorders>
              <w:top w:val="single" w:sz="4" w:space="0" w:color="auto"/>
              <w:left w:val="single" w:sz="4" w:space="0" w:color="auto"/>
              <w:bottom w:val="single" w:sz="4" w:space="0" w:color="auto"/>
              <w:right w:val="single" w:sz="4" w:space="0" w:color="auto"/>
            </w:tcBorders>
          </w:tcPr>
          <w:p w14:paraId="3050EF23" w14:textId="2A3C90B1" w:rsidR="00527774" w:rsidRPr="00140276" w:rsidRDefault="00FC73A3" w:rsidP="00527774">
            <w:pPr>
              <w:spacing w:before="0" w:after="0" w:line="240" w:lineRule="auto"/>
              <w:jc w:val="right"/>
              <w:rPr>
                <w:rFonts w:eastAsia="Times New Roman"/>
                <w:color w:val="000000"/>
                <w:sz w:val="18"/>
                <w:szCs w:val="18"/>
                <w:highlight w:val="cyan"/>
              </w:rPr>
            </w:pPr>
            <w:r>
              <w:rPr>
                <w:b/>
                <w:bCs/>
                <w:color w:val="0000CC"/>
                <w:sz w:val="19"/>
                <w:szCs w:val="19"/>
              </w:rPr>
              <w:t>“CONFIDENCIAL POR LEY (56</w:t>
            </w:r>
            <w:r w:rsidR="00527774" w:rsidRPr="007216C2">
              <w:rPr>
                <w:b/>
                <w:bCs/>
                <w:color w:val="0000CC"/>
                <w:sz w:val="19"/>
                <w:szCs w:val="19"/>
              </w:rPr>
              <w:t>)”</w:t>
            </w:r>
          </w:p>
        </w:tc>
      </w:tr>
      <w:tr w:rsidR="00527774" w:rsidRPr="00D52D4F" w14:paraId="2AE6348C" w14:textId="77777777" w:rsidTr="00FC73A3">
        <w:trPr>
          <w:jc w:val="center"/>
        </w:trPr>
        <w:tc>
          <w:tcPr>
            <w:tcW w:w="2972" w:type="dxa"/>
            <w:vMerge w:val="restart"/>
            <w:vAlign w:val="center"/>
          </w:tcPr>
          <w:p w14:paraId="1E9D16C8" w14:textId="77777777" w:rsidR="00527774" w:rsidRDefault="00527774" w:rsidP="00527774">
            <w:pPr>
              <w:spacing w:before="0" w:after="0" w:line="240" w:lineRule="auto"/>
              <w:jc w:val="left"/>
              <w:rPr>
                <w:rFonts w:eastAsia="Times New Roman"/>
                <w:color w:val="000000"/>
                <w:sz w:val="18"/>
                <w:szCs w:val="18"/>
              </w:rPr>
            </w:pPr>
            <w:r w:rsidRPr="00695384">
              <w:rPr>
                <w:rFonts w:eastAsia="Times New Roman"/>
                <w:color w:val="000000"/>
                <w:sz w:val="18"/>
                <w:szCs w:val="18"/>
              </w:rPr>
              <w:t>Metro Net LLC, S. de R.L. de C.V.</w:t>
            </w:r>
          </w:p>
        </w:tc>
        <w:tc>
          <w:tcPr>
            <w:tcW w:w="3119" w:type="dxa"/>
            <w:tcBorders>
              <w:top w:val="single" w:sz="4" w:space="0" w:color="auto"/>
              <w:left w:val="single" w:sz="4" w:space="0" w:color="auto"/>
              <w:bottom w:val="single" w:sz="4" w:space="0" w:color="auto"/>
              <w:right w:val="single" w:sz="4" w:space="0" w:color="auto"/>
            </w:tcBorders>
            <w:vAlign w:val="center"/>
          </w:tcPr>
          <w:p w14:paraId="0B7FB72C" w14:textId="77777777" w:rsidR="00527774" w:rsidRDefault="00527774" w:rsidP="00527774">
            <w:pPr>
              <w:spacing w:before="0" w:after="0" w:line="240" w:lineRule="auto"/>
              <w:jc w:val="center"/>
              <w:rPr>
                <w:rFonts w:eastAsia="Times New Roman"/>
                <w:color w:val="000000"/>
                <w:sz w:val="18"/>
                <w:szCs w:val="18"/>
              </w:rPr>
            </w:pPr>
            <w:r>
              <w:rPr>
                <w:rFonts w:eastAsia="Times New Roman"/>
                <w:color w:val="000000"/>
                <w:sz w:val="18"/>
                <w:szCs w:val="18"/>
              </w:rPr>
              <w:t>Metro Net</w:t>
            </w:r>
          </w:p>
        </w:tc>
        <w:tc>
          <w:tcPr>
            <w:tcW w:w="3161" w:type="dxa"/>
            <w:tcBorders>
              <w:top w:val="single" w:sz="4" w:space="0" w:color="auto"/>
              <w:left w:val="single" w:sz="4" w:space="0" w:color="auto"/>
              <w:bottom w:val="single" w:sz="4" w:space="0" w:color="auto"/>
              <w:right w:val="single" w:sz="4" w:space="0" w:color="auto"/>
            </w:tcBorders>
          </w:tcPr>
          <w:p w14:paraId="3DA2D585" w14:textId="6978F76D" w:rsidR="00527774" w:rsidRPr="00140276" w:rsidRDefault="00FC73A3" w:rsidP="00527774">
            <w:pPr>
              <w:spacing w:before="0" w:after="0" w:line="240" w:lineRule="auto"/>
              <w:jc w:val="right"/>
              <w:rPr>
                <w:rFonts w:eastAsia="Times New Roman"/>
                <w:color w:val="000000"/>
                <w:sz w:val="18"/>
                <w:szCs w:val="18"/>
                <w:highlight w:val="cyan"/>
              </w:rPr>
            </w:pPr>
            <w:r>
              <w:rPr>
                <w:b/>
                <w:bCs/>
                <w:color w:val="0000CC"/>
                <w:sz w:val="19"/>
                <w:szCs w:val="19"/>
              </w:rPr>
              <w:t>“CONFIDENCIAL POR LEY (57</w:t>
            </w:r>
            <w:r w:rsidR="00527774" w:rsidRPr="007216C2">
              <w:rPr>
                <w:b/>
                <w:bCs/>
                <w:color w:val="0000CC"/>
                <w:sz w:val="19"/>
                <w:szCs w:val="19"/>
              </w:rPr>
              <w:t>)”</w:t>
            </w:r>
          </w:p>
        </w:tc>
      </w:tr>
      <w:tr w:rsidR="00527774" w:rsidRPr="00D52D4F" w14:paraId="294AE071" w14:textId="77777777" w:rsidTr="00FC73A3">
        <w:trPr>
          <w:jc w:val="center"/>
        </w:trPr>
        <w:tc>
          <w:tcPr>
            <w:tcW w:w="2972" w:type="dxa"/>
            <w:vMerge/>
            <w:vAlign w:val="center"/>
          </w:tcPr>
          <w:p w14:paraId="5C7AA18B" w14:textId="77777777" w:rsidR="00527774" w:rsidRDefault="00527774" w:rsidP="00527774">
            <w:pPr>
              <w:spacing w:before="0" w:after="0" w:line="240" w:lineRule="auto"/>
              <w:jc w:val="left"/>
              <w:rPr>
                <w:rFonts w:eastAsia="Times New Roman"/>
                <w:color w:val="000000"/>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79444A9" w14:textId="77777777" w:rsidR="00527774" w:rsidRDefault="00527774" w:rsidP="00527774">
            <w:pPr>
              <w:spacing w:before="0" w:after="0" w:line="240" w:lineRule="auto"/>
              <w:jc w:val="center"/>
              <w:rPr>
                <w:rFonts w:eastAsia="Times New Roman"/>
                <w:color w:val="000000"/>
                <w:sz w:val="18"/>
                <w:szCs w:val="18"/>
              </w:rPr>
            </w:pPr>
            <w:proofErr w:type="spellStart"/>
            <w:r>
              <w:rPr>
                <w:rFonts w:eastAsia="Times New Roman"/>
                <w:color w:val="000000"/>
                <w:sz w:val="18"/>
                <w:szCs w:val="18"/>
              </w:rPr>
              <w:t>Wingu</w:t>
            </w:r>
            <w:proofErr w:type="spellEnd"/>
          </w:p>
        </w:tc>
        <w:tc>
          <w:tcPr>
            <w:tcW w:w="3161" w:type="dxa"/>
            <w:tcBorders>
              <w:top w:val="single" w:sz="4" w:space="0" w:color="auto"/>
              <w:left w:val="single" w:sz="4" w:space="0" w:color="auto"/>
              <w:bottom w:val="single" w:sz="4" w:space="0" w:color="auto"/>
              <w:right w:val="single" w:sz="4" w:space="0" w:color="auto"/>
            </w:tcBorders>
          </w:tcPr>
          <w:p w14:paraId="3E1AE834" w14:textId="700D6721" w:rsidR="00527774" w:rsidRPr="00140276" w:rsidRDefault="00FC73A3" w:rsidP="00527774">
            <w:pPr>
              <w:spacing w:before="0" w:after="0" w:line="240" w:lineRule="auto"/>
              <w:jc w:val="right"/>
              <w:rPr>
                <w:rFonts w:eastAsia="Times New Roman"/>
                <w:color w:val="000000"/>
                <w:sz w:val="18"/>
                <w:szCs w:val="18"/>
                <w:highlight w:val="cyan"/>
              </w:rPr>
            </w:pPr>
            <w:r>
              <w:rPr>
                <w:b/>
                <w:bCs/>
                <w:color w:val="0000CC"/>
                <w:sz w:val="19"/>
                <w:szCs w:val="19"/>
              </w:rPr>
              <w:t>“CONFIDENCIAL POR LEY (58</w:t>
            </w:r>
            <w:r w:rsidR="00527774" w:rsidRPr="007216C2">
              <w:rPr>
                <w:b/>
                <w:bCs/>
                <w:color w:val="0000CC"/>
                <w:sz w:val="19"/>
                <w:szCs w:val="19"/>
              </w:rPr>
              <w:t>)”</w:t>
            </w:r>
          </w:p>
        </w:tc>
      </w:tr>
      <w:tr w:rsidR="00527774" w:rsidRPr="00D52D4F" w14:paraId="3994D7DA" w14:textId="77777777" w:rsidTr="00FC73A3">
        <w:trPr>
          <w:jc w:val="center"/>
        </w:trPr>
        <w:tc>
          <w:tcPr>
            <w:tcW w:w="2972" w:type="dxa"/>
            <w:vMerge w:val="restart"/>
            <w:vAlign w:val="center"/>
          </w:tcPr>
          <w:p w14:paraId="389128D1" w14:textId="43CD6FB3" w:rsidR="00527774" w:rsidRDefault="00527774" w:rsidP="00527774">
            <w:pPr>
              <w:spacing w:before="0" w:after="0" w:line="240" w:lineRule="auto"/>
              <w:jc w:val="left"/>
              <w:rPr>
                <w:rFonts w:eastAsia="Times New Roman"/>
                <w:color w:val="000000"/>
                <w:sz w:val="18"/>
                <w:szCs w:val="18"/>
              </w:rPr>
            </w:pPr>
            <w:r w:rsidRPr="00695384">
              <w:rPr>
                <w:rFonts w:eastAsia="Times New Roman"/>
                <w:color w:val="000000"/>
                <w:sz w:val="18"/>
                <w:szCs w:val="18"/>
              </w:rPr>
              <w:t>Access Telecom México, S.A. de C.V.</w:t>
            </w:r>
          </w:p>
        </w:tc>
        <w:tc>
          <w:tcPr>
            <w:tcW w:w="3119" w:type="dxa"/>
            <w:tcBorders>
              <w:top w:val="single" w:sz="4" w:space="0" w:color="auto"/>
              <w:left w:val="single" w:sz="4" w:space="0" w:color="auto"/>
              <w:bottom w:val="single" w:sz="4" w:space="0" w:color="auto"/>
              <w:right w:val="single" w:sz="4" w:space="0" w:color="auto"/>
            </w:tcBorders>
            <w:vAlign w:val="center"/>
          </w:tcPr>
          <w:p w14:paraId="33D7A4A1" w14:textId="77777777" w:rsidR="00527774" w:rsidRDefault="00527774" w:rsidP="00527774">
            <w:pPr>
              <w:spacing w:before="0" w:after="0" w:line="240" w:lineRule="auto"/>
              <w:jc w:val="center"/>
              <w:rPr>
                <w:rFonts w:eastAsia="Times New Roman"/>
                <w:color w:val="000000"/>
                <w:sz w:val="18"/>
                <w:szCs w:val="18"/>
              </w:rPr>
            </w:pPr>
            <w:r>
              <w:rPr>
                <w:rFonts w:eastAsia="Times New Roman"/>
                <w:color w:val="000000"/>
                <w:sz w:val="18"/>
                <w:szCs w:val="18"/>
              </w:rPr>
              <w:t>Metro Net</w:t>
            </w:r>
          </w:p>
        </w:tc>
        <w:tc>
          <w:tcPr>
            <w:tcW w:w="3161" w:type="dxa"/>
            <w:tcBorders>
              <w:top w:val="single" w:sz="4" w:space="0" w:color="auto"/>
              <w:left w:val="single" w:sz="4" w:space="0" w:color="auto"/>
              <w:bottom w:val="single" w:sz="4" w:space="0" w:color="auto"/>
              <w:right w:val="single" w:sz="4" w:space="0" w:color="auto"/>
            </w:tcBorders>
          </w:tcPr>
          <w:p w14:paraId="72D391FF" w14:textId="3276EA92" w:rsidR="00527774" w:rsidRPr="00140276" w:rsidRDefault="00FC73A3" w:rsidP="00527774">
            <w:pPr>
              <w:spacing w:before="0" w:after="0" w:line="240" w:lineRule="auto"/>
              <w:jc w:val="right"/>
              <w:rPr>
                <w:rFonts w:eastAsia="Times New Roman"/>
                <w:color w:val="000000"/>
                <w:sz w:val="18"/>
                <w:szCs w:val="18"/>
                <w:highlight w:val="cyan"/>
              </w:rPr>
            </w:pPr>
            <w:r>
              <w:rPr>
                <w:b/>
                <w:bCs/>
                <w:color w:val="0000CC"/>
                <w:sz w:val="19"/>
                <w:szCs w:val="19"/>
              </w:rPr>
              <w:t>“CONFIDENCIAL POR LEY (59</w:t>
            </w:r>
            <w:r w:rsidR="00527774" w:rsidRPr="007216C2">
              <w:rPr>
                <w:b/>
                <w:bCs/>
                <w:color w:val="0000CC"/>
                <w:sz w:val="19"/>
                <w:szCs w:val="19"/>
              </w:rPr>
              <w:t>)”</w:t>
            </w:r>
          </w:p>
        </w:tc>
      </w:tr>
      <w:tr w:rsidR="00527774" w:rsidRPr="00D52D4F" w14:paraId="77B38763" w14:textId="77777777" w:rsidTr="00FC73A3">
        <w:trPr>
          <w:jc w:val="center"/>
        </w:trPr>
        <w:tc>
          <w:tcPr>
            <w:tcW w:w="2972" w:type="dxa"/>
            <w:vMerge/>
            <w:vAlign w:val="center"/>
          </w:tcPr>
          <w:p w14:paraId="1E29958C" w14:textId="77777777" w:rsidR="00527774" w:rsidRPr="00695384" w:rsidRDefault="00527774" w:rsidP="00527774">
            <w:pPr>
              <w:spacing w:before="0" w:after="0" w:line="240" w:lineRule="auto"/>
              <w:jc w:val="left"/>
              <w:rPr>
                <w:rFonts w:eastAsia="Times New Roman"/>
                <w:color w:val="000000"/>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C5ADD0C" w14:textId="77777777" w:rsidR="00527774" w:rsidRDefault="00527774" w:rsidP="00527774">
            <w:pPr>
              <w:spacing w:before="0" w:after="0" w:line="240" w:lineRule="auto"/>
              <w:jc w:val="center"/>
              <w:rPr>
                <w:rFonts w:eastAsia="Times New Roman"/>
                <w:color w:val="000000"/>
                <w:sz w:val="18"/>
                <w:szCs w:val="18"/>
              </w:rPr>
            </w:pPr>
            <w:proofErr w:type="spellStart"/>
            <w:r>
              <w:rPr>
                <w:rFonts w:eastAsia="Times New Roman"/>
                <w:color w:val="000000"/>
                <w:sz w:val="18"/>
                <w:szCs w:val="18"/>
              </w:rPr>
              <w:t>Wingu</w:t>
            </w:r>
            <w:proofErr w:type="spellEnd"/>
          </w:p>
        </w:tc>
        <w:tc>
          <w:tcPr>
            <w:tcW w:w="3161" w:type="dxa"/>
            <w:tcBorders>
              <w:top w:val="single" w:sz="4" w:space="0" w:color="auto"/>
              <w:left w:val="single" w:sz="4" w:space="0" w:color="auto"/>
              <w:bottom w:val="single" w:sz="4" w:space="0" w:color="auto"/>
              <w:right w:val="single" w:sz="4" w:space="0" w:color="auto"/>
            </w:tcBorders>
          </w:tcPr>
          <w:p w14:paraId="04DEF040" w14:textId="7F30EAC1" w:rsidR="00527774" w:rsidRPr="00140276" w:rsidRDefault="00FC73A3" w:rsidP="00527774">
            <w:pPr>
              <w:spacing w:before="0" w:after="0" w:line="240" w:lineRule="auto"/>
              <w:jc w:val="right"/>
              <w:rPr>
                <w:rFonts w:eastAsia="Times New Roman"/>
                <w:color w:val="000000"/>
                <w:sz w:val="18"/>
                <w:szCs w:val="18"/>
                <w:highlight w:val="cyan"/>
              </w:rPr>
            </w:pPr>
            <w:r>
              <w:rPr>
                <w:b/>
                <w:bCs/>
                <w:color w:val="0000CC"/>
                <w:sz w:val="19"/>
                <w:szCs w:val="19"/>
              </w:rPr>
              <w:t>“CONFIDENCIAL POR LEY (60</w:t>
            </w:r>
            <w:r w:rsidR="00527774" w:rsidRPr="007216C2">
              <w:rPr>
                <w:b/>
                <w:bCs/>
                <w:color w:val="0000CC"/>
                <w:sz w:val="19"/>
                <w:szCs w:val="19"/>
              </w:rPr>
              <w:t>)”</w:t>
            </w:r>
          </w:p>
        </w:tc>
      </w:tr>
      <w:tr w:rsidR="00527774" w:rsidRPr="00D52D4F" w14:paraId="02F0EDCE" w14:textId="77777777" w:rsidTr="00FC73A3">
        <w:trPr>
          <w:jc w:val="center"/>
        </w:trPr>
        <w:tc>
          <w:tcPr>
            <w:tcW w:w="2972" w:type="dxa"/>
            <w:vMerge w:val="restart"/>
            <w:vAlign w:val="center"/>
          </w:tcPr>
          <w:p w14:paraId="3D5DCD63" w14:textId="77777777" w:rsidR="00527774" w:rsidRPr="00695384" w:rsidRDefault="00527774" w:rsidP="00527774">
            <w:pPr>
              <w:spacing w:before="0" w:after="0" w:line="240" w:lineRule="auto"/>
              <w:jc w:val="left"/>
              <w:rPr>
                <w:rFonts w:eastAsia="Times New Roman"/>
                <w:color w:val="000000"/>
                <w:sz w:val="18"/>
                <w:szCs w:val="18"/>
              </w:rPr>
            </w:pPr>
            <w:r w:rsidRPr="00695384">
              <w:rPr>
                <w:rFonts w:eastAsia="Times New Roman"/>
                <w:color w:val="000000"/>
                <w:sz w:val="18"/>
                <w:szCs w:val="18"/>
              </w:rPr>
              <w:t xml:space="preserve">Operadora </w:t>
            </w:r>
            <w:proofErr w:type="spellStart"/>
            <w:r w:rsidRPr="00695384">
              <w:rPr>
                <w:rFonts w:eastAsia="Times New Roman"/>
                <w:color w:val="000000"/>
                <w:sz w:val="18"/>
                <w:szCs w:val="18"/>
              </w:rPr>
              <w:t>Metronet</w:t>
            </w:r>
            <w:proofErr w:type="spellEnd"/>
            <w:r w:rsidRPr="00695384">
              <w:rPr>
                <w:rFonts w:eastAsia="Times New Roman"/>
                <w:color w:val="000000"/>
                <w:sz w:val="18"/>
                <w:szCs w:val="18"/>
              </w:rPr>
              <w:t>, S. de R.L. de C.V.</w:t>
            </w:r>
          </w:p>
        </w:tc>
        <w:tc>
          <w:tcPr>
            <w:tcW w:w="3119" w:type="dxa"/>
            <w:tcBorders>
              <w:top w:val="single" w:sz="4" w:space="0" w:color="auto"/>
              <w:left w:val="single" w:sz="4" w:space="0" w:color="auto"/>
              <w:bottom w:val="single" w:sz="4" w:space="0" w:color="auto"/>
              <w:right w:val="single" w:sz="4" w:space="0" w:color="auto"/>
            </w:tcBorders>
            <w:vAlign w:val="center"/>
          </w:tcPr>
          <w:p w14:paraId="529D2282" w14:textId="77777777" w:rsidR="00527774" w:rsidRDefault="00527774" w:rsidP="00527774">
            <w:pPr>
              <w:spacing w:before="0" w:after="0" w:line="240" w:lineRule="auto"/>
              <w:jc w:val="center"/>
              <w:rPr>
                <w:rFonts w:eastAsia="Times New Roman"/>
                <w:color w:val="000000"/>
                <w:sz w:val="18"/>
                <w:szCs w:val="18"/>
              </w:rPr>
            </w:pPr>
            <w:r>
              <w:rPr>
                <w:rFonts w:eastAsia="Times New Roman"/>
                <w:color w:val="000000"/>
                <w:sz w:val="18"/>
                <w:szCs w:val="18"/>
              </w:rPr>
              <w:t>Metro Net</w:t>
            </w:r>
          </w:p>
        </w:tc>
        <w:tc>
          <w:tcPr>
            <w:tcW w:w="3161" w:type="dxa"/>
            <w:tcBorders>
              <w:top w:val="single" w:sz="4" w:space="0" w:color="auto"/>
              <w:left w:val="single" w:sz="4" w:space="0" w:color="auto"/>
              <w:bottom w:val="single" w:sz="4" w:space="0" w:color="auto"/>
              <w:right w:val="single" w:sz="4" w:space="0" w:color="auto"/>
            </w:tcBorders>
          </w:tcPr>
          <w:p w14:paraId="7141C35E" w14:textId="300295B3" w:rsidR="00527774" w:rsidRPr="00140276" w:rsidRDefault="00527774" w:rsidP="00527774">
            <w:pPr>
              <w:spacing w:before="0" w:after="0" w:line="240" w:lineRule="auto"/>
              <w:jc w:val="right"/>
              <w:rPr>
                <w:rFonts w:eastAsia="Times New Roman"/>
                <w:color w:val="000000"/>
                <w:sz w:val="18"/>
                <w:szCs w:val="18"/>
                <w:highlight w:val="cyan"/>
              </w:rPr>
            </w:pPr>
            <w:r w:rsidRPr="007216C2">
              <w:rPr>
                <w:b/>
                <w:bCs/>
                <w:color w:val="0000CC"/>
                <w:sz w:val="19"/>
                <w:szCs w:val="19"/>
              </w:rPr>
              <w:t>“CONFID</w:t>
            </w:r>
            <w:r w:rsidR="00F91F1A">
              <w:rPr>
                <w:b/>
                <w:bCs/>
                <w:color w:val="0000CC"/>
                <w:sz w:val="19"/>
                <w:szCs w:val="19"/>
              </w:rPr>
              <w:t>ENCIAL POR LEY (61</w:t>
            </w:r>
            <w:r w:rsidRPr="007216C2">
              <w:rPr>
                <w:b/>
                <w:bCs/>
                <w:color w:val="0000CC"/>
                <w:sz w:val="19"/>
                <w:szCs w:val="19"/>
              </w:rPr>
              <w:t>)”</w:t>
            </w:r>
          </w:p>
        </w:tc>
      </w:tr>
      <w:tr w:rsidR="00527774" w:rsidRPr="00D52D4F" w14:paraId="6D4BFFD5" w14:textId="77777777" w:rsidTr="00FC73A3">
        <w:trPr>
          <w:jc w:val="center"/>
        </w:trPr>
        <w:tc>
          <w:tcPr>
            <w:tcW w:w="2972" w:type="dxa"/>
            <w:vMerge/>
            <w:vAlign w:val="center"/>
          </w:tcPr>
          <w:p w14:paraId="6FDFA6AA" w14:textId="77777777" w:rsidR="00527774" w:rsidRPr="00695384" w:rsidRDefault="00527774" w:rsidP="00527774">
            <w:pPr>
              <w:spacing w:before="0" w:after="0" w:line="240" w:lineRule="auto"/>
              <w:jc w:val="left"/>
              <w:rPr>
                <w:rFonts w:eastAsia="Times New Roman"/>
                <w:color w:val="000000"/>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209B5C1" w14:textId="77777777" w:rsidR="00527774" w:rsidRDefault="00527774" w:rsidP="00527774">
            <w:pPr>
              <w:spacing w:before="0" w:after="0" w:line="240" w:lineRule="auto"/>
              <w:jc w:val="center"/>
              <w:rPr>
                <w:rFonts w:eastAsia="Times New Roman"/>
                <w:color w:val="000000"/>
                <w:sz w:val="18"/>
                <w:szCs w:val="18"/>
              </w:rPr>
            </w:pPr>
            <w:proofErr w:type="spellStart"/>
            <w:r>
              <w:rPr>
                <w:rFonts w:eastAsia="Times New Roman"/>
                <w:color w:val="000000"/>
                <w:sz w:val="18"/>
                <w:szCs w:val="18"/>
              </w:rPr>
              <w:t>Wingu</w:t>
            </w:r>
            <w:proofErr w:type="spellEnd"/>
          </w:p>
        </w:tc>
        <w:tc>
          <w:tcPr>
            <w:tcW w:w="3161" w:type="dxa"/>
            <w:tcBorders>
              <w:top w:val="single" w:sz="4" w:space="0" w:color="auto"/>
              <w:left w:val="single" w:sz="4" w:space="0" w:color="auto"/>
              <w:bottom w:val="single" w:sz="4" w:space="0" w:color="auto"/>
              <w:right w:val="single" w:sz="4" w:space="0" w:color="auto"/>
            </w:tcBorders>
          </w:tcPr>
          <w:p w14:paraId="798E908A" w14:textId="6388236E" w:rsidR="00527774" w:rsidRPr="00140276" w:rsidRDefault="00F91F1A" w:rsidP="00527774">
            <w:pPr>
              <w:spacing w:before="0" w:after="0" w:line="240" w:lineRule="auto"/>
              <w:jc w:val="right"/>
              <w:rPr>
                <w:rFonts w:eastAsia="Times New Roman"/>
                <w:color w:val="000000"/>
                <w:sz w:val="18"/>
                <w:szCs w:val="18"/>
                <w:highlight w:val="cyan"/>
              </w:rPr>
            </w:pPr>
            <w:r>
              <w:rPr>
                <w:b/>
                <w:bCs/>
                <w:color w:val="0000CC"/>
                <w:sz w:val="19"/>
                <w:szCs w:val="19"/>
              </w:rPr>
              <w:t>“CONFIDENCIAL POR LEY (62</w:t>
            </w:r>
            <w:r w:rsidR="00527774" w:rsidRPr="00AA2184">
              <w:rPr>
                <w:b/>
                <w:bCs/>
                <w:color w:val="0000CC"/>
                <w:sz w:val="19"/>
                <w:szCs w:val="19"/>
              </w:rPr>
              <w:t>)”</w:t>
            </w:r>
          </w:p>
        </w:tc>
      </w:tr>
      <w:tr w:rsidR="00527774" w:rsidRPr="00D52D4F" w14:paraId="6A971A61" w14:textId="77777777" w:rsidTr="00FC73A3">
        <w:trPr>
          <w:jc w:val="center"/>
        </w:trPr>
        <w:tc>
          <w:tcPr>
            <w:tcW w:w="2972" w:type="dxa"/>
            <w:vMerge w:val="restart"/>
            <w:vAlign w:val="center"/>
          </w:tcPr>
          <w:p w14:paraId="17A27868" w14:textId="77777777" w:rsidR="00527774" w:rsidRPr="00695384" w:rsidRDefault="00527774" w:rsidP="00527774">
            <w:pPr>
              <w:spacing w:before="0" w:after="0" w:line="240" w:lineRule="auto"/>
              <w:jc w:val="left"/>
              <w:rPr>
                <w:rFonts w:eastAsia="Times New Roman"/>
                <w:color w:val="000000"/>
                <w:sz w:val="18"/>
                <w:szCs w:val="18"/>
              </w:rPr>
            </w:pPr>
            <w:proofErr w:type="spellStart"/>
            <w:r w:rsidRPr="00695384">
              <w:rPr>
                <w:rFonts w:eastAsia="Times New Roman"/>
                <w:color w:val="000000"/>
                <w:sz w:val="18"/>
                <w:szCs w:val="18"/>
              </w:rPr>
              <w:t>Xertix</w:t>
            </w:r>
            <w:proofErr w:type="spellEnd"/>
            <w:r w:rsidRPr="00695384">
              <w:rPr>
                <w:rFonts w:eastAsia="Times New Roman"/>
                <w:color w:val="000000"/>
                <w:sz w:val="18"/>
                <w:szCs w:val="18"/>
              </w:rPr>
              <w:t xml:space="preserve"> LLC, S. de R.L. de C.V.</w:t>
            </w:r>
          </w:p>
        </w:tc>
        <w:tc>
          <w:tcPr>
            <w:tcW w:w="3119" w:type="dxa"/>
            <w:tcBorders>
              <w:top w:val="single" w:sz="4" w:space="0" w:color="auto"/>
              <w:left w:val="single" w:sz="4" w:space="0" w:color="auto"/>
              <w:bottom w:val="single" w:sz="4" w:space="0" w:color="auto"/>
              <w:right w:val="single" w:sz="4" w:space="0" w:color="auto"/>
            </w:tcBorders>
            <w:vAlign w:val="center"/>
          </w:tcPr>
          <w:p w14:paraId="4EF1E228" w14:textId="77777777" w:rsidR="00527774" w:rsidRDefault="00527774" w:rsidP="00527774">
            <w:pPr>
              <w:spacing w:before="0" w:after="0" w:line="240" w:lineRule="auto"/>
              <w:jc w:val="center"/>
              <w:rPr>
                <w:rFonts w:eastAsia="Times New Roman"/>
                <w:color w:val="000000"/>
                <w:sz w:val="18"/>
                <w:szCs w:val="18"/>
              </w:rPr>
            </w:pPr>
            <w:r>
              <w:rPr>
                <w:rFonts w:eastAsia="Times New Roman"/>
                <w:color w:val="000000"/>
                <w:sz w:val="18"/>
                <w:szCs w:val="18"/>
              </w:rPr>
              <w:t>Metro Net</w:t>
            </w:r>
          </w:p>
        </w:tc>
        <w:tc>
          <w:tcPr>
            <w:tcW w:w="3161" w:type="dxa"/>
            <w:tcBorders>
              <w:top w:val="single" w:sz="4" w:space="0" w:color="auto"/>
              <w:left w:val="single" w:sz="4" w:space="0" w:color="auto"/>
              <w:bottom w:val="single" w:sz="4" w:space="0" w:color="auto"/>
              <w:right w:val="single" w:sz="4" w:space="0" w:color="auto"/>
            </w:tcBorders>
          </w:tcPr>
          <w:p w14:paraId="307DF119" w14:textId="0BE73CE9" w:rsidR="00527774" w:rsidRPr="00140276" w:rsidRDefault="00F91F1A" w:rsidP="00527774">
            <w:pPr>
              <w:spacing w:before="0" w:after="0" w:line="240" w:lineRule="auto"/>
              <w:jc w:val="right"/>
              <w:rPr>
                <w:rFonts w:eastAsia="Times New Roman"/>
                <w:color w:val="000000"/>
                <w:sz w:val="18"/>
                <w:szCs w:val="18"/>
                <w:highlight w:val="cyan"/>
              </w:rPr>
            </w:pPr>
            <w:r>
              <w:rPr>
                <w:b/>
                <w:bCs/>
                <w:color w:val="0000CC"/>
                <w:sz w:val="19"/>
                <w:szCs w:val="19"/>
              </w:rPr>
              <w:t>“CONFIDENCIAL POR LEY (63</w:t>
            </w:r>
            <w:r w:rsidR="00527774" w:rsidRPr="00AA2184">
              <w:rPr>
                <w:b/>
                <w:bCs/>
                <w:color w:val="0000CC"/>
                <w:sz w:val="19"/>
                <w:szCs w:val="19"/>
              </w:rPr>
              <w:t>)”</w:t>
            </w:r>
          </w:p>
        </w:tc>
      </w:tr>
      <w:tr w:rsidR="00527774" w:rsidRPr="00D52D4F" w14:paraId="4CBAA98B" w14:textId="77777777" w:rsidTr="00FC73A3">
        <w:trPr>
          <w:jc w:val="center"/>
        </w:trPr>
        <w:tc>
          <w:tcPr>
            <w:tcW w:w="2972" w:type="dxa"/>
            <w:vMerge/>
            <w:vAlign w:val="center"/>
          </w:tcPr>
          <w:p w14:paraId="41DBF453" w14:textId="77777777" w:rsidR="00527774" w:rsidRPr="00695384" w:rsidRDefault="00527774" w:rsidP="00527774">
            <w:pPr>
              <w:spacing w:before="0" w:after="0" w:line="240" w:lineRule="auto"/>
              <w:jc w:val="left"/>
              <w:rPr>
                <w:rFonts w:eastAsia="Times New Roman"/>
                <w:color w:val="000000"/>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E38DC03" w14:textId="77777777" w:rsidR="00527774" w:rsidRDefault="00527774" w:rsidP="00527774">
            <w:pPr>
              <w:spacing w:before="0" w:after="0" w:line="240" w:lineRule="auto"/>
              <w:jc w:val="center"/>
              <w:rPr>
                <w:rFonts w:eastAsia="Times New Roman"/>
                <w:color w:val="000000"/>
                <w:sz w:val="18"/>
                <w:szCs w:val="18"/>
              </w:rPr>
            </w:pPr>
            <w:proofErr w:type="spellStart"/>
            <w:r>
              <w:rPr>
                <w:rFonts w:eastAsia="Times New Roman"/>
                <w:color w:val="000000"/>
                <w:sz w:val="18"/>
                <w:szCs w:val="18"/>
              </w:rPr>
              <w:t>Wingu</w:t>
            </w:r>
            <w:proofErr w:type="spellEnd"/>
          </w:p>
        </w:tc>
        <w:tc>
          <w:tcPr>
            <w:tcW w:w="3161" w:type="dxa"/>
            <w:tcBorders>
              <w:top w:val="single" w:sz="4" w:space="0" w:color="auto"/>
              <w:left w:val="single" w:sz="4" w:space="0" w:color="auto"/>
              <w:bottom w:val="single" w:sz="4" w:space="0" w:color="auto"/>
              <w:right w:val="single" w:sz="4" w:space="0" w:color="auto"/>
            </w:tcBorders>
          </w:tcPr>
          <w:p w14:paraId="565D19FC" w14:textId="4DC54174" w:rsidR="00527774" w:rsidRPr="00140276" w:rsidRDefault="00F91F1A" w:rsidP="00527774">
            <w:pPr>
              <w:spacing w:before="0" w:after="0" w:line="240" w:lineRule="auto"/>
              <w:jc w:val="right"/>
              <w:rPr>
                <w:rFonts w:eastAsia="Times New Roman"/>
                <w:color w:val="000000"/>
                <w:sz w:val="18"/>
                <w:szCs w:val="18"/>
                <w:highlight w:val="cyan"/>
              </w:rPr>
            </w:pPr>
            <w:r>
              <w:rPr>
                <w:b/>
                <w:bCs/>
                <w:color w:val="0000CC"/>
                <w:sz w:val="19"/>
                <w:szCs w:val="19"/>
              </w:rPr>
              <w:t>“CONFIDENCIAL POR LEY (64</w:t>
            </w:r>
            <w:r w:rsidR="00527774" w:rsidRPr="00AA2184">
              <w:rPr>
                <w:b/>
                <w:bCs/>
                <w:color w:val="0000CC"/>
                <w:sz w:val="19"/>
                <w:szCs w:val="19"/>
              </w:rPr>
              <w:t>)”</w:t>
            </w:r>
          </w:p>
        </w:tc>
      </w:tr>
      <w:tr w:rsidR="00527774" w:rsidRPr="00D52D4F" w14:paraId="1A4280FC" w14:textId="77777777" w:rsidTr="00FC73A3">
        <w:trPr>
          <w:jc w:val="center"/>
        </w:trPr>
        <w:tc>
          <w:tcPr>
            <w:tcW w:w="2972" w:type="dxa"/>
            <w:vMerge w:val="restart"/>
            <w:vAlign w:val="center"/>
          </w:tcPr>
          <w:p w14:paraId="300720E6" w14:textId="01D3F2E4" w:rsidR="00527774" w:rsidRPr="00695384" w:rsidRDefault="00527774" w:rsidP="00527774">
            <w:pPr>
              <w:spacing w:before="0" w:after="0" w:line="240" w:lineRule="auto"/>
              <w:jc w:val="left"/>
              <w:rPr>
                <w:rFonts w:eastAsia="Times New Roman"/>
                <w:color w:val="000000"/>
                <w:sz w:val="18"/>
                <w:szCs w:val="18"/>
              </w:rPr>
            </w:pPr>
            <w:r w:rsidRPr="00695384">
              <w:rPr>
                <w:rFonts w:eastAsia="Times New Roman"/>
                <w:color w:val="000000"/>
                <w:sz w:val="18"/>
                <w:szCs w:val="18"/>
              </w:rPr>
              <w:t>Metro Net Hosting, S. de R.L. de C.V.</w:t>
            </w:r>
          </w:p>
        </w:tc>
        <w:tc>
          <w:tcPr>
            <w:tcW w:w="3119" w:type="dxa"/>
            <w:tcBorders>
              <w:top w:val="single" w:sz="4" w:space="0" w:color="auto"/>
              <w:left w:val="single" w:sz="4" w:space="0" w:color="auto"/>
              <w:bottom w:val="single" w:sz="4" w:space="0" w:color="auto"/>
              <w:right w:val="single" w:sz="4" w:space="0" w:color="auto"/>
            </w:tcBorders>
            <w:vAlign w:val="center"/>
          </w:tcPr>
          <w:p w14:paraId="1C85E482" w14:textId="77777777" w:rsidR="00527774" w:rsidRDefault="00527774" w:rsidP="00527774">
            <w:pPr>
              <w:spacing w:before="0" w:after="0" w:line="240" w:lineRule="auto"/>
              <w:jc w:val="center"/>
              <w:rPr>
                <w:rFonts w:eastAsia="Times New Roman"/>
                <w:color w:val="000000"/>
                <w:sz w:val="18"/>
                <w:szCs w:val="18"/>
              </w:rPr>
            </w:pPr>
            <w:r w:rsidRPr="00695384">
              <w:rPr>
                <w:rFonts w:eastAsia="Times New Roman"/>
                <w:color w:val="000000"/>
                <w:sz w:val="18"/>
                <w:szCs w:val="18"/>
              </w:rPr>
              <w:t>Metro Net LLC, S. de R.L. de C.V.</w:t>
            </w:r>
          </w:p>
        </w:tc>
        <w:tc>
          <w:tcPr>
            <w:tcW w:w="3161" w:type="dxa"/>
            <w:tcBorders>
              <w:top w:val="single" w:sz="4" w:space="0" w:color="auto"/>
              <w:left w:val="single" w:sz="4" w:space="0" w:color="auto"/>
              <w:bottom w:val="single" w:sz="4" w:space="0" w:color="auto"/>
              <w:right w:val="single" w:sz="4" w:space="0" w:color="auto"/>
            </w:tcBorders>
          </w:tcPr>
          <w:p w14:paraId="579C179B" w14:textId="07C5B1BA" w:rsidR="00527774" w:rsidRPr="00140276" w:rsidRDefault="00F91F1A" w:rsidP="00527774">
            <w:pPr>
              <w:spacing w:before="0" w:after="0" w:line="240" w:lineRule="auto"/>
              <w:jc w:val="right"/>
              <w:rPr>
                <w:rFonts w:eastAsia="Times New Roman"/>
                <w:color w:val="000000"/>
                <w:sz w:val="18"/>
                <w:szCs w:val="18"/>
                <w:highlight w:val="cyan"/>
              </w:rPr>
            </w:pPr>
            <w:r>
              <w:rPr>
                <w:b/>
                <w:bCs/>
                <w:color w:val="0000CC"/>
                <w:sz w:val="19"/>
                <w:szCs w:val="19"/>
              </w:rPr>
              <w:t>“CONFIDENCIAL POR LEY (65</w:t>
            </w:r>
            <w:r w:rsidR="00527774" w:rsidRPr="00AA2184">
              <w:rPr>
                <w:b/>
                <w:bCs/>
                <w:color w:val="0000CC"/>
                <w:sz w:val="19"/>
                <w:szCs w:val="19"/>
              </w:rPr>
              <w:t>)”</w:t>
            </w:r>
          </w:p>
        </w:tc>
      </w:tr>
      <w:tr w:rsidR="00527774" w:rsidRPr="00D52D4F" w14:paraId="7C91908A" w14:textId="77777777" w:rsidTr="00FC73A3">
        <w:trPr>
          <w:jc w:val="center"/>
        </w:trPr>
        <w:tc>
          <w:tcPr>
            <w:tcW w:w="2972" w:type="dxa"/>
            <w:vMerge/>
            <w:vAlign w:val="center"/>
          </w:tcPr>
          <w:p w14:paraId="045AF7B3" w14:textId="77777777" w:rsidR="00527774" w:rsidRPr="00695384" w:rsidRDefault="00527774" w:rsidP="00527774">
            <w:pPr>
              <w:spacing w:before="0" w:after="0" w:line="240" w:lineRule="auto"/>
              <w:jc w:val="left"/>
              <w:rPr>
                <w:rFonts w:eastAsia="Times New Roman"/>
                <w:color w:val="000000"/>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0DD51B0" w14:textId="77777777" w:rsidR="00527774" w:rsidRDefault="00527774" w:rsidP="00527774">
            <w:pPr>
              <w:spacing w:before="0" w:after="0" w:line="240" w:lineRule="auto"/>
              <w:jc w:val="center"/>
              <w:rPr>
                <w:rFonts w:eastAsia="Times New Roman"/>
                <w:color w:val="000000"/>
                <w:sz w:val="18"/>
                <w:szCs w:val="18"/>
              </w:rPr>
            </w:pPr>
            <w:proofErr w:type="spellStart"/>
            <w:r w:rsidRPr="00695384">
              <w:rPr>
                <w:rFonts w:eastAsia="Times New Roman"/>
                <w:color w:val="000000"/>
                <w:sz w:val="18"/>
                <w:szCs w:val="18"/>
              </w:rPr>
              <w:t>Xertix</w:t>
            </w:r>
            <w:proofErr w:type="spellEnd"/>
            <w:r w:rsidRPr="00695384">
              <w:rPr>
                <w:rFonts w:eastAsia="Times New Roman"/>
                <w:color w:val="000000"/>
                <w:sz w:val="18"/>
                <w:szCs w:val="18"/>
              </w:rPr>
              <w:t xml:space="preserve"> LLC, S. de R.L. de C.V.</w:t>
            </w:r>
          </w:p>
        </w:tc>
        <w:tc>
          <w:tcPr>
            <w:tcW w:w="3161" w:type="dxa"/>
            <w:tcBorders>
              <w:top w:val="single" w:sz="4" w:space="0" w:color="auto"/>
              <w:left w:val="single" w:sz="4" w:space="0" w:color="auto"/>
              <w:bottom w:val="single" w:sz="4" w:space="0" w:color="auto"/>
              <w:right w:val="single" w:sz="4" w:space="0" w:color="auto"/>
            </w:tcBorders>
          </w:tcPr>
          <w:p w14:paraId="3593A79A" w14:textId="3AAF5CA5" w:rsidR="00527774" w:rsidRPr="00140276" w:rsidRDefault="00F91F1A" w:rsidP="00527774">
            <w:pPr>
              <w:spacing w:before="0" w:after="0" w:line="240" w:lineRule="auto"/>
              <w:jc w:val="right"/>
              <w:rPr>
                <w:rFonts w:eastAsia="Times New Roman"/>
                <w:color w:val="000000"/>
                <w:sz w:val="18"/>
                <w:szCs w:val="18"/>
                <w:highlight w:val="cyan"/>
              </w:rPr>
            </w:pPr>
            <w:r>
              <w:rPr>
                <w:b/>
                <w:bCs/>
                <w:color w:val="0000CC"/>
                <w:sz w:val="19"/>
                <w:szCs w:val="19"/>
              </w:rPr>
              <w:t>“CONFIDENCIAL POR LEY (66</w:t>
            </w:r>
            <w:r w:rsidR="00527774" w:rsidRPr="00AA2184">
              <w:rPr>
                <w:b/>
                <w:bCs/>
                <w:color w:val="0000CC"/>
                <w:sz w:val="19"/>
                <w:szCs w:val="19"/>
              </w:rPr>
              <w:t>)”</w:t>
            </w:r>
          </w:p>
        </w:tc>
      </w:tr>
      <w:tr w:rsidR="00527774" w:rsidRPr="00D52D4F" w14:paraId="64313F13" w14:textId="77777777" w:rsidTr="00FC73A3">
        <w:trPr>
          <w:jc w:val="center"/>
        </w:trPr>
        <w:tc>
          <w:tcPr>
            <w:tcW w:w="2972" w:type="dxa"/>
            <w:vAlign w:val="center"/>
          </w:tcPr>
          <w:p w14:paraId="7762F6EA" w14:textId="24EC3196" w:rsidR="00527774" w:rsidRPr="00695384" w:rsidRDefault="00527774" w:rsidP="00527774">
            <w:pPr>
              <w:spacing w:before="0" w:after="0" w:line="240" w:lineRule="auto"/>
              <w:jc w:val="left"/>
              <w:rPr>
                <w:rFonts w:eastAsia="Times New Roman"/>
                <w:color w:val="000000"/>
                <w:sz w:val="18"/>
                <w:szCs w:val="18"/>
              </w:rPr>
            </w:pPr>
            <w:r>
              <w:rPr>
                <w:rFonts w:eastAsia="Times New Roman"/>
                <w:color w:val="000000"/>
                <w:sz w:val="18"/>
                <w:szCs w:val="18"/>
              </w:rPr>
              <w:t xml:space="preserve">Servicios de Tecnología de Información de Misión Crítica, S.A. </w:t>
            </w:r>
          </w:p>
        </w:tc>
        <w:tc>
          <w:tcPr>
            <w:tcW w:w="3119" w:type="dxa"/>
            <w:tcBorders>
              <w:top w:val="single" w:sz="4" w:space="0" w:color="auto"/>
              <w:left w:val="single" w:sz="4" w:space="0" w:color="auto"/>
              <w:bottom w:val="single" w:sz="4" w:space="0" w:color="auto"/>
              <w:right w:val="single" w:sz="4" w:space="0" w:color="auto"/>
            </w:tcBorders>
            <w:vAlign w:val="center"/>
          </w:tcPr>
          <w:p w14:paraId="2AA767B8" w14:textId="77777777" w:rsidR="00527774" w:rsidRPr="00695384" w:rsidRDefault="00527774" w:rsidP="00527774">
            <w:pPr>
              <w:spacing w:before="0" w:after="0" w:line="240" w:lineRule="auto"/>
              <w:jc w:val="center"/>
              <w:rPr>
                <w:rFonts w:eastAsia="Times New Roman"/>
                <w:color w:val="000000"/>
                <w:sz w:val="18"/>
                <w:szCs w:val="18"/>
              </w:rPr>
            </w:pPr>
            <w:r>
              <w:rPr>
                <w:rFonts w:eastAsia="Times New Roman"/>
                <w:color w:val="000000"/>
                <w:sz w:val="18"/>
                <w:szCs w:val="18"/>
              </w:rPr>
              <w:t>KIO</w:t>
            </w:r>
          </w:p>
        </w:tc>
        <w:tc>
          <w:tcPr>
            <w:tcW w:w="3161" w:type="dxa"/>
            <w:tcBorders>
              <w:top w:val="single" w:sz="4" w:space="0" w:color="auto"/>
              <w:left w:val="single" w:sz="4" w:space="0" w:color="auto"/>
              <w:bottom w:val="single" w:sz="4" w:space="0" w:color="auto"/>
              <w:right w:val="single" w:sz="4" w:space="0" w:color="auto"/>
            </w:tcBorders>
          </w:tcPr>
          <w:p w14:paraId="7342C94B" w14:textId="49A07D9F" w:rsidR="00527774" w:rsidRPr="00140276" w:rsidRDefault="00F91F1A" w:rsidP="00527774">
            <w:pPr>
              <w:spacing w:before="0" w:after="0" w:line="240" w:lineRule="auto"/>
              <w:jc w:val="right"/>
              <w:rPr>
                <w:rFonts w:eastAsia="Times New Roman"/>
                <w:color w:val="000000"/>
                <w:sz w:val="18"/>
                <w:szCs w:val="18"/>
                <w:highlight w:val="cyan"/>
              </w:rPr>
            </w:pPr>
            <w:r>
              <w:rPr>
                <w:b/>
                <w:bCs/>
                <w:color w:val="0000CC"/>
                <w:sz w:val="19"/>
                <w:szCs w:val="19"/>
              </w:rPr>
              <w:t>“CONFIDENCIAL POR LEY (67</w:t>
            </w:r>
            <w:r w:rsidR="00527774" w:rsidRPr="00AA2184">
              <w:rPr>
                <w:b/>
                <w:bCs/>
                <w:color w:val="0000CC"/>
                <w:sz w:val="19"/>
                <w:szCs w:val="19"/>
              </w:rPr>
              <w:t>)”</w:t>
            </w:r>
          </w:p>
        </w:tc>
      </w:tr>
      <w:tr w:rsidR="00527774" w:rsidRPr="00D52D4F" w14:paraId="6A7A9862" w14:textId="77777777" w:rsidTr="00FC73A3">
        <w:trPr>
          <w:jc w:val="center"/>
        </w:trPr>
        <w:tc>
          <w:tcPr>
            <w:tcW w:w="2972" w:type="dxa"/>
            <w:vAlign w:val="center"/>
          </w:tcPr>
          <w:p w14:paraId="504DAD6B" w14:textId="1A9AC194" w:rsidR="00527774" w:rsidRDefault="00527774" w:rsidP="00527774">
            <w:pPr>
              <w:spacing w:before="0" w:after="0" w:line="240" w:lineRule="auto"/>
              <w:jc w:val="left"/>
              <w:rPr>
                <w:rFonts w:eastAsia="Times New Roman"/>
                <w:color w:val="000000"/>
                <w:sz w:val="18"/>
                <w:szCs w:val="18"/>
              </w:rPr>
            </w:pPr>
            <w:r>
              <w:rPr>
                <w:rFonts w:eastAsia="Times New Roman"/>
                <w:color w:val="000000"/>
                <w:sz w:val="18"/>
                <w:szCs w:val="18"/>
              </w:rPr>
              <w:t>Servicios de TI Dominicana, SC SAS</w:t>
            </w:r>
          </w:p>
        </w:tc>
        <w:tc>
          <w:tcPr>
            <w:tcW w:w="3119" w:type="dxa"/>
            <w:tcBorders>
              <w:top w:val="single" w:sz="4" w:space="0" w:color="auto"/>
              <w:left w:val="single" w:sz="4" w:space="0" w:color="auto"/>
              <w:bottom w:val="single" w:sz="4" w:space="0" w:color="auto"/>
              <w:right w:val="single" w:sz="4" w:space="0" w:color="auto"/>
            </w:tcBorders>
            <w:vAlign w:val="center"/>
          </w:tcPr>
          <w:p w14:paraId="4F02C2D4" w14:textId="77777777" w:rsidR="00527774" w:rsidRDefault="00527774" w:rsidP="00527774">
            <w:pPr>
              <w:spacing w:before="0" w:after="0" w:line="240" w:lineRule="auto"/>
              <w:jc w:val="center"/>
              <w:rPr>
                <w:rFonts w:eastAsia="Times New Roman"/>
                <w:color w:val="000000"/>
                <w:sz w:val="18"/>
                <w:szCs w:val="18"/>
              </w:rPr>
            </w:pPr>
            <w:r>
              <w:rPr>
                <w:rFonts w:eastAsia="Times New Roman"/>
                <w:color w:val="000000"/>
                <w:sz w:val="18"/>
                <w:szCs w:val="18"/>
              </w:rPr>
              <w:t>KIO</w:t>
            </w:r>
          </w:p>
        </w:tc>
        <w:tc>
          <w:tcPr>
            <w:tcW w:w="3161" w:type="dxa"/>
            <w:tcBorders>
              <w:top w:val="single" w:sz="4" w:space="0" w:color="auto"/>
              <w:left w:val="single" w:sz="4" w:space="0" w:color="auto"/>
              <w:bottom w:val="single" w:sz="4" w:space="0" w:color="auto"/>
              <w:right w:val="single" w:sz="4" w:space="0" w:color="auto"/>
            </w:tcBorders>
          </w:tcPr>
          <w:p w14:paraId="37F91A81" w14:textId="59D8DD6F" w:rsidR="00527774" w:rsidRDefault="00F91F1A" w:rsidP="00527774">
            <w:pPr>
              <w:spacing w:before="0" w:after="0" w:line="240" w:lineRule="auto"/>
              <w:jc w:val="right"/>
              <w:rPr>
                <w:rFonts w:eastAsia="Times New Roman"/>
                <w:color w:val="000000"/>
                <w:sz w:val="18"/>
                <w:szCs w:val="18"/>
                <w:highlight w:val="cyan"/>
              </w:rPr>
            </w:pPr>
            <w:r>
              <w:rPr>
                <w:b/>
                <w:bCs/>
                <w:color w:val="0000CC"/>
                <w:sz w:val="19"/>
                <w:szCs w:val="19"/>
              </w:rPr>
              <w:t>“CONFIDENCIAL POR LEY (68</w:t>
            </w:r>
            <w:r w:rsidR="00527774" w:rsidRPr="00AA2184">
              <w:rPr>
                <w:b/>
                <w:bCs/>
                <w:color w:val="0000CC"/>
                <w:sz w:val="19"/>
                <w:szCs w:val="19"/>
              </w:rPr>
              <w:t>)”</w:t>
            </w:r>
          </w:p>
        </w:tc>
      </w:tr>
      <w:tr w:rsidR="00527774" w:rsidRPr="00D52D4F" w14:paraId="55E24B6F" w14:textId="77777777" w:rsidTr="00FC73A3">
        <w:trPr>
          <w:jc w:val="center"/>
        </w:trPr>
        <w:tc>
          <w:tcPr>
            <w:tcW w:w="2972" w:type="dxa"/>
            <w:vAlign w:val="center"/>
          </w:tcPr>
          <w:p w14:paraId="7C34D96A" w14:textId="77AFC4A9" w:rsidR="00527774" w:rsidRDefault="00527774" w:rsidP="00527774">
            <w:pPr>
              <w:spacing w:before="0" w:after="0" w:line="240" w:lineRule="auto"/>
              <w:jc w:val="left"/>
              <w:rPr>
                <w:rFonts w:eastAsia="Times New Roman"/>
                <w:color w:val="000000"/>
                <w:sz w:val="18"/>
                <w:szCs w:val="18"/>
              </w:rPr>
            </w:pPr>
            <w:r>
              <w:rPr>
                <w:rFonts w:eastAsia="Times New Roman"/>
                <w:color w:val="000000"/>
                <w:sz w:val="18"/>
                <w:szCs w:val="18"/>
              </w:rPr>
              <w:t>Servicios de Infraestructura de TI Guatemala, S.A.</w:t>
            </w:r>
          </w:p>
        </w:tc>
        <w:tc>
          <w:tcPr>
            <w:tcW w:w="3119" w:type="dxa"/>
            <w:tcBorders>
              <w:top w:val="single" w:sz="4" w:space="0" w:color="auto"/>
              <w:left w:val="single" w:sz="4" w:space="0" w:color="auto"/>
              <w:bottom w:val="single" w:sz="4" w:space="0" w:color="auto"/>
              <w:right w:val="single" w:sz="4" w:space="0" w:color="auto"/>
            </w:tcBorders>
            <w:vAlign w:val="center"/>
          </w:tcPr>
          <w:p w14:paraId="1285B457" w14:textId="77777777" w:rsidR="00527774" w:rsidRDefault="00527774" w:rsidP="00527774">
            <w:pPr>
              <w:spacing w:before="0" w:after="0" w:line="240" w:lineRule="auto"/>
              <w:jc w:val="center"/>
              <w:rPr>
                <w:rFonts w:eastAsia="Times New Roman"/>
                <w:color w:val="000000"/>
                <w:sz w:val="18"/>
                <w:szCs w:val="18"/>
              </w:rPr>
            </w:pPr>
            <w:r>
              <w:rPr>
                <w:rFonts w:eastAsia="Times New Roman"/>
                <w:color w:val="000000"/>
                <w:sz w:val="18"/>
                <w:szCs w:val="18"/>
              </w:rPr>
              <w:t>KIO</w:t>
            </w:r>
          </w:p>
        </w:tc>
        <w:tc>
          <w:tcPr>
            <w:tcW w:w="3161" w:type="dxa"/>
            <w:tcBorders>
              <w:top w:val="single" w:sz="4" w:space="0" w:color="auto"/>
              <w:left w:val="single" w:sz="4" w:space="0" w:color="auto"/>
              <w:bottom w:val="single" w:sz="4" w:space="0" w:color="auto"/>
              <w:right w:val="single" w:sz="4" w:space="0" w:color="auto"/>
            </w:tcBorders>
          </w:tcPr>
          <w:p w14:paraId="2E6438C3" w14:textId="11E3419A" w:rsidR="00527774" w:rsidRDefault="00F91F1A" w:rsidP="00527774">
            <w:pPr>
              <w:spacing w:before="0" w:after="0" w:line="240" w:lineRule="auto"/>
              <w:jc w:val="right"/>
              <w:rPr>
                <w:rFonts w:eastAsia="Times New Roman"/>
                <w:color w:val="000000"/>
                <w:sz w:val="18"/>
                <w:szCs w:val="18"/>
                <w:highlight w:val="cyan"/>
              </w:rPr>
            </w:pPr>
            <w:r>
              <w:rPr>
                <w:b/>
                <w:bCs/>
                <w:color w:val="0000CC"/>
                <w:sz w:val="19"/>
                <w:szCs w:val="19"/>
              </w:rPr>
              <w:t>“CONFIDENCIAL POR LEY (69</w:t>
            </w:r>
            <w:r w:rsidR="00527774" w:rsidRPr="00AA2184">
              <w:rPr>
                <w:b/>
                <w:bCs/>
                <w:color w:val="0000CC"/>
                <w:sz w:val="19"/>
                <w:szCs w:val="19"/>
              </w:rPr>
              <w:t>)”</w:t>
            </w:r>
          </w:p>
        </w:tc>
      </w:tr>
      <w:tr w:rsidR="00527774" w:rsidRPr="00D52D4F" w14:paraId="07DA97E3" w14:textId="77777777" w:rsidTr="00FC73A3">
        <w:trPr>
          <w:jc w:val="center"/>
        </w:trPr>
        <w:tc>
          <w:tcPr>
            <w:tcW w:w="2972" w:type="dxa"/>
            <w:vAlign w:val="center"/>
          </w:tcPr>
          <w:p w14:paraId="6574BCCF" w14:textId="77777777" w:rsidR="00527774" w:rsidRDefault="00527774" w:rsidP="00527774">
            <w:pPr>
              <w:spacing w:before="0" w:after="0" w:line="240" w:lineRule="auto"/>
              <w:jc w:val="left"/>
              <w:rPr>
                <w:rFonts w:eastAsia="Times New Roman"/>
                <w:color w:val="000000"/>
                <w:sz w:val="18"/>
                <w:szCs w:val="18"/>
              </w:rPr>
            </w:pPr>
            <w:r>
              <w:rPr>
                <w:rFonts w:eastAsia="Times New Roman"/>
                <w:color w:val="000000"/>
                <w:sz w:val="18"/>
                <w:szCs w:val="18"/>
              </w:rPr>
              <w:t>MasNegocio.com, S.A.P.I. de C.V.</w:t>
            </w:r>
          </w:p>
        </w:tc>
        <w:tc>
          <w:tcPr>
            <w:tcW w:w="3119" w:type="dxa"/>
            <w:tcBorders>
              <w:top w:val="single" w:sz="4" w:space="0" w:color="auto"/>
              <w:left w:val="single" w:sz="4" w:space="0" w:color="auto"/>
              <w:bottom w:val="single" w:sz="4" w:space="0" w:color="auto"/>
              <w:right w:val="single" w:sz="4" w:space="0" w:color="auto"/>
            </w:tcBorders>
            <w:vAlign w:val="center"/>
          </w:tcPr>
          <w:p w14:paraId="4A7C4916" w14:textId="77777777" w:rsidR="00527774" w:rsidRDefault="00527774" w:rsidP="00527774">
            <w:pPr>
              <w:spacing w:before="0" w:after="0" w:line="240" w:lineRule="auto"/>
              <w:jc w:val="center"/>
              <w:rPr>
                <w:rFonts w:eastAsia="Times New Roman"/>
                <w:color w:val="000000"/>
                <w:sz w:val="18"/>
                <w:szCs w:val="18"/>
              </w:rPr>
            </w:pPr>
            <w:r>
              <w:rPr>
                <w:rFonts w:eastAsia="Times New Roman"/>
                <w:color w:val="000000"/>
                <w:sz w:val="18"/>
                <w:szCs w:val="18"/>
              </w:rPr>
              <w:t>KIO</w:t>
            </w:r>
          </w:p>
        </w:tc>
        <w:tc>
          <w:tcPr>
            <w:tcW w:w="3161" w:type="dxa"/>
            <w:tcBorders>
              <w:top w:val="single" w:sz="4" w:space="0" w:color="auto"/>
              <w:left w:val="single" w:sz="4" w:space="0" w:color="auto"/>
              <w:bottom w:val="single" w:sz="4" w:space="0" w:color="auto"/>
              <w:right w:val="single" w:sz="4" w:space="0" w:color="auto"/>
            </w:tcBorders>
          </w:tcPr>
          <w:p w14:paraId="1D0C9C73" w14:textId="69D55557" w:rsidR="00527774" w:rsidRDefault="00F91F1A" w:rsidP="00527774">
            <w:pPr>
              <w:spacing w:before="0" w:after="0" w:line="240" w:lineRule="auto"/>
              <w:jc w:val="right"/>
              <w:rPr>
                <w:rFonts w:eastAsia="Times New Roman"/>
                <w:color w:val="000000"/>
                <w:sz w:val="18"/>
                <w:szCs w:val="18"/>
                <w:highlight w:val="cyan"/>
              </w:rPr>
            </w:pPr>
            <w:r>
              <w:rPr>
                <w:b/>
                <w:bCs/>
                <w:color w:val="0000CC"/>
                <w:sz w:val="19"/>
                <w:szCs w:val="19"/>
              </w:rPr>
              <w:t>“CONFIDENCIAL POR LEY (70</w:t>
            </w:r>
            <w:r w:rsidR="00527774" w:rsidRPr="00AA2184">
              <w:rPr>
                <w:b/>
                <w:bCs/>
                <w:color w:val="0000CC"/>
                <w:sz w:val="19"/>
                <w:szCs w:val="19"/>
              </w:rPr>
              <w:t>)”</w:t>
            </w:r>
          </w:p>
        </w:tc>
      </w:tr>
      <w:tr w:rsidR="00527774" w:rsidRPr="00D52D4F" w14:paraId="749E5A28" w14:textId="77777777" w:rsidTr="00FC73A3">
        <w:trPr>
          <w:jc w:val="center"/>
        </w:trPr>
        <w:tc>
          <w:tcPr>
            <w:tcW w:w="2972" w:type="dxa"/>
            <w:vAlign w:val="center"/>
          </w:tcPr>
          <w:p w14:paraId="6801841A" w14:textId="77777777" w:rsidR="00527774" w:rsidRDefault="00527774" w:rsidP="00527774">
            <w:pPr>
              <w:spacing w:before="0" w:after="0" w:line="240" w:lineRule="auto"/>
              <w:jc w:val="left"/>
              <w:rPr>
                <w:rFonts w:eastAsia="Times New Roman"/>
                <w:color w:val="000000"/>
                <w:sz w:val="18"/>
                <w:szCs w:val="18"/>
              </w:rPr>
            </w:pPr>
            <w:proofErr w:type="spellStart"/>
            <w:r>
              <w:rPr>
                <w:rFonts w:eastAsia="Times New Roman"/>
                <w:color w:val="000000"/>
                <w:sz w:val="18"/>
                <w:szCs w:val="18"/>
              </w:rPr>
              <w:t>Hiku</w:t>
            </w:r>
            <w:proofErr w:type="spellEnd"/>
            <w:r>
              <w:rPr>
                <w:rFonts w:eastAsia="Times New Roman"/>
                <w:color w:val="000000"/>
                <w:sz w:val="18"/>
                <w:szCs w:val="18"/>
              </w:rPr>
              <w:t xml:space="preserve"> </w:t>
            </w:r>
            <w:proofErr w:type="spellStart"/>
            <w:r>
              <w:rPr>
                <w:rFonts w:eastAsia="Times New Roman"/>
                <w:color w:val="000000"/>
                <w:sz w:val="18"/>
                <w:szCs w:val="18"/>
              </w:rPr>
              <w:t>Document</w:t>
            </w:r>
            <w:proofErr w:type="spellEnd"/>
            <w:r>
              <w:rPr>
                <w:rFonts w:eastAsia="Times New Roman"/>
                <w:color w:val="000000"/>
                <w:sz w:val="18"/>
                <w:szCs w:val="18"/>
              </w:rPr>
              <w:t xml:space="preserve"> </w:t>
            </w:r>
            <w:proofErr w:type="spellStart"/>
            <w:r>
              <w:rPr>
                <w:rFonts w:eastAsia="Times New Roman"/>
                <w:color w:val="000000"/>
                <w:sz w:val="18"/>
                <w:szCs w:val="18"/>
              </w:rPr>
              <w:t>Services</w:t>
            </w:r>
            <w:proofErr w:type="spellEnd"/>
            <w:r>
              <w:rPr>
                <w:rFonts w:eastAsia="Times New Roman"/>
                <w:color w:val="000000"/>
                <w:sz w:val="18"/>
                <w:szCs w:val="18"/>
              </w:rPr>
              <w:t>, S.A.P.I. de C.V.</w:t>
            </w:r>
          </w:p>
        </w:tc>
        <w:tc>
          <w:tcPr>
            <w:tcW w:w="3119" w:type="dxa"/>
            <w:tcBorders>
              <w:top w:val="single" w:sz="4" w:space="0" w:color="auto"/>
              <w:left w:val="single" w:sz="4" w:space="0" w:color="auto"/>
              <w:bottom w:val="single" w:sz="4" w:space="0" w:color="auto"/>
              <w:right w:val="single" w:sz="4" w:space="0" w:color="auto"/>
            </w:tcBorders>
            <w:vAlign w:val="center"/>
          </w:tcPr>
          <w:p w14:paraId="1D35D2D5" w14:textId="77777777" w:rsidR="00527774" w:rsidRDefault="00527774" w:rsidP="00527774">
            <w:pPr>
              <w:spacing w:before="0" w:after="0" w:line="240" w:lineRule="auto"/>
              <w:jc w:val="center"/>
              <w:rPr>
                <w:rFonts w:eastAsia="Times New Roman"/>
                <w:color w:val="000000"/>
                <w:sz w:val="18"/>
                <w:szCs w:val="18"/>
              </w:rPr>
            </w:pPr>
            <w:r>
              <w:rPr>
                <w:rFonts w:eastAsia="Times New Roman"/>
                <w:color w:val="000000"/>
                <w:sz w:val="18"/>
                <w:szCs w:val="18"/>
              </w:rPr>
              <w:t>KIO</w:t>
            </w:r>
          </w:p>
        </w:tc>
        <w:tc>
          <w:tcPr>
            <w:tcW w:w="3161" w:type="dxa"/>
            <w:tcBorders>
              <w:top w:val="single" w:sz="4" w:space="0" w:color="auto"/>
              <w:left w:val="single" w:sz="4" w:space="0" w:color="auto"/>
              <w:bottom w:val="single" w:sz="4" w:space="0" w:color="auto"/>
              <w:right w:val="single" w:sz="4" w:space="0" w:color="auto"/>
            </w:tcBorders>
          </w:tcPr>
          <w:p w14:paraId="34E5F2BF" w14:textId="3D73850D" w:rsidR="00527774" w:rsidRDefault="00F91F1A" w:rsidP="00527774">
            <w:pPr>
              <w:spacing w:before="0" w:after="0" w:line="240" w:lineRule="auto"/>
              <w:jc w:val="right"/>
              <w:rPr>
                <w:rFonts w:eastAsia="Times New Roman"/>
                <w:color w:val="000000"/>
                <w:sz w:val="18"/>
                <w:szCs w:val="18"/>
                <w:highlight w:val="cyan"/>
              </w:rPr>
            </w:pPr>
            <w:r>
              <w:rPr>
                <w:b/>
                <w:bCs/>
                <w:color w:val="0000CC"/>
                <w:sz w:val="19"/>
                <w:szCs w:val="19"/>
              </w:rPr>
              <w:t>“CONFIDENCIAL POR LEY (71</w:t>
            </w:r>
            <w:r w:rsidR="00527774" w:rsidRPr="00AA2184">
              <w:rPr>
                <w:b/>
                <w:bCs/>
                <w:color w:val="0000CC"/>
                <w:sz w:val="19"/>
                <w:szCs w:val="19"/>
              </w:rPr>
              <w:t>)”</w:t>
            </w:r>
          </w:p>
        </w:tc>
      </w:tr>
      <w:tr w:rsidR="00527774" w:rsidRPr="00D52D4F" w14:paraId="50132529" w14:textId="77777777" w:rsidTr="00FC73A3">
        <w:trPr>
          <w:jc w:val="center"/>
        </w:trPr>
        <w:tc>
          <w:tcPr>
            <w:tcW w:w="2972" w:type="dxa"/>
            <w:vAlign w:val="center"/>
          </w:tcPr>
          <w:p w14:paraId="79F5A963" w14:textId="77777777" w:rsidR="00527774" w:rsidRPr="00955BA9" w:rsidRDefault="00527774" w:rsidP="00527774">
            <w:pPr>
              <w:spacing w:before="0" w:after="0" w:line="240" w:lineRule="auto"/>
              <w:jc w:val="left"/>
              <w:rPr>
                <w:rFonts w:eastAsia="Times New Roman"/>
                <w:color w:val="000000"/>
                <w:sz w:val="18"/>
                <w:szCs w:val="18"/>
                <w:lang w:val="en-US"/>
              </w:rPr>
            </w:pPr>
            <w:r w:rsidRPr="00955BA9">
              <w:rPr>
                <w:rFonts w:eastAsia="Times New Roman"/>
                <w:color w:val="000000"/>
                <w:sz w:val="18"/>
                <w:szCs w:val="18"/>
                <w:lang w:val="en-US"/>
              </w:rPr>
              <w:t>Sm4rt Securities Services, S.A. de C.V.</w:t>
            </w:r>
          </w:p>
        </w:tc>
        <w:tc>
          <w:tcPr>
            <w:tcW w:w="3119" w:type="dxa"/>
            <w:tcBorders>
              <w:top w:val="single" w:sz="4" w:space="0" w:color="auto"/>
              <w:left w:val="single" w:sz="4" w:space="0" w:color="auto"/>
              <w:bottom w:val="single" w:sz="4" w:space="0" w:color="auto"/>
              <w:right w:val="single" w:sz="4" w:space="0" w:color="auto"/>
            </w:tcBorders>
            <w:vAlign w:val="center"/>
          </w:tcPr>
          <w:p w14:paraId="60703AB7" w14:textId="77777777" w:rsidR="00527774" w:rsidRDefault="00527774" w:rsidP="00527774">
            <w:pPr>
              <w:spacing w:before="0" w:after="0" w:line="240" w:lineRule="auto"/>
              <w:jc w:val="center"/>
              <w:rPr>
                <w:rFonts w:eastAsia="Times New Roman"/>
                <w:color w:val="000000"/>
                <w:sz w:val="18"/>
                <w:szCs w:val="18"/>
              </w:rPr>
            </w:pPr>
            <w:r>
              <w:rPr>
                <w:rFonts w:eastAsia="Times New Roman"/>
                <w:color w:val="000000"/>
                <w:sz w:val="18"/>
                <w:szCs w:val="18"/>
              </w:rPr>
              <w:t>KIO</w:t>
            </w:r>
          </w:p>
        </w:tc>
        <w:tc>
          <w:tcPr>
            <w:tcW w:w="3161" w:type="dxa"/>
            <w:tcBorders>
              <w:top w:val="single" w:sz="4" w:space="0" w:color="auto"/>
              <w:left w:val="single" w:sz="4" w:space="0" w:color="auto"/>
              <w:bottom w:val="single" w:sz="4" w:space="0" w:color="auto"/>
              <w:right w:val="single" w:sz="4" w:space="0" w:color="auto"/>
            </w:tcBorders>
          </w:tcPr>
          <w:p w14:paraId="4C897325" w14:textId="05199284" w:rsidR="00527774" w:rsidRDefault="00527774" w:rsidP="00527774">
            <w:pPr>
              <w:spacing w:before="0" w:after="0" w:line="240" w:lineRule="auto"/>
              <w:jc w:val="right"/>
              <w:rPr>
                <w:rFonts w:eastAsia="Times New Roman"/>
                <w:color w:val="000000"/>
                <w:sz w:val="18"/>
                <w:szCs w:val="18"/>
                <w:highlight w:val="cyan"/>
              </w:rPr>
            </w:pPr>
            <w:r w:rsidRPr="00AA2184">
              <w:rPr>
                <w:b/>
                <w:bCs/>
                <w:color w:val="0000CC"/>
                <w:sz w:val="19"/>
                <w:szCs w:val="19"/>
              </w:rPr>
              <w:t>“CONFIDENCIAL POR LE</w:t>
            </w:r>
            <w:r w:rsidR="00F91F1A">
              <w:rPr>
                <w:b/>
                <w:bCs/>
                <w:color w:val="0000CC"/>
                <w:sz w:val="19"/>
                <w:szCs w:val="19"/>
              </w:rPr>
              <w:t>Y (72</w:t>
            </w:r>
            <w:r w:rsidRPr="00AA2184">
              <w:rPr>
                <w:b/>
                <w:bCs/>
                <w:color w:val="0000CC"/>
                <w:sz w:val="19"/>
                <w:szCs w:val="19"/>
              </w:rPr>
              <w:t>)”</w:t>
            </w:r>
          </w:p>
        </w:tc>
      </w:tr>
      <w:tr w:rsidR="00527774" w:rsidRPr="00D52D4F" w14:paraId="2E1C816D" w14:textId="77777777" w:rsidTr="00FC73A3">
        <w:trPr>
          <w:jc w:val="center"/>
        </w:trPr>
        <w:tc>
          <w:tcPr>
            <w:tcW w:w="2972" w:type="dxa"/>
            <w:vAlign w:val="center"/>
          </w:tcPr>
          <w:p w14:paraId="0985841E" w14:textId="77777777" w:rsidR="00527774" w:rsidRDefault="00527774" w:rsidP="00527774">
            <w:pPr>
              <w:spacing w:before="0" w:after="0" w:line="240" w:lineRule="auto"/>
              <w:jc w:val="left"/>
              <w:rPr>
                <w:rFonts w:eastAsia="Times New Roman"/>
                <w:color w:val="000000"/>
                <w:sz w:val="18"/>
                <w:szCs w:val="18"/>
              </w:rPr>
            </w:pPr>
            <w:r>
              <w:rPr>
                <w:rFonts w:eastAsia="Times New Roman"/>
                <w:color w:val="000000"/>
                <w:sz w:val="18"/>
                <w:szCs w:val="18"/>
              </w:rPr>
              <w:t>Servicios de TI, S.A.</w:t>
            </w:r>
          </w:p>
        </w:tc>
        <w:tc>
          <w:tcPr>
            <w:tcW w:w="3119" w:type="dxa"/>
            <w:tcBorders>
              <w:top w:val="single" w:sz="4" w:space="0" w:color="auto"/>
              <w:left w:val="single" w:sz="4" w:space="0" w:color="auto"/>
              <w:bottom w:val="single" w:sz="4" w:space="0" w:color="auto"/>
              <w:right w:val="single" w:sz="4" w:space="0" w:color="auto"/>
            </w:tcBorders>
            <w:vAlign w:val="center"/>
          </w:tcPr>
          <w:p w14:paraId="622A2DCA" w14:textId="77777777" w:rsidR="00527774" w:rsidRDefault="00527774" w:rsidP="00527774">
            <w:pPr>
              <w:spacing w:before="0" w:after="0" w:line="240" w:lineRule="auto"/>
              <w:jc w:val="center"/>
              <w:rPr>
                <w:rFonts w:eastAsia="Times New Roman"/>
                <w:color w:val="000000"/>
                <w:sz w:val="18"/>
                <w:szCs w:val="18"/>
              </w:rPr>
            </w:pPr>
            <w:r>
              <w:rPr>
                <w:rFonts w:eastAsia="Times New Roman"/>
                <w:color w:val="000000"/>
                <w:sz w:val="18"/>
                <w:szCs w:val="18"/>
              </w:rPr>
              <w:t>KIO</w:t>
            </w:r>
          </w:p>
        </w:tc>
        <w:tc>
          <w:tcPr>
            <w:tcW w:w="3161" w:type="dxa"/>
            <w:tcBorders>
              <w:top w:val="single" w:sz="4" w:space="0" w:color="auto"/>
              <w:left w:val="single" w:sz="4" w:space="0" w:color="auto"/>
              <w:bottom w:val="single" w:sz="4" w:space="0" w:color="auto"/>
              <w:right w:val="single" w:sz="4" w:space="0" w:color="auto"/>
            </w:tcBorders>
          </w:tcPr>
          <w:p w14:paraId="072B95BF" w14:textId="3E5DC751" w:rsidR="00527774" w:rsidRDefault="00F91F1A" w:rsidP="00527774">
            <w:pPr>
              <w:spacing w:before="0" w:after="0" w:line="240" w:lineRule="auto"/>
              <w:jc w:val="right"/>
              <w:rPr>
                <w:rFonts w:eastAsia="Times New Roman"/>
                <w:color w:val="000000"/>
                <w:sz w:val="18"/>
                <w:szCs w:val="18"/>
                <w:highlight w:val="cyan"/>
              </w:rPr>
            </w:pPr>
            <w:r>
              <w:rPr>
                <w:b/>
                <w:bCs/>
                <w:color w:val="0000CC"/>
                <w:sz w:val="19"/>
                <w:szCs w:val="19"/>
              </w:rPr>
              <w:t>“CONFIDENCIAL POR LEY (73</w:t>
            </w:r>
            <w:r w:rsidR="00527774" w:rsidRPr="00AA2184">
              <w:rPr>
                <w:b/>
                <w:bCs/>
                <w:color w:val="0000CC"/>
                <w:sz w:val="19"/>
                <w:szCs w:val="19"/>
              </w:rPr>
              <w:t>)”</w:t>
            </w:r>
          </w:p>
        </w:tc>
      </w:tr>
      <w:tr w:rsidR="00527774" w:rsidRPr="00D52D4F" w14:paraId="0A0516EA" w14:textId="77777777" w:rsidTr="00FC73A3">
        <w:trPr>
          <w:jc w:val="center"/>
        </w:trPr>
        <w:tc>
          <w:tcPr>
            <w:tcW w:w="2972" w:type="dxa"/>
            <w:vAlign w:val="center"/>
          </w:tcPr>
          <w:p w14:paraId="169DFF8D" w14:textId="77777777" w:rsidR="00527774" w:rsidRDefault="00527774" w:rsidP="00527774">
            <w:pPr>
              <w:spacing w:before="0" w:after="0" w:line="240" w:lineRule="auto"/>
              <w:jc w:val="left"/>
              <w:rPr>
                <w:rFonts w:eastAsia="Times New Roman"/>
                <w:color w:val="000000"/>
                <w:sz w:val="18"/>
                <w:szCs w:val="18"/>
              </w:rPr>
            </w:pPr>
            <w:r>
              <w:rPr>
                <w:rFonts w:eastAsia="Times New Roman"/>
                <w:color w:val="000000"/>
                <w:sz w:val="18"/>
                <w:szCs w:val="18"/>
              </w:rPr>
              <w:t xml:space="preserve">UTE </w:t>
            </w:r>
            <w:proofErr w:type="spellStart"/>
            <w:r>
              <w:rPr>
                <w:rFonts w:eastAsia="Times New Roman"/>
                <w:color w:val="000000"/>
                <w:sz w:val="18"/>
                <w:szCs w:val="18"/>
              </w:rPr>
              <w:t>SixSigma</w:t>
            </w:r>
            <w:proofErr w:type="spellEnd"/>
            <w:r>
              <w:rPr>
                <w:rFonts w:eastAsia="Times New Roman"/>
                <w:color w:val="000000"/>
                <w:sz w:val="18"/>
                <w:szCs w:val="18"/>
              </w:rPr>
              <w:t xml:space="preserve"> Networks México, S.A. de C.V.</w:t>
            </w:r>
          </w:p>
        </w:tc>
        <w:tc>
          <w:tcPr>
            <w:tcW w:w="3119" w:type="dxa"/>
            <w:tcBorders>
              <w:top w:val="single" w:sz="4" w:space="0" w:color="auto"/>
              <w:left w:val="single" w:sz="4" w:space="0" w:color="auto"/>
              <w:bottom w:val="single" w:sz="4" w:space="0" w:color="auto"/>
              <w:right w:val="single" w:sz="4" w:space="0" w:color="auto"/>
            </w:tcBorders>
            <w:vAlign w:val="center"/>
          </w:tcPr>
          <w:p w14:paraId="46618C9A" w14:textId="77777777" w:rsidR="00527774" w:rsidRDefault="00527774" w:rsidP="00527774">
            <w:pPr>
              <w:spacing w:before="0" w:after="0" w:line="240" w:lineRule="auto"/>
              <w:jc w:val="center"/>
              <w:rPr>
                <w:rFonts w:eastAsia="Times New Roman"/>
                <w:color w:val="000000"/>
                <w:sz w:val="18"/>
                <w:szCs w:val="18"/>
              </w:rPr>
            </w:pPr>
            <w:r>
              <w:rPr>
                <w:rFonts w:eastAsia="Times New Roman"/>
                <w:color w:val="000000"/>
                <w:sz w:val="18"/>
                <w:szCs w:val="18"/>
              </w:rPr>
              <w:t>KIO</w:t>
            </w:r>
          </w:p>
        </w:tc>
        <w:tc>
          <w:tcPr>
            <w:tcW w:w="3161" w:type="dxa"/>
            <w:tcBorders>
              <w:top w:val="single" w:sz="4" w:space="0" w:color="auto"/>
              <w:left w:val="single" w:sz="4" w:space="0" w:color="auto"/>
              <w:bottom w:val="single" w:sz="4" w:space="0" w:color="auto"/>
              <w:right w:val="single" w:sz="4" w:space="0" w:color="auto"/>
            </w:tcBorders>
          </w:tcPr>
          <w:p w14:paraId="275BDB9E" w14:textId="34ABE6F8" w:rsidR="00527774" w:rsidRDefault="00F91F1A" w:rsidP="00527774">
            <w:pPr>
              <w:spacing w:before="0" w:after="0" w:line="240" w:lineRule="auto"/>
              <w:jc w:val="right"/>
              <w:rPr>
                <w:rFonts w:eastAsia="Times New Roman"/>
                <w:color w:val="000000"/>
                <w:sz w:val="18"/>
                <w:szCs w:val="18"/>
                <w:highlight w:val="cyan"/>
              </w:rPr>
            </w:pPr>
            <w:r>
              <w:rPr>
                <w:b/>
                <w:bCs/>
                <w:color w:val="0000CC"/>
                <w:sz w:val="19"/>
                <w:szCs w:val="19"/>
              </w:rPr>
              <w:t>“CONFIDENCIAL POR LEY (74</w:t>
            </w:r>
            <w:r w:rsidR="00527774" w:rsidRPr="00AA2184">
              <w:rPr>
                <w:b/>
                <w:bCs/>
                <w:color w:val="0000CC"/>
                <w:sz w:val="19"/>
                <w:szCs w:val="19"/>
              </w:rPr>
              <w:t>)”</w:t>
            </w:r>
          </w:p>
        </w:tc>
      </w:tr>
      <w:tr w:rsidR="00527774" w:rsidRPr="00D52D4F" w14:paraId="3435A235" w14:textId="77777777" w:rsidTr="00FC73A3">
        <w:trPr>
          <w:jc w:val="center"/>
        </w:trPr>
        <w:tc>
          <w:tcPr>
            <w:tcW w:w="2972" w:type="dxa"/>
            <w:vAlign w:val="center"/>
          </w:tcPr>
          <w:p w14:paraId="004CD2AC" w14:textId="77777777" w:rsidR="00527774" w:rsidRDefault="00527774" w:rsidP="00527774">
            <w:pPr>
              <w:spacing w:before="0" w:after="0" w:line="240" w:lineRule="auto"/>
              <w:jc w:val="left"/>
              <w:rPr>
                <w:rFonts w:eastAsia="Times New Roman"/>
                <w:color w:val="000000"/>
                <w:sz w:val="18"/>
                <w:szCs w:val="18"/>
              </w:rPr>
            </w:pPr>
            <w:r>
              <w:rPr>
                <w:rFonts w:eastAsia="Times New Roman"/>
                <w:color w:val="000000"/>
                <w:sz w:val="18"/>
                <w:szCs w:val="18"/>
              </w:rPr>
              <w:t>KIO Networks España, S.A.</w:t>
            </w:r>
          </w:p>
        </w:tc>
        <w:tc>
          <w:tcPr>
            <w:tcW w:w="3119" w:type="dxa"/>
            <w:tcBorders>
              <w:top w:val="single" w:sz="4" w:space="0" w:color="auto"/>
              <w:left w:val="single" w:sz="4" w:space="0" w:color="auto"/>
              <w:bottom w:val="single" w:sz="4" w:space="0" w:color="auto"/>
              <w:right w:val="single" w:sz="4" w:space="0" w:color="auto"/>
            </w:tcBorders>
            <w:vAlign w:val="center"/>
          </w:tcPr>
          <w:p w14:paraId="1E3AC4C9" w14:textId="77777777" w:rsidR="00527774" w:rsidRDefault="00527774" w:rsidP="00527774">
            <w:pPr>
              <w:spacing w:before="0" w:after="0" w:line="240" w:lineRule="auto"/>
              <w:jc w:val="center"/>
              <w:rPr>
                <w:rFonts w:eastAsia="Times New Roman"/>
                <w:color w:val="000000"/>
                <w:sz w:val="18"/>
                <w:szCs w:val="18"/>
              </w:rPr>
            </w:pPr>
            <w:r>
              <w:rPr>
                <w:rFonts w:eastAsia="Times New Roman"/>
                <w:color w:val="000000"/>
                <w:sz w:val="18"/>
                <w:szCs w:val="18"/>
              </w:rPr>
              <w:t>KIO</w:t>
            </w:r>
          </w:p>
        </w:tc>
        <w:tc>
          <w:tcPr>
            <w:tcW w:w="3161" w:type="dxa"/>
            <w:tcBorders>
              <w:top w:val="single" w:sz="4" w:space="0" w:color="auto"/>
              <w:left w:val="single" w:sz="4" w:space="0" w:color="auto"/>
              <w:bottom w:val="single" w:sz="4" w:space="0" w:color="auto"/>
              <w:right w:val="single" w:sz="4" w:space="0" w:color="auto"/>
            </w:tcBorders>
          </w:tcPr>
          <w:p w14:paraId="4F9C249E" w14:textId="7E6DAA14" w:rsidR="00527774" w:rsidRDefault="00AB206D" w:rsidP="00527774">
            <w:pPr>
              <w:spacing w:before="0" w:after="0" w:line="240" w:lineRule="auto"/>
              <w:jc w:val="right"/>
              <w:rPr>
                <w:rFonts w:eastAsia="Times New Roman"/>
                <w:color w:val="000000"/>
                <w:sz w:val="18"/>
                <w:szCs w:val="18"/>
                <w:highlight w:val="cyan"/>
              </w:rPr>
            </w:pPr>
            <w:r>
              <w:rPr>
                <w:b/>
                <w:bCs/>
                <w:color w:val="0000CC"/>
                <w:sz w:val="19"/>
                <w:szCs w:val="19"/>
              </w:rPr>
              <w:t>“CONFIDENCIAL POR LEY (75</w:t>
            </w:r>
            <w:r w:rsidR="00527774" w:rsidRPr="00AA2184">
              <w:rPr>
                <w:b/>
                <w:bCs/>
                <w:color w:val="0000CC"/>
                <w:sz w:val="19"/>
                <w:szCs w:val="19"/>
              </w:rPr>
              <w:t>)”</w:t>
            </w:r>
          </w:p>
        </w:tc>
      </w:tr>
      <w:tr w:rsidR="00527774" w:rsidRPr="00D52D4F" w14:paraId="781BD3E3" w14:textId="77777777" w:rsidTr="00AB206D">
        <w:trPr>
          <w:jc w:val="center"/>
        </w:trPr>
        <w:tc>
          <w:tcPr>
            <w:tcW w:w="2972" w:type="dxa"/>
            <w:vAlign w:val="center"/>
          </w:tcPr>
          <w:p w14:paraId="089C98CF" w14:textId="77777777" w:rsidR="00527774" w:rsidRDefault="00527774" w:rsidP="00527774">
            <w:pPr>
              <w:spacing w:before="0" w:after="0" w:line="240" w:lineRule="auto"/>
              <w:jc w:val="left"/>
              <w:rPr>
                <w:rFonts w:eastAsia="Times New Roman"/>
                <w:color w:val="000000"/>
                <w:sz w:val="18"/>
                <w:szCs w:val="18"/>
              </w:rPr>
            </w:pPr>
            <w:proofErr w:type="spellStart"/>
            <w:r>
              <w:rPr>
                <w:rFonts w:eastAsia="Times New Roman"/>
                <w:color w:val="000000"/>
                <w:sz w:val="18"/>
                <w:szCs w:val="18"/>
              </w:rPr>
              <w:t>Castle</w:t>
            </w:r>
            <w:proofErr w:type="spellEnd"/>
            <w:r>
              <w:rPr>
                <w:rFonts w:eastAsia="Times New Roman"/>
                <w:color w:val="000000"/>
                <w:sz w:val="18"/>
                <w:szCs w:val="18"/>
              </w:rPr>
              <w:t xml:space="preserve"> Access, </w:t>
            </w:r>
            <w:proofErr w:type="spellStart"/>
            <w:r>
              <w:rPr>
                <w:rFonts w:eastAsia="Times New Roman"/>
                <w:color w:val="000000"/>
                <w:sz w:val="18"/>
                <w:szCs w:val="18"/>
              </w:rPr>
              <w:t>Inc</w:t>
            </w:r>
            <w:proofErr w:type="spellEnd"/>
          </w:p>
        </w:tc>
        <w:tc>
          <w:tcPr>
            <w:tcW w:w="3119" w:type="dxa"/>
            <w:tcBorders>
              <w:top w:val="single" w:sz="4" w:space="0" w:color="auto"/>
              <w:left w:val="single" w:sz="4" w:space="0" w:color="auto"/>
              <w:bottom w:val="single" w:sz="4" w:space="0" w:color="auto"/>
              <w:right w:val="single" w:sz="4" w:space="0" w:color="auto"/>
            </w:tcBorders>
            <w:vAlign w:val="center"/>
          </w:tcPr>
          <w:p w14:paraId="7A9EF099" w14:textId="77777777" w:rsidR="00527774" w:rsidRDefault="00527774" w:rsidP="00527774">
            <w:pPr>
              <w:spacing w:before="0" w:after="0" w:line="240" w:lineRule="auto"/>
              <w:jc w:val="center"/>
              <w:rPr>
                <w:rFonts w:eastAsia="Times New Roman"/>
                <w:color w:val="000000"/>
                <w:sz w:val="18"/>
                <w:szCs w:val="18"/>
              </w:rPr>
            </w:pPr>
            <w:r>
              <w:rPr>
                <w:rFonts w:eastAsia="Times New Roman"/>
                <w:color w:val="000000"/>
                <w:sz w:val="18"/>
                <w:szCs w:val="18"/>
              </w:rPr>
              <w:t>Metro Net</w:t>
            </w:r>
          </w:p>
        </w:tc>
        <w:tc>
          <w:tcPr>
            <w:tcW w:w="3161" w:type="dxa"/>
            <w:tcBorders>
              <w:top w:val="single" w:sz="4" w:space="0" w:color="auto"/>
              <w:left w:val="single" w:sz="4" w:space="0" w:color="auto"/>
              <w:bottom w:val="single" w:sz="4" w:space="0" w:color="auto"/>
              <w:right w:val="single" w:sz="4" w:space="0" w:color="auto"/>
            </w:tcBorders>
            <w:shd w:val="clear" w:color="auto" w:fill="auto"/>
          </w:tcPr>
          <w:p w14:paraId="3E810EA6" w14:textId="368576CB" w:rsidR="00527774" w:rsidRDefault="00AB206D" w:rsidP="00527774">
            <w:pPr>
              <w:spacing w:before="0" w:after="0" w:line="240" w:lineRule="auto"/>
              <w:jc w:val="right"/>
              <w:rPr>
                <w:rFonts w:eastAsia="Times New Roman"/>
                <w:color w:val="000000"/>
                <w:sz w:val="18"/>
                <w:szCs w:val="18"/>
                <w:highlight w:val="cyan"/>
              </w:rPr>
            </w:pPr>
            <w:r>
              <w:rPr>
                <w:b/>
                <w:bCs/>
                <w:color w:val="0000CC"/>
                <w:sz w:val="19"/>
                <w:szCs w:val="19"/>
              </w:rPr>
              <w:t>“CONFIDENCIAL POR LEY (76</w:t>
            </w:r>
            <w:r w:rsidR="00527774" w:rsidRPr="00AA2184">
              <w:rPr>
                <w:b/>
                <w:bCs/>
                <w:color w:val="0000CC"/>
                <w:sz w:val="19"/>
                <w:szCs w:val="19"/>
              </w:rPr>
              <w:t>)”</w:t>
            </w:r>
          </w:p>
        </w:tc>
      </w:tr>
    </w:tbl>
    <w:p w14:paraId="5E9CA6A5" w14:textId="77777777" w:rsidR="009127A8" w:rsidRDefault="009127A8" w:rsidP="000818B2">
      <w:pPr>
        <w:pStyle w:val="Notaalpie"/>
        <w:ind w:left="142" w:right="332"/>
        <w:rPr>
          <w:rFonts w:eastAsia="Calibri" w:cs="Times New Roman"/>
          <w:sz w:val="16"/>
        </w:rPr>
      </w:pPr>
      <w:r w:rsidRPr="000818B2">
        <w:rPr>
          <w:rFonts w:eastAsia="Calibri" w:cs="Times New Roman"/>
          <w:sz w:val="16"/>
        </w:rPr>
        <w:t xml:space="preserve">Fuente: Elaboración propia con información proporcionada por las Partes, contenida en Fojas </w:t>
      </w:r>
      <w:r w:rsidR="007E0F8D" w:rsidRPr="000818B2">
        <w:rPr>
          <w:rFonts w:eastAsia="Calibri" w:cs="Times New Roman"/>
          <w:sz w:val="16"/>
        </w:rPr>
        <w:t>21</w:t>
      </w:r>
      <w:r w:rsidR="004D419E" w:rsidRPr="000818B2">
        <w:rPr>
          <w:rFonts w:eastAsia="Calibri" w:cs="Times New Roman"/>
          <w:sz w:val="16"/>
        </w:rPr>
        <w:t>, 664</w:t>
      </w:r>
      <w:r w:rsidR="00C1349E" w:rsidRPr="000818B2">
        <w:rPr>
          <w:rFonts w:eastAsia="Calibri" w:cs="Times New Roman"/>
          <w:sz w:val="16"/>
        </w:rPr>
        <w:t xml:space="preserve"> y</w:t>
      </w:r>
      <w:r w:rsidR="00C566B7" w:rsidRPr="000818B2">
        <w:rPr>
          <w:rFonts w:eastAsia="Calibri" w:cs="Times New Roman"/>
          <w:sz w:val="16"/>
        </w:rPr>
        <w:t xml:space="preserve"> 719</w:t>
      </w:r>
      <w:r w:rsidR="00C1349E" w:rsidRPr="000818B2">
        <w:rPr>
          <w:rFonts w:eastAsia="Calibri" w:cs="Times New Roman"/>
          <w:sz w:val="16"/>
        </w:rPr>
        <w:t xml:space="preserve"> </w:t>
      </w:r>
      <w:r w:rsidRPr="000818B2">
        <w:rPr>
          <w:rFonts w:eastAsia="Calibri" w:cs="Times New Roman"/>
          <w:sz w:val="16"/>
        </w:rPr>
        <w:t>del Expediente.</w:t>
      </w:r>
    </w:p>
    <w:p w14:paraId="3AB1F975" w14:textId="145CB2E8" w:rsidR="00FE38DD" w:rsidRPr="000818B2" w:rsidRDefault="00FE38DD" w:rsidP="000818B2">
      <w:pPr>
        <w:pStyle w:val="Notaalpie"/>
        <w:ind w:left="142" w:right="332"/>
        <w:rPr>
          <w:rFonts w:eastAsia="Calibri" w:cs="Times New Roman"/>
          <w:sz w:val="16"/>
        </w:rPr>
      </w:pPr>
    </w:p>
    <w:p w14:paraId="58BBDE76" w14:textId="77777777" w:rsidR="005874AB" w:rsidRPr="00E859A7" w:rsidRDefault="005874AB" w:rsidP="001C6B1E">
      <w:pPr>
        <w:pStyle w:val="Prrafodelista"/>
        <w:spacing w:after="120" w:line="276" w:lineRule="auto"/>
        <w:ind w:left="0"/>
        <w:contextualSpacing w:val="0"/>
        <w:rPr>
          <w:rFonts w:eastAsia="Times New Roman"/>
          <w:color w:val="000000"/>
          <w:lang w:val="es-MX"/>
        </w:rPr>
      </w:pPr>
      <w:r w:rsidRPr="00E859A7">
        <w:t>Con base en la información proporcionada por las Partes, en el siguiente cuadro se pres</w:t>
      </w:r>
      <w:r w:rsidR="00E859A7" w:rsidRPr="00E859A7">
        <w:t xml:space="preserve">enta la información financiera </w:t>
      </w:r>
      <w:r w:rsidRPr="00E859A7">
        <w:t xml:space="preserve">de </w:t>
      </w:r>
      <w:r w:rsidR="00E859A7" w:rsidRPr="00E859A7">
        <w:t>KIO</w:t>
      </w:r>
      <w:r w:rsidR="00FE38DD">
        <w:t>, para los años dos mil quince y dos mil dieciséis.</w:t>
      </w:r>
    </w:p>
    <w:p w14:paraId="3A52305B" w14:textId="77777777" w:rsidR="0030526C" w:rsidRPr="00E859A7" w:rsidRDefault="0030526C" w:rsidP="000763D4">
      <w:pPr>
        <w:pStyle w:val="Sinespaciado"/>
        <w:keepNext/>
        <w:numPr>
          <w:ilvl w:val="0"/>
          <w:numId w:val="24"/>
        </w:numPr>
        <w:spacing w:before="120" w:after="120" w:line="276" w:lineRule="auto"/>
        <w:ind w:left="2268" w:right="567" w:hanging="1275"/>
        <w:jc w:val="both"/>
        <w:rPr>
          <w:rFonts w:ascii="ITC Avant Garde" w:hAnsi="ITC Avant Garde"/>
          <w:b/>
        </w:rPr>
      </w:pPr>
      <w:r w:rsidRPr="00E859A7">
        <w:rPr>
          <w:rFonts w:ascii="ITC Avant Garde" w:hAnsi="ITC Avant Garde"/>
          <w:b/>
        </w:rPr>
        <w:lastRenderedPageBreak/>
        <w:t xml:space="preserve">Cifras financieras </w:t>
      </w:r>
      <w:r w:rsidR="00E859A7" w:rsidRPr="00E859A7">
        <w:rPr>
          <w:rFonts w:ascii="ITC Avant Garde" w:hAnsi="ITC Avant Garde"/>
          <w:b/>
        </w:rPr>
        <w:t xml:space="preserve">no </w:t>
      </w:r>
      <w:r w:rsidR="005874AB" w:rsidRPr="00E859A7">
        <w:rPr>
          <w:rFonts w:ascii="ITC Avant Garde" w:hAnsi="ITC Avant Garde"/>
          <w:b/>
        </w:rPr>
        <w:t xml:space="preserve">consolidadas </w:t>
      </w:r>
      <w:r w:rsidRPr="00E859A7">
        <w:rPr>
          <w:rFonts w:ascii="ITC Avant Garde" w:hAnsi="ITC Avant Garde"/>
          <w:b/>
        </w:rPr>
        <w:t xml:space="preserve">de </w:t>
      </w:r>
      <w:r w:rsidR="005874AB" w:rsidRPr="00E859A7">
        <w:rPr>
          <w:rFonts w:ascii="ITC Avant Garde" w:hAnsi="ITC Avant Garde"/>
          <w:b/>
        </w:rPr>
        <w:t>KIO</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Cuadro 3."/>
        <w:tblDescription w:val="Contiene las cifras financieras no consolidadas de KIO"/>
      </w:tblPr>
      <w:tblGrid>
        <w:gridCol w:w="2770"/>
        <w:gridCol w:w="3123"/>
        <w:gridCol w:w="3123"/>
      </w:tblGrid>
      <w:tr w:rsidR="0030526C" w:rsidRPr="0030526C" w14:paraId="092CA576" w14:textId="77777777" w:rsidTr="00527774">
        <w:trPr>
          <w:trHeight w:val="20"/>
          <w:tblHeader/>
          <w:jc w:val="center"/>
        </w:trPr>
        <w:tc>
          <w:tcPr>
            <w:tcW w:w="2770" w:type="dxa"/>
            <w:shd w:val="clear" w:color="auto" w:fill="92D050"/>
            <w:vAlign w:val="center"/>
            <w:hideMark/>
          </w:tcPr>
          <w:p w14:paraId="7E15E494" w14:textId="77777777" w:rsidR="0030526C" w:rsidRPr="00C1349E" w:rsidRDefault="0030526C" w:rsidP="00C1349E">
            <w:pPr>
              <w:keepNext/>
              <w:spacing w:before="0" w:after="0" w:line="240" w:lineRule="auto"/>
              <w:jc w:val="center"/>
              <w:rPr>
                <w:rFonts w:eastAsia="Times New Roman"/>
                <w:b/>
                <w:bCs/>
                <w:sz w:val="18"/>
                <w:szCs w:val="18"/>
              </w:rPr>
            </w:pPr>
            <w:r w:rsidRPr="00C1349E">
              <w:rPr>
                <w:rFonts w:eastAsia="Times New Roman"/>
                <w:b/>
                <w:bCs/>
                <w:sz w:val="18"/>
                <w:szCs w:val="18"/>
              </w:rPr>
              <w:t>Concepto (pesos nominales)</w:t>
            </w:r>
          </w:p>
        </w:tc>
        <w:tc>
          <w:tcPr>
            <w:tcW w:w="3123" w:type="dxa"/>
            <w:shd w:val="clear" w:color="auto" w:fill="92D050"/>
            <w:vAlign w:val="center"/>
            <w:hideMark/>
          </w:tcPr>
          <w:p w14:paraId="28EEF395" w14:textId="77777777" w:rsidR="0030526C" w:rsidRPr="00C1349E" w:rsidRDefault="00C1349E" w:rsidP="00E859A7">
            <w:pPr>
              <w:keepNext/>
              <w:spacing w:before="0" w:after="0" w:line="240" w:lineRule="auto"/>
              <w:jc w:val="center"/>
              <w:rPr>
                <w:rFonts w:eastAsia="Times New Roman"/>
                <w:b/>
                <w:bCs/>
                <w:sz w:val="18"/>
                <w:szCs w:val="18"/>
              </w:rPr>
            </w:pPr>
            <w:r w:rsidRPr="00C1349E">
              <w:rPr>
                <w:b/>
                <w:sz w:val="18"/>
                <w:szCs w:val="18"/>
              </w:rPr>
              <w:t>diciembre</w:t>
            </w:r>
            <w:r w:rsidR="0030526C" w:rsidRPr="00C1349E">
              <w:rPr>
                <w:b/>
                <w:sz w:val="18"/>
                <w:szCs w:val="18"/>
              </w:rPr>
              <w:t xml:space="preserve"> de </w:t>
            </w:r>
            <w:r w:rsidR="0030526C" w:rsidRPr="00C1349E">
              <w:rPr>
                <w:rFonts w:eastAsia="Times New Roman"/>
                <w:b/>
                <w:bCs/>
                <w:sz w:val="18"/>
                <w:szCs w:val="18"/>
              </w:rPr>
              <w:t>2016</w:t>
            </w:r>
          </w:p>
        </w:tc>
        <w:tc>
          <w:tcPr>
            <w:tcW w:w="3123" w:type="dxa"/>
            <w:shd w:val="clear" w:color="auto" w:fill="92D050"/>
            <w:vAlign w:val="center"/>
          </w:tcPr>
          <w:p w14:paraId="720371AB" w14:textId="77777777" w:rsidR="0030526C" w:rsidRPr="00C1349E" w:rsidRDefault="0030526C" w:rsidP="00E859A7">
            <w:pPr>
              <w:keepNext/>
              <w:spacing w:before="0" w:after="0" w:line="240" w:lineRule="auto"/>
              <w:jc w:val="center"/>
              <w:rPr>
                <w:rFonts w:eastAsia="Times New Roman"/>
                <w:b/>
                <w:bCs/>
                <w:sz w:val="18"/>
                <w:szCs w:val="18"/>
              </w:rPr>
            </w:pPr>
            <w:r w:rsidRPr="00C1349E">
              <w:rPr>
                <w:b/>
                <w:sz w:val="18"/>
                <w:szCs w:val="18"/>
              </w:rPr>
              <w:t xml:space="preserve">diciembre de </w:t>
            </w:r>
            <w:r w:rsidRPr="00C1349E">
              <w:rPr>
                <w:rFonts w:eastAsia="Times New Roman"/>
                <w:b/>
                <w:bCs/>
                <w:sz w:val="18"/>
                <w:szCs w:val="18"/>
              </w:rPr>
              <w:t>2015</w:t>
            </w:r>
          </w:p>
        </w:tc>
      </w:tr>
      <w:tr w:rsidR="00527774" w:rsidRPr="00C1349E" w14:paraId="020A7F20" w14:textId="77777777" w:rsidTr="00527774">
        <w:trPr>
          <w:trHeight w:val="20"/>
          <w:jc w:val="center"/>
        </w:trPr>
        <w:tc>
          <w:tcPr>
            <w:tcW w:w="2770" w:type="dxa"/>
            <w:shd w:val="clear" w:color="auto" w:fill="auto"/>
            <w:vAlign w:val="center"/>
            <w:hideMark/>
          </w:tcPr>
          <w:p w14:paraId="10D4488E" w14:textId="77777777" w:rsidR="00527774" w:rsidRPr="00C1349E" w:rsidRDefault="00527774" w:rsidP="00527774">
            <w:pPr>
              <w:keepNext/>
              <w:spacing w:before="0" w:after="0" w:line="240" w:lineRule="auto"/>
              <w:rPr>
                <w:rFonts w:eastAsia="Times New Roman"/>
                <w:color w:val="000000"/>
                <w:sz w:val="18"/>
                <w:szCs w:val="18"/>
              </w:rPr>
            </w:pPr>
            <w:r w:rsidRPr="00C1349E">
              <w:rPr>
                <w:rFonts w:eastAsia="Times New Roman"/>
                <w:color w:val="000000"/>
                <w:sz w:val="18"/>
                <w:szCs w:val="18"/>
              </w:rPr>
              <w:t>Ingresos</w:t>
            </w:r>
          </w:p>
        </w:tc>
        <w:tc>
          <w:tcPr>
            <w:tcW w:w="3123" w:type="dxa"/>
            <w:shd w:val="clear" w:color="auto" w:fill="auto"/>
          </w:tcPr>
          <w:p w14:paraId="3AF03B44" w14:textId="646DA4EB" w:rsidR="00527774" w:rsidRPr="00B17419" w:rsidRDefault="00AB206D" w:rsidP="00527774">
            <w:pPr>
              <w:keepNext/>
              <w:spacing w:before="0" w:after="0" w:line="240" w:lineRule="auto"/>
              <w:ind w:right="190"/>
              <w:rPr>
                <w:rFonts w:eastAsia="Times New Roman"/>
                <w:color w:val="000000"/>
                <w:sz w:val="18"/>
                <w:szCs w:val="18"/>
                <w:highlight w:val="cyan"/>
              </w:rPr>
            </w:pPr>
            <w:r>
              <w:rPr>
                <w:b/>
                <w:bCs/>
                <w:color w:val="0000CC"/>
                <w:sz w:val="19"/>
                <w:szCs w:val="19"/>
              </w:rPr>
              <w:t>“CONFIDENCIAL POR LEY (77</w:t>
            </w:r>
            <w:r w:rsidR="00527774" w:rsidRPr="005B78F8">
              <w:rPr>
                <w:b/>
                <w:bCs/>
                <w:color w:val="0000CC"/>
                <w:sz w:val="19"/>
                <w:szCs w:val="19"/>
              </w:rPr>
              <w:t>)”</w:t>
            </w:r>
          </w:p>
        </w:tc>
        <w:tc>
          <w:tcPr>
            <w:tcW w:w="3123" w:type="dxa"/>
          </w:tcPr>
          <w:p w14:paraId="2D1E64B7" w14:textId="7AB71F0A" w:rsidR="00527774" w:rsidRPr="00B17419" w:rsidRDefault="00AB206D" w:rsidP="00527774">
            <w:pPr>
              <w:keepNext/>
              <w:spacing w:before="0" w:after="0" w:line="240" w:lineRule="auto"/>
              <w:ind w:right="190"/>
              <w:rPr>
                <w:rFonts w:eastAsia="Times New Roman"/>
                <w:color w:val="000000"/>
                <w:sz w:val="18"/>
                <w:szCs w:val="18"/>
                <w:highlight w:val="cyan"/>
              </w:rPr>
            </w:pPr>
            <w:r>
              <w:rPr>
                <w:b/>
                <w:bCs/>
                <w:color w:val="0000CC"/>
                <w:sz w:val="19"/>
                <w:szCs w:val="19"/>
              </w:rPr>
              <w:t>“CONFIDENCIAL POR LEY (78</w:t>
            </w:r>
            <w:r w:rsidR="00527774" w:rsidRPr="008931E6">
              <w:rPr>
                <w:b/>
                <w:bCs/>
                <w:color w:val="0000CC"/>
                <w:sz w:val="19"/>
                <w:szCs w:val="19"/>
              </w:rPr>
              <w:t>)”</w:t>
            </w:r>
          </w:p>
        </w:tc>
      </w:tr>
      <w:tr w:rsidR="00527774" w:rsidRPr="00C1349E" w14:paraId="4FB45EFE" w14:textId="77777777" w:rsidTr="00527774">
        <w:trPr>
          <w:trHeight w:val="20"/>
          <w:jc w:val="center"/>
        </w:trPr>
        <w:tc>
          <w:tcPr>
            <w:tcW w:w="2770" w:type="dxa"/>
            <w:shd w:val="clear" w:color="auto" w:fill="auto"/>
            <w:vAlign w:val="center"/>
            <w:hideMark/>
          </w:tcPr>
          <w:p w14:paraId="67BB9C67" w14:textId="77777777" w:rsidR="00527774" w:rsidRPr="00C1349E" w:rsidRDefault="00527774" w:rsidP="00527774">
            <w:pPr>
              <w:keepNext/>
              <w:spacing w:before="0" w:after="0" w:line="240" w:lineRule="auto"/>
              <w:rPr>
                <w:rFonts w:eastAsia="Times New Roman"/>
                <w:color w:val="000000"/>
                <w:sz w:val="18"/>
                <w:szCs w:val="18"/>
              </w:rPr>
            </w:pPr>
            <w:r w:rsidRPr="00C1349E">
              <w:rPr>
                <w:rFonts w:eastAsia="Times New Roman"/>
                <w:color w:val="000000"/>
                <w:sz w:val="18"/>
                <w:szCs w:val="18"/>
              </w:rPr>
              <w:t xml:space="preserve">Utilidad (pérdida) neta </w:t>
            </w:r>
          </w:p>
        </w:tc>
        <w:tc>
          <w:tcPr>
            <w:tcW w:w="3123" w:type="dxa"/>
            <w:shd w:val="clear" w:color="auto" w:fill="auto"/>
          </w:tcPr>
          <w:p w14:paraId="236C1AF3" w14:textId="2C2AFF70" w:rsidR="00527774" w:rsidRPr="00B17419" w:rsidRDefault="00527774" w:rsidP="00AB206D">
            <w:pPr>
              <w:keepNext/>
              <w:spacing w:before="0" w:after="0" w:line="240" w:lineRule="auto"/>
              <w:ind w:right="190"/>
              <w:rPr>
                <w:rFonts w:eastAsia="Times New Roman"/>
                <w:color w:val="000000"/>
                <w:sz w:val="18"/>
                <w:szCs w:val="18"/>
                <w:highlight w:val="cyan"/>
              </w:rPr>
            </w:pPr>
            <w:r w:rsidRPr="005B78F8">
              <w:rPr>
                <w:b/>
                <w:bCs/>
                <w:color w:val="0000CC"/>
                <w:sz w:val="19"/>
                <w:szCs w:val="19"/>
              </w:rPr>
              <w:t>“CONFIDENCIAL POR LEY (</w:t>
            </w:r>
            <w:r w:rsidR="00AB206D">
              <w:rPr>
                <w:b/>
                <w:bCs/>
                <w:color w:val="0000CC"/>
                <w:sz w:val="19"/>
                <w:szCs w:val="19"/>
              </w:rPr>
              <w:t>79</w:t>
            </w:r>
            <w:r w:rsidRPr="005B78F8">
              <w:rPr>
                <w:b/>
                <w:bCs/>
                <w:color w:val="0000CC"/>
                <w:sz w:val="19"/>
                <w:szCs w:val="19"/>
              </w:rPr>
              <w:t>)”</w:t>
            </w:r>
          </w:p>
        </w:tc>
        <w:tc>
          <w:tcPr>
            <w:tcW w:w="3123" w:type="dxa"/>
          </w:tcPr>
          <w:p w14:paraId="0552AC9B" w14:textId="2F93DE4A" w:rsidR="00527774" w:rsidRPr="00B17419" w:rsidRDefault="00AB206D" w:rsidP="00527774">
            <w:pPr>
              <w:keepNext/>
              <w:spacing w:before="0" w:after="0" w:line="240" w:lineRule="auto"/>
              <w:ind w:right="190"/>
              <w:rPr>
                <w:rFonts w:eastAsia="Times New Roman"/>
                <w:color w:val="000000"/>
                <w:sz w:val="18"/>
                <w:szCs w:val="18"/>
                <w:highlight w:val="cyan"/>
              </w:rPr>
            </w:pPr>
            <w:r>
              <w:rPr>
                <w:b/>
                <w:bCs/>
                <w:color w:val="0000CC"/>
                <w:sz w:val="19"/>
                <w:szCs w:val="19"/>
              </w:rPr>
              <w:t>“CONFIDENCIAL POR LEY (80</w:t>
            </w:r>
            <w:r w:rsidR="00527774" w:rsidRPr="008931E6">
              <w:rPr>
                <w:b/>
                <w:bCs/>
                <w:color w:val="0000CC"/>
                <w:sz w:val="19"/>
                <w:szCs w:val="19"/>
              </w:rPr>
              <w:t>)”</w:t>
            </w:r>
          </w:p>
        </w:tc>
      </w:tr>
      <w:tr w:rsidR="00527774" w:rsidRPr="00C1349E" w14:paraId="045565AA" w14:textId="77777777" w:rsidTr="00527774">
        <w:trPr>
          <w:trHeight w:val="20"/>
          <w:jc w:val="center"/>
        </w:trPr>
        <w:tc>
          <w:tcPr>
            <w:tcW w:w="2770" w:type="dxa"/>
            <w:shd w:val="clear" w:color="auto" w:fill="auto"/>
            <w:vAlign w:val="center"/>
            <w:hideMark/>
          </w:tcPr>
          <w:p w14:paraId="55AD2850" w14:textId="77777777" w:rsidR="00527774" w:rsidRPr="00C1349E" w:rsidRDefault="00527774" w:rsidP="00527774">
            <w:pPr>
              <w:keepNext/>
              <w:spacing w:before="0" w:after="0" w:line="240" w:lineRule="auto"/>
              <w:rPr>
                <w:rFonts w:eastAsia="Times New Roman"/>
                <w:b/>
                <w:color w:val="000000"/>
                <w:sz w:val="18"/>
                <w:szCs w:val="18"/>
              </w:rPr>
            </w:pPr>
            <w:r w:rsidRPr="00C1349E">
              <w:rPr>
                <w:rFonts w:eastAsia="Times New Roman"/>
                <w:b/>
                <w:color w:val="000000"/>
                <w:sz w:val="18"/>
                <w:szCs w:val="18"/>
              </w:rPr>
              <w:t>Activos</w:t>
            </w:r>
          </w:p>
        </w:tc>
        <w:tc>
          <w:tcPr>
            <w:tcW w:w="3123" w:type="dxa"/>
            <w:shd w:val="clear" w:color="auto" w:fill="auto"/>
          </w:tcPr>
          <w:p w14:paraId="6EF0706F" w14:textId="221D7206" w:rsidR="00527774" w:rsidRPr="00B17419" w:rsidRDefault="00AB206D" w:rsidP="00527774">
            <w:pPr>
              <w:keepNext/>
              <w:spacing w:before="0" w:after="0" w:line="240" w:lineRule="auto"/>
              <w:ind w:right="190"/>
              <w:rPr>
                <w:rFonts w:eastAsia="Times New Roman"/>
                <w:b/>
                <w:color w:val="000000"/>
                <w:sz w:val="18"/>
                <w:szCs w:val="18"/>
                <w:highlight w:val="cyan"/>
              </w:rPr>
            </w:pPr>
            <w:r>
              <w:rPr>
                <w:b/>
                <w:bCs/>
                <w:color w:val="0000CC"/>
                <w:sz w:val="19"/>
                <w:szCs w:val="19"/>
              </w:rPr>
              <w:t>“CONFIDENCIAL POR LEY (81</w:t>
            </w:r>
            <w:r w:rsidR="00527774" w:rsidRPr="005B78F8">
              <w:rPr>
                <w:b/>
                <w:bCs/>
                <w:color w:val="0000CC"/>
                <w:sz w:val="19"/>
                <w:szCs w:val="19"/>
              </w:rPr>
              <w:t>)”</w:t>
            </w:r>
          </w:p>
        </w:tc>
        <w:tc>
          <w:tcPr>
            <w:tcW w:w="3123" w:type="dxa"/>
          </w:tcPr>
          <w:p w14:paraId="19163755" w14:textId="5579A461" w:rsidR="00527774" w:rsidRPr="00B17419" w:rsidRDefault="00527774" w:rsidP="00AB206D">
            <w:pPr>
              <w:keepNext/>
              <w:spacing w:before="0" w:after="0" w:line="240" w:lineRule="auto"/>
              <w:ind w:right="190"/>
              <w:rPr>
                <w:rFonts w:eastAsia="Times New Roman"/>
                <w:b/>
                <w:color w:val="000000"/>
                <w:sz w:val="18"/>
                <w:szCs w:val="18"/>
                <w:highlight w:val="cyan"/>
              </w:rPr>
            </w:pPr>
            <w:r w:rsidRPr="008931E6">
              <w:rPr>
                <w:b/>
                <w:bCs/>
                <w:color w:val="0000CC"/>
                <w:sz w:val="19"/>
                <w:szCs w:val="19"/>
              </w:rPr>
              <w:t>“CONFIDENCIAL POR LEY (</w:t>
            </w:r>
            <w:r w:rsidR="00AB206D">
              <w:rPr>
                <w:b/>
                <w:bCs/>
                <w:color w:val="0000CC"/>
                <w:sz w:val="19"/>
                <w:szCs w:val="19"/>
              </w:rPr>
              <w:t>82</w:t>
            </w:r>
            <w:r w:rsidRPr="008931E6">
              <w:rPr>
                <w:b/>
                <w:bCs/>
                <w:color w:val="0000CC"/>
                <w:sz w:val="19"/>
                <w:szCs w:val="19"/>
              </w:rPr>
              <w:t>)”</w:t>
            </w:r>
          </w:p>
        </w:tc>
      </w:tr>
    </w:tbl>
    <w:p w14:paraId="702596A1" w14:textId="4E8D783C" w:rsidR="00831174" w:rsidRPr="00DA4C4C" w:rsidRDefault="0030526C" w:rsidP="00DA4C4C">
      <w:pPr>
        <w:pStyle w:val="Notaalpie"/>
        <w:ind w:left="1134" w:right="708"/>
        <w:rPr>
          <w:rFonts w:eastAsia="Calibri" w:cs="Times New Roman"/>
          <w:sz w:val="16"/>
        </w:rPr>
      </w:pPr>
      <w:r w:rsidRPr="00C1349E">
        <w:rPr>
          <w:rFonts w:eastAsia="Calibri" w:cs="Times New Roman"/>
          <w:sz w:val="16"/>
        </w:rPr>
        <w:t xml:space="preserve">Fuente: Elaboración propia con información contenida en Fojas </w:t>
      </w:r>
      <w:r w:rsidR="00520CEC">
        <w:rPr>
          <w:rFonts w:eastAsia="Calibri" w:cs="Times New Roman"/>
          <w:sz w:val="16"/>
        </w:rPr>
        <w:t>653-654</w:t>
      </w:r>
      <w:r w:rsidRPr="00C1349E">
        <w:rPr>
          <w:rFonts w:eastAsia="Calibri" w:cs="Times New Roman"/>
          <w:sz w:val="16"/>
        </w:rPr>
        <w:t xml:space="preserve"> del Expediente.</w:t>
      </w:r>
    </w:p>
    <w:p w14:paraId="6D109CF7" w14:textId="7FFC6285" w:rsidR="00125707" w:rsidRPr="004B1E7C" w:rsidRDefault="00FE38DD" w:rsidP="004B1E7C">
      <w:pPr>
        <w:rPr>
          <w:b/>
        </w:rPr>
      </w:pPr>
      <w:bookmarkStart w:id="24" w:name="_Toc511061406"/>
      <w:r w:rsidRPr="004B1E7C">
        <w:rPr>
          <w:b/>
        </w:rPr>
        <w:t xml:space="preserve">4.1.2. </w:t>
      </w:r>
      <w:proofErr w:type="spellStart"/>
      <w:r w:rsidR="00125707" w:rsidRPr="004B1E7C">
        <w:rPr>
          <w:b/>
        </w:rPr>
        <w:t>Wingu</w:t>
      </w:r>
      <w:bookmarkEnd w:id="24"/>
      <w:proofErr w:type="spellEnd"/>
    </w:p>
    <w:p w14:paraId="3162A0F3" w14:textId="4E4E767D" w:rsidR="0030526C" w:rsidRPr="00856CAF" w:rsidRDefault="003403A6" w:rsidP="009D3CF5">
      <w:pPr>
        <w:pStyle w:val="Prrafodelista"/>
        <w:spacing w:after="120" w:line="276" w:lineRule="auto"/>
        <w:ind w:left="0"/>
        <w:contextualSpacing w:val="0"/>
        <w:rPr>
          <w:rFonts w:eastAsia="Times New Roman"/>
          <w:color w:val="000000"/>
          <w:lang w:val="es-MX"/>
        </w:rPr>
      </w:pPr>
      <w:proofErr w:type="spellStart"/>
      <w:r w:rsidRPr="003403A6">
        <w:rPr>
          <w:rFonts w:eastAsia="Times New Roman"/>
          <w:color w:val="000000"/>
          <w:lang w:val="es-MX"/>
        </w:rPr>
        <w:t>Wingu</w:t>
      </w:r>
      <w:proofErr w:type="spellEnd"/>
      <w:r w:rsidR="0030526C" w:rsidRPr="003403A6">
        <w:rPr>
          <w:rFonts w:eastAsia="Times New Roman"/>
          <w:color w:val="000000"/>
          <w:lang w:val="es-MX"/>
        </w:rPr>
        <w:t xml:space="preserve"> es una sociedad tenedora de acciones, constituida conforme a </w:t>
      </w:r>
      <w:r w:rsidR="0030526C" w:rsidRPr="00856CAF">
        <w:rPr>
          <w:rFonts w:eastAsia="Times New Roman"/>
          <w:color w:val="000000"/>
          <w:lang w:val="es-MX"/>
        </w:rPr>
        <w:t xml:space="preserve">las leyes mexicanas, según consta en la escritura pública de fecha </w:t>
      </w:r>
      <w:r w:rsidR="00B648E5">
        <w:rPr>
          <w:rFonts w:eastAsia="Times New Roman"/>
          <w:color w:val="000000"/>
          <w:lang w:val="es-MX"/>
        </w:rPr>
        <w:t>primero</w:t>
      </w:r>
      <w:r w:rsidR="00856CAF" w:rsidRPr="00856CAF">
        <w:rPr>
          <w:rFonts w:eastAsia="Times New Roman"/>
          <w:color w:val="000000"/>
          <w:lang w:val="es-MX"/>
        </w:rPr>
        <w:t xml:space="preserve"> de marzo de </w:t>
      </w:r>
      <w:r w:rsidR="00B648E5">
        <w:rPr>
          <w:rFonts w:eastAsia="Times New Roman"/>
          <w:color w:val="000000"/>
          <w:lang w:val="es-MX"/>
        </w:rPr>
        <w:t>dos mil doce</w:t>
      </w:r>
      <w:r w:rsidR="00831174">
        <w:rPr>
          <w:rFonts w:eastAsia="Times New Roman"/>
          <w:color w:val="000000"/>
          <w:lang w:val="es-MX"/>
        </w:rPr>
        <w:t>;</w:t>
      </w:r>
      <w:r w:rsidR="0030526C" w:rsidRPr="00856CAF">
        <w:rPr>
          <w:rFonts w:eastAsia="Times New Roman"/>
          <w:color w:val="000000"/>
          <w:vertAlign w:val="superscript"/>
          <w:lang w:val="es-MX"/>
        </w:rPr>
        <w:footnoteReference w:id="13"/>
      </w:r>
      <w:r w:rsidR="00B648E5">
        <w:rPr>
          <w:rFonts w:eastAsia="Times New Roman"/>
          <w:color w:val="000000"/>
          <w:lang w:val="es-MX"/>
        </w:rPr>
        <w:t xml:space="preserve"> </w:t>
      </w:r>
      <w:r w:rsidR="00831174">
        <w:rPr>
          <w:rFonts w:eastAsia="Times New Roman"/>
          <w:color w:val="000000"/>
          <w:lang w:val="es-MX"/>
        </w:rPr>
        <w:t>e</w:t>
      </w:r>
      <w:r w:rsidR="00856CAF" w:rsidRPr="00856CAF">
        <w:rPr>
          <w:rFonts w:eastAsia="Times New Roman"/>
          <w:color w:val="000000"/>
          <w:lang w:val="es-MX"/>
        </w:rPr>
        <w:t xml:space="preserve">s una subsidiaria de KIO cuya estructura del capital social se </w:t>
      </w:r>
      <w:r w:rsidR="0030526C" w:rsidRPr="00856CAF">
        <w:rPr>
          <w:rFonts w:eastAsia="Times New Roman"/>
          <w:color w:val="000000"/>
          <w:lang w:val="es-MX"/>
        </w:rPr>
        <w:t>muestra en el siguiente cuadro</w:t>
      </w:r>
      <w:r w:rsidR="00B648E5">
        <w:rPr>
          <w:rFonts w:eastAsia="Times New Roman"/>
          <w:color w:val="000000"/>
          <w:lang w:val="es-MX"/>
        </w:rPr>
        <w:t xml:space="preserve">, la cual </w:t>
      </w:r>
      <w:r w:rsidR="0030526C" w:rsidRPr="00856CAF">
        <w:rPr>
          <w:rFonts w:eastAsia="Times New Roman"/>
          <w:color w:val="000000"/>
          <w:lang w:val="es-MX"/>
        </w:rPr>
        <w:t>no se modific</w:t>
      </w:r>
      <w:r w:rsidR="00856CAF" w:rsidRPr="00856CAF">
        <w:rPr>
          <w:rFonts w:eastAsia="Times New Roman"/>
          <w:color w:val="000000"/>
          <w:lang w:val="es-MX"/>
        </w:rPr>
        <w:t>ó</w:t>
      </w:r>
      <w:r w:rsidR="0030526C" w:rsidRPr="00856CAF">
        <w:rPr>
          <w:rFonts w:eastAsia="Times New Roman"/>
          <w:color w:val="000000"/>
          <w:lang w:val="es-MX"/>
        </w:rPr>
        <w:t xml:space="preserve"> en virtud de la Operación.</w:t>
      </w:r>
    </w:p>
    <w:p w14:paraId="2FC54F70" w14:textId="77777777" w:rsidR="0030526C" w:rsidRPr="00856CAF" w:rsidRDefault="0030526C" w:rsidP="00A010A6">
      <w:pPr>
        <w:pStyle w:val="Sinespaciado"/>
        <w:keepNext/>
        <w:numPr>
          <w:ilvl w:val="0"/>
          <w:numId w:val="24"/>
        </w:numPr>
        <w:spacing w:before="120" w:after="120" w:line="276" w:lineRule="auto"/>
        <w:ind w:left="2552" w:right="332" w:hanging="1275"/>
        <w:jc w:val="both"/>
        <w:rPr>
          <w:rFonts w:ascii="ITC Avant Garde" w:hAnsi="ITC Avant Garde"/>
          <w:b/>
        </w:rPr>
      </w:pPr>
      <w:r w:rsidRPr="00856CAF">
        <w:rPr>
          <w:rFonts w:ascii="ITC Avant Garde" w:hAnsi="ITC Avant Garde"/>
          <w:b/>
        </w:rPr>
        <w:t xml:space="preserve">Accionistas de </w:t>
      </w:r>
      <w:proofErr w:type="spellStart"/>
      <w:r w:rsidR="00856CAF" w:rsidRPr="00856CAF">
        <w:rPr>
          <w:rFonts w:ascii="ITC Avant Garde" w:hAnsi="ITC Avant Garde"/>
          <w:b/>
        </w:rPr>
        <w:t>Wingu</w:t>
      </w:r>
      <w:proofErr w:type="spellEnd"/>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Cuadro 4."/>
        <w:tblDescription w:val="Indícas quienes son los accionistas de Wingu, así como su participación accionaria."/>
      </w:tblPr>
      <w:tblGrid>
        <w:gridCol w:w="3039"/>
        <w:gridCol w:w="3039"/>
        <w:gridCol w:w="3039"/>
      </w:tblGrid>
      <w:tr w:rsidR="00856CAF" w:rsidRPr="00D52D4F" w14:paraId="491AEB59" w14:textId="77777777" w:rsidTr="00AB206D">
        <w:trPr>
          <w:trHeight w:val="20"/>
          <w:tblHeader/>
          <w:jc w:val="center"/>
        </w:trPr>
        <w:tc>
          <w:tcPr>
            <w:tcW w:w="3039" w:type="dxa"/>
            <w:shd w:val="clear" w:color="auto" w:fill="92D050"/>
            <w:noWrap/>
            <w:vAlign w:val="center"/>
          </w:tcPr>
          <w:p w14:paraId="3F854844" w14:textId="2F7040F1" w:rsidR="00856CAF" w:rsidRPr="00D52D4F" w:rsidRDefault="00856CAF" w:rsidP="00856CAF">
            <w:pPr>
              <w:spacing w:before="0" w:after="0"/>
              <w:jc w:val="center"/>
              <w:rPr>
                <w:rFonts w:eastAsia="Times New Roman"/>
                <w:b/>
                <w:color w:val="000000"/>
                <w:sz w:val="18"/>
                <w:szCs w:val="18"/>
              </w:rPr>
            </w:pPr>
            <w:r w:rsidRPr="00D52D4F">
              <w:rPr>
                <w:rFonts w:eastAsia="Times New Roman"/>
                <w:b/>
                <w:color w:val="000000"/>
                <w:sz w:val="18"/>
                <w:szCs w:val="18"/>
              </w:rPr>
              <w:t>Accionista</w:t>
            </w:r>
          </w:p>
        </w:tc>
        <w:tc>
          <w:tcPr>
            <w:tcW w:w="3039" w:type="dxa"/>
            <w:shd w:val="clear" w:color="auto" w:fill="92D050"/>
            <w:noWrap/>
            <w:vAlign w:val="center"/>
          </w:tcPr>
          <w:p w14:paraId="7732249A" w14:textId="77777777" w:rsidR="00856CAF" w:rsidRPr="00D52D4F" w:rsidRDefault="00856CAF" w:rsidP="00856CAF">
            <w:pPr>
              <w:spacing w:before="0" w:after="0"/>
              <w:jc w:val="right"/>
              <w:rPr>
                <w:rFonts w:eastAsia="Times New Roman"/>
                <w:b/>
                <w:color w:val="000000"/>
                <w:sz w:val="18"/>
                <w:szCs w:val="18"/>
              </w:rPr>
            </w:pPr>
            <w:r w:rsidRPr="00D52D4F">
              <w:rPr>
                <w:rFonts w:eastAsia="Times New Roman"/>
                <w:b/>
                <w:color w:val="000000"/>
                <w:sz w:val="18"/>
                <w:szCs w:val="18"/>
              </w:rPr>
              <w:t xml:space="preserve">Acciones </w:t>
            </w:r>
          </w:p>
        </w:tc>
        <w:tc>
          <w:tcPr>
            <w:tcW w:w="3039" w:type="dxa"/>
            <w:shd w:val="clear" w:color="auto" w:fill="92D050"/>
            <w:noWrap/>
            <w:vAlign w:val="center"/>
          </w:tcPr>
          <w:p w14:paraId="59B32839" w14:textId="77777777" w:rsidR="00856CAF" w:rsidRPr="00D52D4F" w:rsidRDefault="00856CAF" w:rsidP="00856CAF">
            <w:pPr>
              <w:spacing w:before="0" w:after="0"/>
              <w:jc w:val="right"/>
              <w:rPr>
                <w:rFonts w:eastAsia="Times New Roman"/>
                <w:b/>
                <w:color w:val="000000"/>
                <w:sz w:val="18"/>
                <w:szCs w:val="18"/>
              </w:rPr>
            </w:pPr>
            <w:r w:rsidRPr="00D52D4F">
              <w:rPr>
                <w:rFonts w:eastAsia="Times New Roman"/>
                <w:b/>
                <w:color w:val="000000"/>
                <w:sz w:val="18"/>
                <w:szCs w:val="18"/>
              </w:rPr>
              <w:t>Participación (%)</w:t>
            </w:r>
          </w:p>
        </w:tc>
      </w:tr>
      <w:tr w:rsidR="00527774" w:rsidRPr="00D52D4F" w14:paraId="31EE4B18" w14:textId="77777777" w:rsidTr="00AB206D">
        <w:trPr>
          <w:trHeight w:val="20"/>
          <w:jc w:val="center"/>
        </w:trPr>
        <w:tc>
          <w:tcPr>
            <w:tcW w:w="3039" w:type="dxa"/>
            <w:shd w:val="clear" w:color="auto" w:fill="auto"/>
            <w:noWrap/>
            <w:vAlign w:val="center"/>
          </w:tcPr>
          <w:p w14:paraId="28C38A9A" w14:textId="77777777" w:rsidR="00527774" w:rsidRPr="00D52D4F" w:rsidRDefault="00527774" w:rsidP="00527774">
            <w:pPr>
              <w:spacing w:before="0" w:after="0"/>
              <w:jc w:val="left"/>
              <w:rPr>
                <w:rFonts w:eastAsia="Times New Roman"/>
                <w:color w:val="000000"/>
                <w:sz w:val="18"/>
                <w:szCs w:val="18"/>
              </w:rPr>
            </w:pPr>
            <w:r w:rsidRPr="00D52D4F">
              <w:rPr>
                <w:rFonts w:eastAsia="Times New Roman"/>
                <w:color w:val="000000"/>
                <w:sz w:val="18"/>
                <w:szCs w:val="18"/>
              </w:rPr>
              <w:t>KIO</w:t>
            </w:r>
          </w:p>
        </w:tc>
        <w:tc>
          <w:tcPr>
            <w:tcW w:w="3039" w:type="dxa"/>
            <w:shd w:val="clear" w:color="auto" w:fill="auto"/>
            <w:noWrap/>
          </w:tcPr>
          <w:p w14:paraId="70A9048B" w14:textId="15E0EDFA" w:rsidR="00527774" w:rsidRPr="00140276" w:rsidRDefault="00527774" w:rsidP="00AB206D">
            <w:pPr>
              <w:spacing w:before="0" w:after="0"/>
              <w:jc w:val="right"/>
              <w:rPr>
                <w:rFonts w:eastAsia="Times New Roman"/>
                <w:color w:val="000000"/>
                <w:sz w:val="18"/>
                <w:szCs w:val="18"/>
                <w:highlight w:val="cyan"/>
              </w:rPr>
            </w:pPr>
            <w:r w:rsidRPr="00DF1B4E">
              <w:rPr>
                <w:b/>
                <w:bCs/>
                <w:color w:val="0000CC"/>
                <w:sz w:val="19"/>
                <w:szCs w:val="19"/>
              </w:rPr>
              <w:t>“CONFIDENCIAL POR LEY (</w:t>
            </w:r>
            <w:r w:rsidR="00AB206D">
              <w:rPr>
                <w:b/>
                <w:bCs/>
                <w:color w:val="0000CC"/>
                <w:sz w:val="19"/>
                <w:szCs w:val="19"/>
              </w:rPr>
              <w:t>83</w:t>
            </w:r>
            <w:r w:rsidRPr="00DF1B4E">
              <w:rPr>
                <w:b/>
                <w:bCs/>
                <w:color w:val="0000CC"/>
                <w:sz w:val="19"/>
                <w:szCs w:val="19"/>
              </w:rPr>
              <w:t>)”</w:t>
            </w:r>
          </w:p>
        </w:tc>
        <w:tc>
          <w:tcPr>
            <w:tcW w:w="3039" w:type="dxa"/>
            <w:shd w:val="clear" w:color="auto" w:fill="auto"/>
            <w:noWrap/>
          </w:tcPr>
          <w:p w14:paraId="1F203718" w14:textId="4B8B3946" w:rsidR="00527774" w:rsidRPr="00140276" w:rsidRDefault="00527774" w:rsidP="00AB206D">
            <w:pPr>
              <w:spacing w:before="0" w:after="0"/>
              <w:jc w:val="right"/>
              <w:rPr>
                <w:rFonts w:eastAsia="Times New Roman"/>
                <w:color w:val="000000"/>
                <w:sz w:val="18"/>
                <w:szCs w:val="18"/>
                <w:highlight w:val="cyan"/>
              </w:rPr>
            </w:pPr>
            <w:r w:rsidRPr="00DA40C6">
              <w:rPr>
                <w:b/>
                <w:bCs/>
                <w:color w:val="0000CC"/>
                <w:sz w:val="19"/>
                <w:szCs w:val="19"/>
              </w:rPr>
              <w:t>“CONFIDENCIAL POR LEY (</w:t>
            </w:r>
            <w:r w:rsidR="00AB206D">
              <w:rPr>
                <w:b/>
                <w:bCs/>
                <w:color w:val="0000CC"/>
                <w:sz w:val="19"/>
                <w:szCs w:val="19"/>
              </w:rPr>
              <w:t>84</w:t>
            </w:r>
            <w:r w:rsidRPr="00DA40C6">
              <w:rPr>
                <w:b/>
                <w:bCs/>
                <w:color w:val="0000CC"/>
                <w:sz w:val="19"/>
                <w:szCs w:val="19"/>
              </w:rPr>
              <w:t>)”</w:t>
            </w:r>
          </w:p>
        </w:tc>
      </w:tr>
      <w:tr w:rsidR="00527774" w:rsidRPr="00D52D4F" w14:paraId="4A6D4BB5" w14:textId="77777777" w:rsidTr="00AB206D">
        <w:trPr>
          <w:trHeight w:val="20"/>
          <w:jc w:val="center"/>
        </w:trPr>
        <w:tc>
          <w:tcPr>
            <w:tcW w:w="3039" w:type="dxa"/>
            <w:shd w:val="clear" w:color="auto" w:fill="auto"/>
            <w:noWrap/>
            <w:vAlign w:val="center"/>
          </w:tcPr>
          <w:p w14:paraId="1DC3941D" w14:textId="2EE5727D" w:rsidR="00527774" w:rsidRPr="00D52D4F" w:rsidRDefault="00527774" w:rsidP="00AB206D">
            <w:pPr>
              <w:spacing w:before="0" w:after="0"/>
              <w:jc w:val="left"/>
              <w:rPr>
                <w:rFonts w:eastAsia="Times New Roman"/>
                <w:color w:val="000000"/>
                <w:sz w:val="18"/>
                <w:szCs w:val="18"/>
              </w:rPr>
            </w:pPr>
            <w:r w:rsidRPr="007D02A7">
              <w:rPr>
                <w:b/>
                <w:bCs/>
                <w:color w:val="0000CC"/>
                <w:sz w:val="19"/>
                <w:szCs w:val="19"/>
              </w:rPr>
              <w:t xml:space="preserve">“CONFIDENCIAL POR LEY </w:t>
            </w:r>
            <w:r>
              <w:rPr>
                <w:b/>
                <w:bCs/>
                <w:color w:val="0000CC"/>
                <w:sz w:val="19"/>
                <w:szCs w:val="19"/>
              </w:rPr>
              <w:t>(</w:t>
            </w:r>
            <w:r w:rsidR="00AB206D">
              <w:rPr>
                <w:b/>
                <w:bCs/>
                <w:color w:val="0000CC"/>
                <w:sz w:val="19"/>
                <w:szCs w:val="19"/>
              </w:rPr>
              <w:t>85</w:t>
            </w:r>
            <w:r>
              <w:rPr>
                <w:b/>
                <w:bCs/>
                <w:color w:val="0000CC"/>
                <w:sz w:val="19"/>
                <w:szCs w:val="19"/>
              </w:rPr>
              <w:t>)</w:t>
            </w:r>
            <w:r w:rsidRPr="007D02A7">
              <w:rPr>
                <w:b/>
                <w:bCs/>
                <w:color w:val="0000CC"/>
                <w:sz w:val="19"/>
                <w:szCs w:val="19"/>
              </w:rPr>
              <w:t>”</w:t>
            </w:r>
          </w:p>
        </w:tc>
        <w:tc>
          <w:tcPr>
            <w:tcW w:w="3039" w:type="dxa"/>
            <w:shd w:val="clear" w:color="auto" w:fill="auto"/>
            <w:noWrap/>
          </w:tcPr>
          <w:p w14:paraId="7315DF71" w14:textId="75368642" w:rsidR="00527774" w:rsidRPr="00140276" w:rsidRDefault="00527774" w:rsidP="00AB206D">
            <w:pPr>
              <w:spacing w:before="0" w:after="0"/>
              <w:jc w:val="right"/>
              <w:rPr>
                <w:rFonts w:eastAsia="Times New Roman"/>
                <w:color w:val="000000"/>
                <w:sz w:val="18"/>
                <w:szCs w:val="18"/>
                <w:highlight w:val="cyan"/>
              </w:rPr>
            </w:pPr>
            <w:r w:rsidRPr="00DF1B4E">
              <w:rPr>
                <w:b/>
                <w:bCs/>
                <w:color w:val="0000CC"/>
                <w:sz w:val="19"/>
                <w:szCs w:val="19"/>
              </w:rPr>
              <w:t>“CONFIDENCIAL POR LEY (</w:t>
            </w:r>
            <w:r w:rsidR="00AB206D">
              <w:rPr>
                <w:b/>
                <w:bCs/>
                <w:color w:val="0000CC"/>
                <w:sz w:val="19"/>
                <w:szCs w:val="19"/>
              </w:rPr>
              <w:t>86</w:t>
            </w:r>
            <w:r w:rsidRPr="00DF1B4E">
              <w:rPr>
                <w:b/>
                <w:bCs/>
                <w:color w:val="0000CC"/>
                <w:sz w:val="19"/>
                <w:szCs w:val="19"/>
              </w:rPr>
              <w:t>)”</w:t>
            </w:r>
          </w:p>
        </w:tc>
        <w:tc>
          <w:tcPr>
            <w:tcW w:w="3039" w:type="dxa"/>
            <w:shd w:val="clear" w:color="auto" w:fill="auto"/>
            <w:noWrap/>
          </w:tcPr>
          <w:p w14:paraId="2929FA1F" w14:textId="3B7590E1" w:rsidR="00527774" w:rsidRPr="00140276" w:rsidRDefault="00AB206D" w:rsidP="00527774">
            <w:pPr>
              <w:spacing w:before="0" w:after="0"/>
              <w:jc w:val="right"/>
              <w:rPr>
                <w:rFonts w:eastAsia="Times New Roman"/>
                <w:color w:val="000000"/>
                <w:sz w:val="18"/>
                <w:szCs w:val="18"/>
                <w:highlight w:val="cyan"/>
              </w:rPr>
            </w:pPr>
            <w:r>
              <w:rPr>
                <w:b/>
                <w:bCs/>
                <w:color w:val="0000CC"/>
                <w:sz w:val="19"/>
                <w:szCs w:val="19"/>
              </w:rPr>
              <w:t>“CONFIDENCIAL POR LEY (87</w:t>
            </w:r>
            <w:r w:rsidR="00527774" w:rsidRPr="00DA40C6">
              <w:rPr>
                <w:b/>
                <w:bCs/>
                <w:color w:val="0000CC"/>
                <w:sz w:val="19"/>
                <w:szCs w:val="19"/>
              </w:rPr>
              <w:t>)”</w:t>
            </w:r>
          </w:p>
        </w:tc>
      </w:tr>
      <w:tr w:rsidR="00527774" w:rsidRPr="00856CAF" w14:paraId="2238685C" w14:textId="77777777" w:rsidTr="00AB206D">
        <w:trPr>
          <w:trHeight w:val="20"/>
          <w:jc w:val="center"/>
        </w:trPr>
        <w:tc>
          <w:tcPr>
            <w:tcW w:w="3039" w:type="dxa"/>
            <w:shd w:val="clear" w:color="auto" w:fill="auto"/>
            <w:noWrap/>
            <w:vAlign w:val="center"/>
            <w:hideMark/>
          </w:tcPr>
          <w:p w14:paraId="5DFE2D6D" w14:textId="77777777" w:rsidR="00527774" w:rsidRPr="00D52D4F" w:rsidRDefault="00527774" w:rsidP="00527774">
            <w:pPr>
              <w:spacing w:before="0" w:after="0"/>
              <w:jc w:val="left"/>
              <w:rPr>
                <w:rFonts w:eastAsia="Times New Roman"/>
                <w:b/>
                <w:color w:val="000000"/>
                <w:sz w:val="18"/>
                <w:szCs w:val="18"/>
              </w:rPr>
            </w:pPr>
            <w:r w:rsidRPr="00D52D4F">
              <w:rPr>
                <w:rFonts w:eastAsia="Times New Roman"/>
                <w:b/>
                <w:color w:val="000000"/>
                <w:sz w:val="18"/>
                <w:szCs w:val="18"/>
              </w:rPr>
              <w:t>TOTAL</w:t>
            </w:r>
          </w:p>
        </w:tc>
        <w:tc>
          <w:tcPr>
            <w:tcW w:w="3039" w:type="dxa"/>
            <w:shd w:val="clear" w:color="auto" w:fill="auto"/>
            <w:noWrap/>
            <w:hideMark/>
          </w:tcPr>
          <w:p w14:paraId="7B21A428" w14:textId="713911BD" w:rsidR="00527774" w:rsidRPr="001B6F22" w:rsidRDefault="00527774" w:rsidP="00AB206D">
            <w:pPr>
              <w:spacing w:before="0" w:after="0"/>
              <w:jc w:val="right"/>
              <w:rPr>
                <w:rFonts w:eastAsia="Times New Roman"/>
                <w:b/>
                <w:color w:val="000000"/>
                <w:sz w:val="18"/>
                <w:szCs w:val="18"/>
                <w:highlight w:val="cyan"/>
              </w:rPr>
            </w:pPr>
            <w:r w:rsidRPr="00DF1B4E">
              <w:rPr>
                <w:b/>
                <w:bCs/>
                <w:color w:val="0000CC"/>
                <w:sz w:val="19"/>
                <w:szCs w:val="19"/>
              </w:rPr>
              <w:t>“CONFIDENCIAL POR LEY (</w:t>
            </w:r>
            <w:r w:rsidR="00AB206D">
              <w:rPr>
                <w:b/>
                <w:bCs/>
                <w:color w:val="0000CC"/>
                <w:sz w:val="19"/>
                <w:szCs w:val="19"/>
              </w:rPr>
              <w:t>88</w:t>
            </w:r>
            <w:r w:rsidRPr="00DF1B4E">
              <w:rPr>
                <w:b/>
                <w:bCs/>
                <w:color w:val="0000CC"/>
                <w:sz w:val="19"/>
                <w:szCs w:val="19"/>
              </w:rPr>
              <w:t>)”</w:t>
            </w:r>
          </w:p>
        </w:tc>
        <w:tc>
          <w:tcPr>
            <w:tcW w:w="3039" w:type="dxa"/>
            <w:shd w:val="clear" w:color="auto" w:fill="auto"/>
            <w:noWrap/>
            <w:hideMark/>
          </w:tcPr>
          <w:p w14:paraId="54A39282" w14:textId="3C9C550C" w:rsidR="00527774" w:rsidRPr="001B6F22" w:rsidRDefault="00527774" w:rsidP="00AB206D">
            <w:pPr>
              <w:spacing w:before="0" w:after="0"/>
              <w:jc w:val="right"/>
              <w:rPr>
                <w:rFonts w:eastAsia="Times New Roman"/>
                <w:b/>
                <w:color w:val="000000"/>
                <w:sz w:val="18"/>
                <w:szCs w:val="18"/>
                <w:highlight w:val="cyan"/>
              </w:rPr>
            </w:pPr>
            <w:r w:rsidRPr="00DA40C6">
              <w:rPr>
                <w:b/>
                <w:bCs/>
                <w:color w:val="0000CC"/>
                <w:sz w:val="19"/>
                <w:szCs w:val="19"/>
              </w:rPr>
              <w:t xml:space="preserve">“CONFIDENCIAL POR LEY </w:t>
            </w:r>
            <w:r w:rsidR="00AB206D">
              <w:rPr>
                <w:b/>
                <w:bCs/>
                <w:color w:val="0000CC"/>
                <w:sz w:val="19"/>
                <w:szCs w:val="19"/>
              </w:rPr>
              <w:t>(89</w:t>
            </w:r>
            <w:r w:rsidRPr="00DA40C6">
              <w:rPr>
                <w:b/>
                <w:bCs/>
                <w:color w:val="0000CC"/>
                <w:sz w:val="19"/>
                <w:szCs w:val="19"/>
              </w:rPr>
              <w:t>)”</w:t>
            </w:r>
          </w:p>
        </w:tc>
      </w:tr>
    </w:tbl>
    <w:p w14:paraId="7F1108A9" w14:textId="35A0FA26" w:rsidR="00831174" w:rsidRPr="00DA4C4C" w:rsidRDefault="0030526C" w:rsidP="00DA4C4C">
      <w:pPr>
        <w:pStyle w:val="Notaalpie"/>
        <w:ind w:left="1276" w:right="708"/>
        <w:rPr>
          <w:rFonts w:eastAsia="Calibri" w:cs="Times New Roman"/>
          <w:sz w:val="16"/>
        </w:rPr>
      </w:pPr>
      <w:r w:rsidRPr="007E0F8D">
        <w:rPr>
          <w:rFonts w:eastAsia="Calibri" w:cs="Times New Roman"/>
          <w:sz w:val="16"/>
        </w:rPr>
        <w:t>Fuente: Elaboración propia con información contenida en Foja</w:t>
      </w:r>
      <w:r w:rsidR="007E0F8D" w:rsidRPr="007E0F8D">
        <w:rPr>
          <w:rFonts w:eastAsia="Calibri" w:cs="Times New Roman"/>
          <w:sz w:val="16"/>
        </w:rPr>
        <w:t>s 21 y</w:t>
      </w:r>
      <w:r w:rsidRPr="007E0F8D">
        <w:rPr>
          <w:rFonts w:eastAsia="Calibri" w:cs="Times New Roman"/>
          <w:sz w:val="16"/>
        </w:rPr>
        <w:t xml:space="preserve"> </w:t>
      </w:r>
      <w:r w:rsidR="007E0F8D" w:rsidRPr="007E0F8D">
        <w:rPr>
          <w:rFonts w:eastAsia="Calibri" w:cs="Times New Roman"/>
          <w:sz w:val="16"/>
        </w:rPr>
        <w:t>397</w:t>
      </w:r>
      <w:r w:rsidRPr="007E0F8D">
        <w:rPr>
          <w:rFonts w:eastAsia="Calibri" w:cs="Times New Roman"/>
          <w:sz w:val="16"/>
        </w:rPr>
        <w:t xml:space="preserve"> del Expediente.</w:t>
      </w:r>
    </w:p>
    <w:p w14:paraId="4B863813" w14:textId="77777777" w:rsidR="00A010A6" w:rsidRPr="00E859A7" w:rsidRDefault="00A010A6" w:rsidP="00A010A6">
      <w:pPr>
        <w:pStyle w:val="Prrafodelista"/>
        <w:spacing w:after="120" w:line="276" w:lineRule="auto"/>
        <w:ind w:left="0"/>
        <w:contextualSpacing w:val="0"/>
        <w:rPr>
          <w:rFonts w:eastAsia="Times New Roman"/>
          <w:color w:val="000000"/>
          <w:lang w:val="es-MX"/>
        </w:rPr>
      </w:pPr>
      <w:r w:rsidRPr="00E859A7">
        <w:t xml:space="preserve">Con base en la información proporcionada por las Partes, en el siguiente cuadro se presenta la información financiera de </w:t>
      </w:r>
      <w:proofErr w:type="spellStart"/>
      <w:r>
        <w:t>Wingu</w:t>
      </w:r>
      <w:proofErr w:type="spellEnd"/>
      <w:r w:rsidR="00B648E5">
        <w:t xml:space="preserve"> para los años dos mil quince y dos mil dieciséis.</w:t>
      </w:r>
    </w:p>
    <w:p w14:paraId="77221454" w14:textId="77777777" w:rsidR="00A010A6" w:rsidRPr="00E859A7" w:rsidRDefault="00A010A6" w:rsidP="00A010A6">
      <w:pPr>
        <w:pStyle w:val="Sinespaciado"/>
        <w:keepNext/>
        <w:numPr>
          <w:ilvl w:val="0"/>
          <w:numId w:val="24"/>
        </w:numPr>
        <w:spacing w:before="120" w:after="120" w:line="276" w:lineRule="auto"/>
        <w:ind w:left="2268" w:right="332" w:hanging="1275"/>
        <w:jc w:val="both"/>
        <w:rPr>
          <w:rFonts w:ascii="ITC Avant Garde" w:hAnsi="ITC Avant Garde"/>
          <w:b/>
        </w:rPr>
      </w:pPr>
      <w:r w:rsidRPr="00E859A7">
        <w:rPr>
          <w:rFonts w:ascii="ITC Avant Garde" w:hAnsi="ITC Avant Garde"/>
          <w:b/>
        </w:rPr>
        <w:t xml:space="preserve">Cifras financieras de </w:t>
      </w:r>
      <w:proofErr w:type="spellStart"/>
      <w:r>
        <w:rPr>
          <w:rFonts w:ascii="ITC Avant Garde" w:hAnsi="ITC Avant Garde"/>
          <w:b/>
        </w:rPr>
        <w:t>Wingu</w:t>
      </w:r>
      <w:proofErr w:type="spellEnd"/>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Cuadro 5."/>
        <w:tblDescription w:val="Cifras financieras de Wingu"/>
      </w:tblPr>
      <w:tblGrid>
        <w:gridCol w:w="2830"/>
        <w:gridCol w:w="3119"/>
        <w:gridCol w:w="3118"/>
      </w:tblGrid>
      <w:tr w:rsidR="000C35B2" w:rsidRPr="00C1349E" w14:paraId="3E947F41" w14:textId="77777777" w:rsidTr="00660523">
        <w:trPr>
          <w:trHeight w:val="20"/>
          <w:tblHeader/>
          <w:jc w:val="center"/>
        </w:trPr>
        <w:tc>
          <w:tcPr>
            <w:tcW w:w="2830" w:type="dxa"/>
            <w:shd w:val="clear" w:color="auto" w:fill="92D050"/>
            <w:vAlign w:val="center"/>
          </w:tcPr>
          <w:p w14:paraId="5AE7ED39" w14:textId="07C30D21" w:rsidR="000C35B2" w:rsidRPr="00C1349E" w:rsidRDefault="000C35B2" w:rsidP="000C35B2">
            <w:pPr>
              <w:keepNext/>
              <w:spacing w:before="0" w:after="0" w:line="240" w:lineRule="auto"/>
              <w:jc w:val="center"/>
              <w:rPr>
                <w:rFonts w:eastAsia="Times New Roman"/>
                <w:color w:val="000000"/>
                <w:sz w:val="18"/>
                <w:szCs w:val="18"/>
              </w:rPr>
            </w:pPr>
            <w:r w:rsidRPr="00C1349E">
              <w:rPr>
                <w:rFonts w:eastAsia="Times New Roman"/>
                <w:b/>
                <w:bCs/>
                <w:sz w:val="18"/>
                <w:szCs w:val="18"/>
              </w:rPr>
              <w:t>Concepto (pesos nominales)</w:t>
            </w:r>
          </w:p>
        </w:tc>
        <w:tc>
          <w:tcPr>
            <w:tcW w:w="3119" w:type="dxa"/>
            <w:shd w:val="clear" w:color="auto" w:fill="92D050"/>
            <w:vAlign w:val="center"/>
          </w:tcPr>
          <w:p w14:paraId="0E848784" w14:textId="60DB5AB7" w:rsidR="000C35B2" w:rsidRPr="008523DB" w:rsidRDefault="000C35B2" w:rsidP="000C35B2">
            <w:pPr>
              <w:keepNext/>
              <w:spacing w:before="0" w:after="0" w:line="240" w:lineRule="auto"/>
              <w:ind w:right="190"/>
              <w:jc w:val="center"/>
              <w:rPr>
                <w:rFonts w:eastAsia="Times New Roman"/>
                <w:color w:val="000000"/>
                <w:sz w:val="18"/>
                <w:szCs w:val="18"/>
                <w:highlight w:val="cyan"/>
              </w:rPr>
            </w:pPr>
            <w:r w:rsidRPr="00C1349E">
              <w:rPr>
                <w:b/>
                <w:sz w:val="18"/>
                <w:szCs w:val="18"/>
              </w:rPr>
              <w:t xml:space="preserve">diciembre de </w:t>
            </w:r>
            <w:r w:rsidRPr="00C1349E">
              <w:rPr>
                <w:rFonts w:eastAsia="Times New Roman"/>
                <w:b/>
                <w:bCs/>
                <w:sz w:val="18"/>
                <w:szCs w:val="18"/>
              </w:rPr>
              <w:t>2016</w:t>
            </w:r>
          </w:p>
        </w:tc>
        <w:tc>
          <w:tcPr>
            <w:tcW w:w="3118" w:type="dxa"/>
            <w:shd w:val="clear" w:color="auto" w:fill="92D050"/>
            <w:vAlign w:val="center"/>
          </w:tcPr>
          <w:p w14:paraId="0D4F8456" w14:textId="5A34135E" w:rsidR="000C35B2" w:rsidRPr="008523DB" w:rsidRDefault="000C35B2" w:rsidP="000C35B2">
            <w:pPr>
              <w:keepNext/>
              <w:spacing w:before="0" w:after="0" w:line="240" w:lineRule="auto"/>
              <w:ind w:right="190"/>
              <w:jc w:val="center"/>
              <w:rPr>
                <w:rFonts w:eastAsia="Times New Roman"/>
                <w:color w:val="000000"/>
                <w:sz w:val="18"/>
                <w:szCs w:val="18"/>
                <w:highlight w:val="cyan"/>
              </w:rPr>
            </w:pPr>
            <w:r w:rsidRPr="00C1349E">
              <w:rPr>
                <w:b/>
                <w:sz w:val="18"/>
                <w:szCs w:val="18"/>
              </w:rPr>
              <w:t xml:space="preserve">diciembre de </w:t>
            </w:r>
            <w:r w:rsidRPr="00C1349E">
              <w:rPr>
                <w:rFonts w:eastAsia="Times New Roman"/>
                <w:b/>
                <w:bCs/>
                <w:sz w:val="18"/>
                <w:szCs w:val="18"/>
              </w:rPr>
              <w:t>2015</w:t>
            </w:r>
          </w:p>
        </w:tc>
      </w:tr>
      <w:tr w:rsidR="000C35B2" w:rsidRPr="00C1349E" w14:paraId="4F374CB1" w14:textId="77777777" w:rsidTr="0064641A">
        <w:trPr>
          <w:trHeight w:val="20"/>
          <w:jc w:val="center"/>
        </w:trPr>
        <w:tc>
          <w:tcPr>
            <w:tcW w:w="2830" w:type="dxa"/>
            <w:shd w:val="clear" w:color="auto" w:fill="auto"/>
            <w:vAlign w:val="center"/>
          </w:tcPr>
          <w:p w14:paraId="53327774" w14:textId="1EC48936" w:rsidR="000C35B2" w:rsidRPr="00C1349E" w:rsidRDefault="000C35B2" w:rsidP="000C35B2">
            <w:pPr>
              <w:keepNext/>
              <w:spacing w:before="0" w:after="0" w:line="240" w:lineRule="auto"/>
              <w:rPr>
                <w:rFonts w:eastAsia="Times New Roman"/>
                <w:color w:val="000000"/>
                <w:sz w:val="18"/>
                <w:szCs w:val="18"/>
              </w:rPr>
            </w:pPr>
            <w:r w:rsidRPr="00C1349E">
              <w:rPr>
                <w:rFonts w:eastAsia="Times New Roman"/>
                <w:color w:val="000000"/>
                <w:sz w:val="18"/>
                <w:szCs w:val="18"/>
              </w:rPr>
              <w:t>Ingresos</w:t>
            </w:r>
          </w:p>
        </w:tc>
        <w:tc>
          <w:tcPr>
            <w:tcW w:w="3119" w:type="dxa"/>
            <w:shd w:val="clear" w:color="auto" w:fill="auto"/>
          </w:tcPr>
          <w:p w14:paraId="521D8D15" w14:textId="0899D9FC" w:rsidR="000C35B2" w:rsidRPr="00404F29" w:rsidRDefault="0064641A" w:rsidP="000C35B2">
            <w:pPr>
              <w:keepNext/>
              <w:spacing w:before="0" w:after="0" w:line="240" w:lineRule="auto"/>
              <w:ind w:right="190"/>
              <w:rPr>
                <w:b/>
                <w:bCs/>
                <w:color w:val="0000CC"/>
                <w:sz w:val="19"/>
                <w:szCs w:val="19"/>
              </w:rPr>
            </w:pPr>
            <w:r>
              <w:rPr>
                <w:b/>
                <w:bCs/>
                <w:color w:val="0000CC"/>
                <w:sz w:val="19"/>
                <w:szCs w:val="19"/>
              </w:rPr>
              <w:t>“CONFIDENCIAL POR LEY (90</w:t>
            </w:r>
            <w:r w:rsidR="000C35B2" w:rsidRPr="00404F29">
              <w:rPr>
                <w:b/>
                <w:bCs/>
                <w:color w:val="0000CC"/>
                <w:sz w:val="19"/>
                <w:szCs w:val="19"/>
              </w:rPr>
              <w:t>)”</w:t>
            </w:r>
          </w:p>
        </w:tc>
        <w:tc>
          <w:tcPr>
            <w:tcW w:w="3118" w:type="dxa"/>
          </w:tcPr>
          <w:p w14:paraId="52BA46B4" w14:textId="0C95523A" w:rsidR="000C35B2" w:rsidRPr="0006705B" w:rsidRDefault="000C35B2" w:rsidP="000C35B2">
            <w:pPr>
              <w:keepNext/>
              <w:spacing w:before="0" w:after="0" w:line="240" w:lineRule="auto"/>
              <w:ind w:right="190"/>
              <w:rPr>
                <w:b/>
                <w:bCs/>
                <w:color w:val="0000CC"/>
                <w:sz w:val="19"/>
                <w:szCs w:val="19"/>
              </w:rPr>
            </w:pPr>
            <w:r w:rsidRPr="0006705B">
              <w:rPr>
                <w:b/>
                <w:bCs/>
                <w:color w:val="0000CC"/>
                <w:sz w:val="19"/>
                <w:szCs w:val="19"/>
              </w:rPr>
              <w:t>“CONFIDENCIAL POR LEY (</w:t>
            </w:r>
            <w:r w:rsidR="0064641A">
              <w:rPr>
                <w:b/>
                <w:bCs/>
                <w:color w:val="0000CC"/>
                <w:sz w:val="19"/>
                <w:szCs w:val="19"/>
              </w:rPr>
              <w:t>9</w:t>
            </w:r>
            <w:r w:rsidRPr="0006705B">
              <w:rPr>
                <w:b/>
                <w:bCs/>
                <w:color w:val="0000CC"/>
                <w:sz w:val="19"/>
                <w:szCs w:val="19"/>
              </w:rPr>
              <w:t>1)”</w:t>
            </w:r>
          </w:p>
        </w:tc>
      </w:tr>
      <w:tr w:rsidR="000C35B2" w:rsidRPr="00C1349E" w14:paraId="7848DF75" w14:textId="77777777" w:rsidTr="0064641A">
        <w:trPr>
          <w:trHeight w:val="20"/>
          <w:jc w:val="center"/>
        </w:trPr>
        <w:tc>
          <w:tcPr>
            <w:tcW w:w="2830" w:type="dxa"/>
            <w:shd w:val="clear" w:color="auto" w:fill="auto"/>
            <w:vAlign w:val="center"/>
            <w:hideMark/>
          </w:tcPr>
          <w:p w14:paraId="61E2BA4D" w14:textId="77777777" w:rsidR="000C35B2" w:rsidRPr="00C1349E" w:rsidRDefault="000C35B2" w:rsidP="000C35B2">
            <w:pPr>
              <w:keepNext/>
              <w:spacing w:before="0" w:after="0" w:line="240" w:lineRule="auto"/>
              <w:rPr>
                <w:rFonts w:eastAsia="Times New Roman"/>
                <w:color w:val="000000"/>
                <w:sz w:val="18"/>
                <w:szCs w:val="18"/>
              </w:rPr>
            </w:pPr>
            <w:r w:rsidRPr="00C1349E">
              <w:rPr>
                <w:rFonts w:eastAsia="Times New Roman"/>
                <w:color w:val="000000"/>
                <w:sz w:val="18"/>
                <w:szCs w:val="18"/>
              </w:rPr>
              <w:t xml:space="preserve">Utilidad (pérdida) neta </w:t>
            </w:r>
          </w:p>
        </w:tc>
        <w:tc>
          <w:tcPr>
            <w:tcW w:w="3119" w:type="dxa"/>
            <w:shd w:val="clear" w:color="auto" w:fill="auto"/>
          </w:tcPr>
          <w:p w14:paraId="52120612" w14:textId="0CBE8B70" w:rsidR="000C35B2" w:rsidRPr="008523DB" w:rsidRDefault="0064641A" w:rsidP="000C35B2">
            <w:pPr>
              <w:keepNext/>
              <w:spacing w:before="0" w:after="0" w:line="240" w:lineRule="auto"/>
              <w:ind w:right="190"/>
              <w:rPr>
                <w:rFonts w:eastAsia="Times New Roman"/>
                <w:color w:val="000000"/>
                <w:sz w:val="18"/>
                <w:szCs w:val="18"/>
                <w:highlight w:val="cyan"/>
              </w:rPr>
            </w:pPr>
            <w:r>
              <w:rPr>
                <w:b/>
                <w:bCs/>
                <w:color w:val="0000CC"/>
                <w:sz w:val="19"/>
                <w:szCs w:val="19"/>
              </w:rPr>
              <w:t>“CONFIDENCIAL POR LEY (92</w:t>
            </w:r>
            <w:r w:rsidR="000C35B2" w:rsidRPr="00404F29">
              <w:rPr>
                <w:b/>
                <w:bCs/>
                <w:color w:val="0000CC"/>
                <w:sz w:val="19"/>
                <w:szCs w:val="19"/>
              </w:rPr>
              <w:t>)”</w:t>
            </w:r>
          </w:p>
        </w:tc>
        <w:tc>
          <w:tcPr>
            <w:tcW w:w="3118" w:type="dxa"/>
          </w:tcPr>
          <w:p w14:paraId="187FC22C" w14:textId="1C325F40" w:rsidR="000C35B2" w:rsidRPr="008523DB" w:rsidRDefault="000C35B2" w:rsidP="0064641A">
            <w:pPr>
              <w:keepNext/>
              <w:spacing w:before="0" w:after="0" w:line="240" w:lineRule="auto"/>
              <w:ind w:right="190"/>
              <w:rPr>
                <w:rFonts w:eastAsia="Times New Roman"/>
                <w:color w:val="000000"/>
                <w:sz w:val="18"/>
                <w:szCs w:val="18"/>
                <w:highlight w:val="cyan"/>
              </w:rPr>
            </w:pPr>
            <w:r w:rsidRPr="0006705B">
              <w:rPr>
                <w:b/>
                <w:bCs/>
                <w:color w:val="0000CC"/>
                <w:sz w:val="19"/>
                <w:szCs w:val="19"/>
              </w:rPr>
              <w:t>“CONFIDENCIAL POR LEY (</w:t>
            </w:r>
            <w:r w:rsidR="0064641A">
              <w:rPr>
                <w:b/>
                <w:bCs/>
                <w:color w:val="0000CC"/>
                <w:sz w:val="19"/>
                <w:szCs w:val="19"/>
              </w:rPr>
              <w:t>93</w:t>
            </w:r>
            <w:r w:rsidRPr="0006705B">
              <w:rPr>
                <w:b/>
                <w:bCs/>
                <w:color w:val="0000CC"/>
                <w:sz w:val="19"/>
                <w:szCs w:val="19"/>
              </w:rPr>
              <w:t>)”</w:t>
            </w:r>
          </w:p>
        </w:tc>
      </w:tr>
      <w:tr w:rsidR="000C35B2" w:rsidRPr="00C1349E" w14:paraId="7F3A54F6" w14:textId="77777777" w:rsidTr="0064641A">
        <w:trPr>
          <w:trHeight w:val="20"/>
          <w:jc w:val="center"/>
        </w:trPr>
        <w:tc>
          <w:tcPr>
            <w:tcW w:w="2830" w:type="dxa"/>
            <w:shd w:val="clear" w:color="auto" w:fill="auto"/>
            <w:vAlign w:val="center"/>
            <w:hideMark/>
          </w:tcPr>
          <w:p w14:paraId="1EB184AA" w14:textId="77777777" w:rsidR="000C35B2" w:rsidRPr="00C1349E" w:rsidRDefault="000C35B2" w:rsidP="000C35B2">
            <w:pPr>
              <w:keepNext/>
              <w:spacing w:before="0" w:after="0" w:line="240" w:lineRule="auto"/>
              <w:rPr>
                <w:rFonts w:eastAsia="Times New Roman"/>
                <w:b/>
                <w:color w:val="000000"/>
                <w:sz w:val="18"/>
                <w:szCs w:val="18"/>
              </w:rPr>
            </w:pPr>
            <w:r w:rsidRPr="00C1349E">
              <w:rPr>
                <w:rFonts w:eastAsia="Times New Roman"/>
                <w:b/>
                <w:color w:val="000000"/>
                <w:sz w:val="18"/>
                <w:szCs w:val="18"/>
              </w:rPr>
              <w:t>Activos</w:t>
            </w:r>
          </w:p>
        </w:tc>
        <w:tc>
          <w:tcPr>
            <w:tcW w:w="3119" w:type="dxa"/>
            <w:shd w:val="clear" w:color="auto" w:fill="auto"/>
          </w:tcPr>
          <w:p w14:paraId="1B3B3CA9" w14:textId="0393CC85" w:rsidR="000C35B2" w:rsidRPr="008523DB" w:rsidRDefault="0064641A" w:rsidP="000C35B2">
            <w:pPr>
              <w:keepNext/>
              <w:spacing w:before="0" w:after="0" w:line="240" w:lineRule="auto"/>
              <w:ind w:right="190"/>
              <w:rPr>
                <w:rFonts w:eastAsia="Times New Roman"/>
                <w:b/>
                <w:color w:val="000000"/>
                <w:sz w:val="18"/>
                <w:szCs w:val="18"/>
                <w:highlight w:val="cyan"/>
              </w:rPr>
            </w:pPr>
            <w:r>
              <w:rPr>
                <w:b/>
                <w:bCs/>
                <w:color w:val="0000CC"/>
                <w:sz w:val="19"/>
                <w:szCs w:val="19"/>
              </w:rPr>
              <w:t>“CONFIDENCIAL POR LEY (94</w:t>
            </w:r>
            <w:r w:rsidR="000C35B2" w:rsidRPr="00404F29">
              <w:rPr>
                <w:b/>
                <w:bCs/>
                <w:color w:val="0000CC"/>
                <w:sz w:val="19"/>
                <w:szCs w:val="19"/>
              </w:rPr>
              <w:t>)”</w:t>
            </w:r>
          </w:p>
        </w:tc>
        <w:tc>
          <w:tcPr>
            <w:tcW w:w="3118" w:type="dxa"/>
          </w:tcPr>
          <w:p w14:paraId="4A92DD23" w14:textId="503D1E6B" w:rsidR="000C35B2" w:rsidRPr="008523DB" w:rsidRDefault="000C35B2" w:rsidP="0064641A">
            <w:pPr>
              <w:keepNext/>
              <w:spacing w:before="0" w:after="0" w:line="240" w:lineRule="auto"/>
              <w:ind w:right="190"/>
              <w:rPr>
                <w:rFonts w:eastAsia="Times New Roman"/>
                <w:b/>
                <w:color w:val="000000"/>
                <w:sz w:val="18"/>
                <w:szCs w:val="18"/>
                <w:highlight w:val="cyan"/>
              </w:rPr>
            </w:pPr>
            <w:r w:rsidRPr="0006705B">
              <w:rPr>
                <w:b/>
                <w:bCs/>
                <w:color w:val="0000CC"/>
                <w:sz w:val="19"/>
                <w:szCs w:val="19"/>
              </w:rPr>
              <w:t>“CONFIDENCIAL POR LEY (</w:t>
            </w:r>
            <w:r w:rsidR="0064641A">
              <w:rPr>
                <w:b/>
                <w:bCs/>
                <w:color w:val="0000CC"/>
                <w:sz w:val="19"/>
                <w:szCs w:val="19"/>
              </w:rPr>
              <w:t>95</w:t>
            </w:r>
            <w:r w:rsidRPr="0006705B">
              <w:rPr>
                <w:b/>
                <w:bCs/>
                <w:color w:val="0000CC"/>
                <w:sz w:val="19"/>
                <w:szCs w:val="19"/>
              </w:rPr>
              <w:t>)”</w:t>
            </w:r>
          </w:p>
        </w:tc>
      </w:tr>
    </w:tbl>
    <w:p w14:paraId="7BDA6BFB" w14:textId="0C04DE67" w:rsidR="00A010A6" w:rsidRDefault="00A010A6" w:rsidP="00A010A6">
      <w:pPr>
        <w:pStyle w:val="Notaalpie"/>
        <w:ind w:left="1134" w:right="708"/>
        <w:rPr>
          <w:rFonts w:eastAsia="Calibri" w:cs="Times New Roman"/>
          <w:sz w:val="16"/>
        </w:rPr>
      </w:pPr>
      <w:r w:rsidRPr="00C1349E">
        <w:rPr>
          <w:rFonts w:eastAsia="Calibri" w:cs="Times New Roman"/>
          <w:sz w:val="16"/>
        </w:rPr>
        <w:t xml:space="preserve">Fuente: Elaboración propia con información contenida en Fojas </w:t>
      </w:r>
      <w:r>
        <w:rPr>
          <w:rFonts w:eastAsia="Calibri" w:cs="Times New Roman"/>
          <w:sz w:val="16"/>
        </w:rPr>
        <w:t>684-685 del Expediente.</w:t>
      </w:r>
    </w:p>
    <w:p w14:paraId="31D4D40F" w14:textId="77777777" w:rsidR="0077366E" w:rsidRPr="007E0F8D" w:rsidRDefault="0077366E" w:rsidP="00A010A6">
      <w:pPr>
        <w:pStyle w:val="Notaalpie"/>
        <w:ind w:left="1134" w:right="708"/>
        <w:rPr>
          <w:rFonts w:eastAsia="Calibri" w:cs="Times New Roman"/>
          <w:sz w:val="16"/>
        </w:rPr>
      </w:pPr>
    </w:p>
    <w:p w14:paraId="056D7DE3" w14:textId="4344976E" w:rsidR="00125707" w:rsidRPr="004B1E7C" w:rsidRDefault="00B648E5" w:rsidP="004B1E7C">
      <w:pPr>
        <w:rPr>
          <w:b/>
        </w:rPr>
      </w:pPr>
      <w:bookmarkStart w:id="25" w:name="_Toc511061407"/>
      <w:r w:rsidRPr="004B1E7C">
        <w:rPr>
          <w:b/>
        </w:rPr>
        <w:t xml:space="preserve">4.1.3. </w:t>
      </w:r>
      <w:r w:rsidR="00125707" w:rsidRPr="004B1E7C">
        <w:rPr>
          <w:b/>
        </w:rPr>
        <w:t>Metro</w:t>
      </w:r>
      <w:r w:rsidR="00D42735" w:rsidRPr="004B1E7C">
        <w:rPr>
          <w:b/>
        </w:rPr>
        <w:t xml:space="preserve"> </w:t>
      </w:r>
      <w:r w:rsidR="00125707" w:rsidRPr="004B1E7C">
        <w:rPr>
          <w:b/>
        </w:rPr>
        <w:t>Net</w:t>
      </w:r>
      <w:bookmarkEnd w:id="25"/>
    </w:p>
    <w:p w14:paraId="54833120" w14:textId="080EA1A8" w:rsidR="00031C62" w:rsidRDefault="00031C62" w:rsidP="001C6B1E">
      <w:pPr>
        <w:pStyle w:val="Prrafodelista"/>
        <w:spacing w:after="120" w:line="276" w:lineRule="auto"/>
        <w:ind w:left="0"/>
        <w:contextualSpacing w:val="0"/>
        <w:rPr>
          <w:rFonts w:eastAsia="Times New Roman"/>
          <w:color w:val="000000"/>
          <w:lang w:val="es-MX"/>
        </w:rPr>
      </w:pPr>
      <w:r>
        <w:rPr>
          <w:rFonts w:eastAsia="Times New Roman"/>
          <w:color w:val="000000"/>
          <w:lang w:val="es-MX"/>
        </w:rPr>
        <w:t>Metro Net</w:t>
      </w:r>
      <w:r w:rsidRPr="005862AB">
        <w:rPr>
          <w:rFonts w:eastAsia="Times New Roman"/>
          <w:color w:val="000000"/>
          <w:lang w:val="es-MX"/>
        </w:rPr>
        <w:t xml:space="preserve"> es una sociedad constituida conforme a las leyes mexicanas, según consta en la escritura pública de fecha </w:t>
      </w:r>
      <w:r w:rsidR="00B648E5">
        <w:rPr>
          <w:rFonts w:eastAsia="Times New Roman"/>
          <w:color w:val="000000"/>
          <w:lang w:val="es-MX"/>
        </w:rPr>
        <w:t>tres</w:t>
      </w:r>
      <w:r w:rsidR="00EB4B7C">
        <w:rPr>
          <w:rFonts w:eastAsia="Times New Roman"/>
          <w:color w:val="000000"/>
          <w:lang w:val="es-MX"/>
        </w:rPr>
        <w:t xml:space="preserve"> </w:t>
      </w:r>
      <w:r>
        <w:rPr>
          <w:rFonts w:eastAsia="Times New Roman"/>
          <w:color w:val="000000"/>
          <w:lang w:val="es-MX"/>
        </w:rPr>
        <w:t xml:space="preserve">de mayo de </w:t>
      </w:r>
      <w:r w:rsidR="00B648E5">
        <w:rPr>
          <w:rFonts w:eastAsia="Times New Roman"/>
          <w:color w:val="000000"/>
          <w:lang w:val="es-MX"/>
        </w:rPr>
        <w:t>mil novecientos noventa y seis</w:t>
      </w:r>
      <w:r w:rsidRPr="005862AB">
        <w:rPr>
          <w:rFonts w:eastAsia="Times New Roman"/>
          <w:color w:val="000000"/>
          <w:lang w:val="es-MX"/>
        </w:rPr>
        <w:t>.</w:t>
      </w:r>
      <w:r w:rsidRPr="005862AB">
        <w:rPr>
          <w:rFonts w:eastAsia="Times New Roman"/>
          <w:color w:val="000000"/>
          <w:vertAlign w:val="superscript"/>
          <w:lang w:val="es-MX"/>
        </w:rPr>
        <w:footnoteReference w:id="14"/>
      </w:r>
    </w:p>
    <w:p w14:paraId="4800734A" w14:textId="77777777" w:rsidR="00327869" w:rsidRPr="00031C62" w:rsidRDefault="00327869" w:rsidP="00250A4E">
      <w:pPr>
        <w:pStyle w:val="Prrafodelista"/>
        <w:spacing w:after="120" w:line="276" w:lineRule="auto"/>
        <w:ind w:left="0"/>
        <w:contextualSpacing w:val="0"/>
        <w:rPr>
          <w:rFonts w:eastAsia="Times New Roman"/>
          <w:color w:val="000000"/>
          <w:lang w:val="es-MX"/>
        </w:rPr>
      </w:pPr>
      <w:r w:rsidRPr="00031C62">
        <w:rPr>
          <w:rFonts w:eastAsia="Times New Roman"/>
          <w:color w:val="000000"/>
          <w:lang w:val="es-MX"/>
        </w:rPr>
        <w:t>A continuación</w:t>
      </w:r>
      <w:r w:rsidR="00A010A6">
        <w:rPr>
          <w:rFonts w:eastAsia="Times New Roman"/>
          <w:color w:val="000000"/>
          <w:lang w:val="es-MX"/>
        </w:rPr>
        <w:t>,</w:t>
      </w:r>
      <w:r w:rsidRPr="00031C62">
        <w:rPr>
          <w:rFonts w:eastAsia="Times New Roman"/>
          <w:color w:val="000000"/>
          <w:lang w:val="es-MX"/>
        </w:rPr>
        <w:t xml:space="preserve"> se listan los eventos más relevantes en torno a los cambios que ha tenido la estructura accionaria de </w:t>
      </w:r>
      <w:r w:rsidR="00C46BD4" w:rsidRPr="00031C62">
        <w:rPr>
          <w:rFonts w:eastAsia="Times New Roman"/>
          <w:color w:val="000000"/>
          <w:lang w:val="es-MX"/>
        </w:rPr>
        <w:t>Metro Net</w:t>
      </w:r>
      <w:r w:rsidR="00B648E5">
        <w:rPr>
          <w:rFonts w:eastAsia="Times New Roman"/>
          <w:color w:val="000000"/>
          <w:lang w:val="es-MX"/>
        </w:rPr>
        <w:t>, desde su constitución.</w:t>
      </w:r>
    </w:p>
    <w:p w14:paraId="5453AF7B" w14:textId="0560E57D" w:rsidR="006D2CA7" w:rsidRPr="00A8162F" w:rsidRDefault="00B648E5" w:rsidP="000763D4">
      <w:pPr>
        <w:pStyle w:val="Prrafodelista"/>
        <w:numPr>
          <w:ilvl w:val="0"/>
          <w:numId w:val="30"/>
        </w:numPr>
        <w:spacing w:after="120" w:line="276" w:lineRule="auto"/>
        <w:ind w:left="567"/>
        <w:contextualSpacing w:val="0"/>
        <w:rPr>
          <w:rFonts w:eastAsia="Times New Roman"/>
          <w:color w:val="000000"/>
          <w:lang w:val="es-MX"/>
        </w:rPr>
      </w:pPr>
      <w:r>
        <w:rPr>
          <w:rFonts w:eastAsia="Times New Roman"/>
          <w:color w:val="000000"/>
          <w:lang w:val="es-MX"/>
        </w:rPr>
        <w:lastRenderedPageBreak/>
        <w:t xml:space="preserve">Al momento de su </w:t>
      </w:r>
      <w:r w:rsidR="00C46BD4" w:rsidRPr="00A8162F">
        <w:rPr>
          <w:rFonts w:eastAsia="Times New Roman"/>
          <w:color w:val="000000"/>
          <w:lang w:val="es-MX"/>
        </w:rPr>
        <w:t>constitu</w:t>
      </w:r>
      <w:r>
        <w:rPr>
          <w:rFonts w:eastAsia="Times New Roman"/>
          <w:color w:val="000000"/>
          <w:lang w:val="es-MX"/>
        </w:rPr>
        <w:t xml:space="preserve">ción, </w:t>
      </w:r>
      <w:r w:rsidR="00C46BD4" w:rsidRPr="00A8162F">
        <w:rPr>
          <w:rFonts w:eastAsia="Times New Roman"/>
          <w:color w:val="000000"/>
          <w:lang w:val="es-MX"/>
        </w:rPr>
        <w:t xml:space="preserve">en </w:t>
      </w:r>
      <w:r>
        <w:rPr>
          <w:rFonts w:eastAsia="Times New Roman"/>
          <w:color w:val="000000"/>
          <w:lang w:val="es-MX"/>
        </w:rPr>
        <w:t xml:space="preserve">mil novecientos noventa y seis, </w:t>
      </w:r>
      <w:r w:rsidR="00C46BD4" w:rsidRPr="00A8162F">
        <w:rPr>
          <w:rFonts w:eastAsia="Times New Roman"/>
          <w:color w:val="000000"/>
          <w:lang w:val="es-MX"/>
        </w:rPr>
        <w:t xml:space="preserve">tenía </w:t>
      </w:r>
      <w:r w:rsidR="006D2CA7" w:rsidRPr="00A8162F">
        <w:rPr>
          <w:rFonts w:eastAsia="Times New Roman"/>
          <w:color w:val="000000"/>
          <w:lang w:val="es-MX"/>
        </w:rPr>
        <w:t>2</w:t>
      </w:r>
      <w:r w:rsidR="00C566B7">
        <w:rPr>
          <w:rFonts w:eastAsia="Times New Roman"/>
          <w:color w:val="000000"/>
          <w:lang w:val="es-MX"/>
        </w:rPr>
        <w:t xml:space="preserve"> (dos)</w:t>
      </w:r>
      <w:r w:rsidR="006D2CA7" w:rsidRPr="00A8162F">
        <w:rPr>
          <w:rFonts w:eastAsia="Times New Roman"/>
          <w:color w:val="000000"/>
          <w:lang w:val="es-MX"/>
        </w:rPr>
        <w:t xml:space="preserve"> accionistas: Siempre Adelante en Telecomunicaciones, S.A. de C.V. y el C. </w:t>
      </w:r>
      <w:r w:rsidR="000C35B2" w:rsidRPr="005B78F8">
        <w:rPr>
          <w:b/>
          <w:bCs/>
          <w:color w:val="0000CC"/>
          <w:sz w:val="19"/>
          <w:szCs w:val="19"/>
        </w:rPr>
        <w:t>“CONFIDENCIAL POR LEY (</w:t>
      </w:r>
      <w:r w:rsidR="0064641A">
        <w:rPr>
          <w:b/>
          <w:bCs/>
          <w:color w:val="0000CC"/>
          <w:sz w:val="19"/>
          <w:szCs w:val="19"/>
        </w:rPr>
        <w:t>96</w:t>
      </w:r>
      <w:r w:rsidR="000C35B2" w:rsidRPr="005B78F8">
        <w:rPr>
          <w:b/>
          <w:bCs/>
          <w:color w:val="0000CC"/>
          <w:sz w:val="19"/>
          <w:szCs w:val="19"/>
        </w:rPr>
        <w:t>)”</w:t>
      </w:r>
      <w:r w:rsidR="006D2CA7" w:rsidRPr="00A8162F">
        <w:rPr>
          <w:rFonts w:eastAsia="Times New Roman"/>
          <w:color w:val="000000"/>
          <w:lang w:val="es-MX"/>
        </w:rPr>
        <w:t>;</w:t>
      </w:r>
    </w:p>
    <w:p w14:paraId="297FD41B" w14:textId="07333B4B" w:rsidR="00C46BD4" w:rsidRPr="00A8162F" w:rsidRDefault="00C46BD4" w:rsidP="000763D4">
      <w:pPr>
        <w:pStyle w:val="Prrafodelista"/>
        <w:numPr>
          <w:ilvl w:val="0"/>
          <w:numId w:val="30"/>
        </w:numPr>
        <w:spacing w:after="120" w:line="276" w:lineRule="auto"/>
        <w:ind w:left="567"/>
        <w:contextualSpacing w:val="0"/>
        <w:rPr>
          <w:rFonts w:eastAsia="Times New Roman"/>
          <w:color w:val="000000"/>
          <w:lang w:val="es-MX"/>
        </w:rPr>
      </w:pPr>
      <w:r w:rsidRPr="00A8162F">
        <w:rPr>
          <w:rFonts w:eastAsia="Times New Roman"/>
          <w:color w:val="000000"/>
          <w:lang w:val="es-MX"/>
        </w:rPr>
        <w:t xml:space="preserve">El </w:t>
      </w:r>
      <w:r w:rsidR="00B648E5">
        <w:rPr>
          <w:rFonts w:eastAsia="Times New Roman"/>
          <w:color w:val="000000"/>
          <w:lang w:val="es-MX"/>
        </w:rPr>
        <w:t>cinco</w:t>
      </w:r>
      <w:r w:rsidRPr="00A8162F">
        <w:rPr>
          <w:rFonts w:eastAsia="Times New Roman"/>
          <w:color w:val="000000"/>
          <w:lang w:val="es-MX"/>
        </w:rPr>
        <w:t xml:space="preserve"> de julio de </w:t>
      </w:r>
      <w:r w:rsidR="00B648E5">
        <w:rPr>
          <w:rFonts w:eastAsia="Times New Roman"/>
          <w:color w:val="000000"/>
          <w:lang w:val="es-MX"/>
        </w:rPr>
        <w:t>mil novecientos noventa y siete</w:t>
      </w:r>
      <w:r w:rsidRPr="00A8162F">
        <w:rPr>
          <w:rFonts w:eastAsia="Times New Roman"/>
          <w:color w:val="000000"/>
          <w:lang w:val="es-MX"/>
        </w:rPr>
        <w:t xml:space="preserve"> obtuvo una concesión de red pública de telecomunicaciones (Concesión Metro Net);</w:t>
      </w:r>
    </w:p>
    <w:p w14:paraId="27F8E228" w14:textId="6DC416B9" w:rsidR="006D2CA7" w:rsidRPr="00A8162F" w:rsidRDefault="006D2CA7" w:rsidP="000763D4">
      <w:pPr>
        <w:pStyle w:val="Prrafodelista"/>
        <w:numPr>
          <w:ilvl w:val="0"/>
          <w:numId w:val="30"/>
        </w:numPr>
        <w:spacing w:after="120" w:line="276" w:lineRule="auto"/>
        <w:ind w:left="567"/>
        <w:contextualSpacing w:val="0"/>
        <w:rPr>
          <w:rFonts w:eastAsia="Times New Roman"/>
          <w:color w:val="000000"/>
          <w:lang w:val="es-MX"/>
        </w:rPr>
      </w:pPr>
      <w:r w:rsidRPr="00A8162F">
        <w:rPr>
          <w:rFonts w:eastAsia="Times New Roman"/>
          <w:color w:val="000000"/>
          <w:lang w:val="es-MX"/>
        </w:rPr>
        <w:t xml:space="preserve">En abril de </w:t>
      </w:r>
      <w:r w:rsidR="00B648E5">
        <w:rPr>
          <w:rFonts w:eastAsia="Times New Roman"/>
          <w:color w:val="000000"/>
          <w:lang w:val="es-MX"/>
        </w:rPr>
        <w:t>dos mil trece</w:t>
      </w:r>
      <w:r w:rsidRPr="00A8162F">
        <w:rPr>
          <w:rFonts w:eastAsia="Times New Roman"/>
          <w:color w:val="000000"/>
          <w:lang w:val="es-MX"/>
        </w:rPr>
        <w:t>, se realizó un aumento de capital que dio lugar a 36 (treinta y seis) accionistas personas físicas y morales, mexicanas y extranjeras;</w:t>
      </w:r>
    </w:p>
    <w:p w14:paraId="1208E3EA" w14:textId="3A288360" w:rsidR="001C6B1E" w:rsidRPr="00A8162F" w:rsidRDefault="00C46BD4" w:rsidP="000763D4">
      <w:pPr>
        <w:pStyle w:val="Prrafodelista"/>
        <w:numPr>
          <w:ilvl w:val="0"/>
          <w:numId w:val="30"/>
        </w:numPr>
        <w:spacing w:after="120" w:line="276" w:lineRule="auto"/>
        <w:ind w:left="567"/>
        <w:contextualSpacing w:val="0"/>
        <w:rPr>
          <w:rFonts w:eastAsia="Times New Roman"/>
          <w:color w:val="000000"/>
          <w:lang w:val="es-MX"/>
        </w:rPr>
      </w:pPr>
      <w:r w:rsidRPr="00A8162F">
        <w:rPr>
          <w:rFonts w:eastAsia="Times New Roman"/>
          <w:color w:val="000000"/>
          <w:lang w:val="es-MX"/>
        </w:rPr>
        <w:t xml:space="preserve">En </w:t>
      </w:r>
      <w:r w:rsidR="00B648E5">
        <w:rPr>
          <w:rFonts w:eastAsia="Times New Roman"/>
          <w:color w:val="000000"/>
          <w:lang w:val="es-MX"/>
        </w:rPr>
        <w:t>agosto de dos mil catorce</w:t>
      </w:r>
      <w:r w:rsidRPr="00A8162F">
        <w:rPr>
          <w:rFonts w:eastAsia="Times New Roman"/>
          <w:color w:val="000000"/>
          <w:lang w:val="es-MX"/>
        </w:rPr>
        <w:t xml:space="preserve"> fue </w:t>
      </w:r>
      <w:r w:rsidR="001C6B1E" w:rsidRPr="00A8162F">
        <w:rPr>
          <w:rFonts w:eastAsia="Times New Roman"/>
          <w:color w:val="000000"/>
          <w:lang w:val="es-MX"/>
        </w:rPr>
        <w:t xml:space="preserve">adquirida por KIO y </w:t>
      </w:r>
      <w:proofErr w:type="spellStart"/>
      <w:r w:rsidR="001C6B1E" w:rsidRPr="00A8162F">
        <w:rPr>
          <w:rFonts w:eastAsia="Times New Roman"/>
          <w:color w:val="000000"/>
          <w:lang w:val="es-MX"/>
        </w:rPr>
        <w:t>Wingu</w:t>
      </w:r>
      <w:proofErr w:type="spellEnd"/>
      <w:r w:rsidR="00B648E5">
        <w:rPr>
          <w:rFonts w:eastAsia="Times New Roman"/>
          <w:color w:val="000000"/>
          <w:lang w:val="es-MX"/>
        </w:rPr>
        <w:t>;</w:t>
      </w:r>
      <w:r w:rsidRPr="00A8162F">
        <w:rPr>
          <w:rFonts w:eastAsia="Times New Roman"/>
          <w:color w:val="000000"/>
          <w:vertAlign w:val="superscript"/>
          <w:lang w:val="es-MX"/>
        </w:rPr>
        <w:footnoteReference w:id="15"/>
      </w:r>
    </w:p>
    <w:p w14:paraId="7A1C3124" w14:textId="5CD5CA32" w:rsidR="006123DE" w:rsidRPr="00A8162F" w:rsidRDefault="00680369" w:rsidP="00831174">
      <w:pPr>
        <w:pStyle w:val="Prrafodelista"/>
        <w:numPr>
          <w:ilvl w:val="0"/>
          <w:numId w:val="30"/>
        </w:numPr>
        <w:spacing w:after="120" w:line="276" w:lineRule="auto"/>
        <w:ind w:left="567"/>
        <w:contextualSpacing w:val="0"/>
        <w:rPr>
          <w:rFonts w:eastAsia="Times New Roman"/>
          <w:color w:val="000000"/>
          <w:lang w:val="es-MX"/>
        </w:rPr>
      </w:pPr>
      <w:r w:rsidRPr="00A8162F">
        <w:rPr>
          <w:rFonts w:eastAsia="Times New Roman"/>
          <w:color w:val="000000"/>
          <w:lang w:val="es-MX"/>
        </w:rPr>
        <w:t xml:space="preserve">El </w:t>
      </w:r>
      <w:r w:rsidR="00B648E5">
        <w:rPr>
          <w:rFonts w:eastAsia="Times New Roman"/>
          <w:color w:val="000000"/>
          <w:lang w:val="es-MX"/>
        </w:rPr>
        <w:t>primero</w:t>
      </w:r>
      <w:r w:rsidRPr="00A8162F">
        <w:rPr>
          <w:rFonts w:eastAsia="Times New Roman"/>
          <w:color w:val="000000"/>
          <w:lang w:val="es-MX"/>
        </w:rPr>
        <w:t xml:space="preserve"> de agosto de </w:t>
      </w:r>
      <w:r w:rsidR="00B648E5">
        <w:rPr>
          <w:rFonts w:eastAsia="Times New Roman"/>
          <w:color w:val="000000"/>
          <w:lang w:val="es-MX"/>
        </w:rPr>
        <w:t>dos mil diecisiete</w:t>
      </w:r>
      <w:r w:rsidRPr="00A8162F">
        <w:rPr>
          <w:rFonts w:eastAsia="Times New Roman"/>
          <w:color w:val="000000"/>
          <w:lang w:val="es-MX"/>
        </w:rPr>
        <w:t>, los accionistas de Metro Net escindi</w:t>
      </w:r>
      <w:r w:rsidR="00EE1CBA">
        <w:rPr>
          <w:rFonts w:eastAsia="Times New Roman"/>
          <w:color w:val="000000"/>
          <w:lang w:val="es-MX"/>
        </w:rPr>
        <w:t>eron</w:t>
      </w:r>
      <w:r w:rsidRPr="00A8162F">
        <w:rPr>
          <w:rFonts w:eastAsia="Times New Roman"/>
          <w:color w:val="000000"/>
          <w:lang w:val="es-MX"/>
        </w:rPr>
        <w:t xml:space="preserve"> parcialmente a la sociedad </w:t>
      </w:r>
      <w:r w:rsidR="00AE39DE" w:rsidRPr="00A8162F">
        <w:rPr>
          <w:rFonts w:eastAsia="Times New Roman"/>
          <w:color w:val="000000"/>
          <w:lang w:val="es-MX"/>
        </w:rPr>
        <w:t xml:space="preserve">(Escisión Metro Net) </w:t>
      </w:r>
      <w:r w:rsidRPr="00A8162F">
        <w:rPr>
          <w:rFonts w:eastAsia="Times New Roman"/>
          <w:color w:val="000000"/>
          <w:lang w:val="es-MX"/>
        </w:rPr>
        <w:t>y constitu</w:t>
      </w:r>
      <w:r w:rsidR="00EE1CBA">
        <w:rPr>
          <w:rFonts w:eastAsia="Times New Roman"/>
          <w:color w:val="000000"/>
          <w:lang w:val="es-MX"/>
        </w:rPr>
        <w:t>yeron a</w:t>
      </w:r>
      <w:r w:rsidRPr="00A8162F">
        <w:rPr>
          <w:rFonts w:eastAsia="Times New Roman"/>
          <w:color w:val="000000"/>
          <w:lang w:val="es-MX"/>
        </w:rPr>
        <w:t xml:space="preserve"> </w:t>
      </w:r>
      <w:r w:rsidRPr="00EF3C6C">
        <w:rPr>
          <w:rFonts w:eastAsia="Times New Roman"/>
          <w:b/>
          <w:color w:val="000000"/>
          <w:lang w:val="es-MX"/>
        </w:rPr>
        <w:t>CFCA</w:t>
      </w:r>
      <w:r w:rsidR="00EE1CBA">
        <w:rPr>
          <w:rFonts w:eastAsia="Times New Roman"/>
          <w:color w:val="000000"/>
          <w:lang w:val="es-MX"/>
        </w:rPr>
        <w:t>, a la que transfirieron</w:t>
      </w:r>
      <w:r w:rsidR="00250A4E" w:rsidRPr="00A8162F">
        <w:rPr>
          <w:rFonts w:eastAsia="Times New Roman"/>
          <w:color w:val="000000"/>
          <w:lang w:val="es-MX"/>
        </w:rPr>
        <w:t xml:space="preserve"> </w:t>
      </w:r>
      <w:r w:rsidRPr="00A8162F">
        <w:rPr>
          <w:rFonts w:eastAsia="Times New Roman"/>
          <w:color w:val="000000"/>
          <w:lang w:val="es-MX"/>
        </w:rPr>
        <w:t>los activos y la parte operativa del negocio de conectividad que tenía Metro Net,</w:t>
      </w:r>
      <w:r w:rsidR="00EE1CBA">
        <w:rPr>
          <w:rFonts w:eastAsia="Times New Roman"/>
          <w:color w:val="000000"/>
          <w:lang w:val="es-MX"/>
        </w:rPr>
        <w:t xml:space="preserve"> la cual </w:t>
      </w:r>
      <w:r w:rsidRPr="00A8162F">
        <w:rPr>
          <w:rFonts w:eastAsia="Times New Roman"/>
          <w:color w:val="000000"/>
          <w:lang w:val="es-MX"/>
        </w:rPr>
        <w:t>mant</w:t>
      </w:r>
      <w:r w:rsidR="00EE1CBA">
        <w:rPr>
          <w:rFonts w:eastAsia="Times New Roman"/>
          <w:color w:val="000000"/>
          <w:lang w:val="es-MX"/>
        </w:rPr>
        <w:t>uvo</w:t>
      </w:r>
      <w:r w:rsidRPr="00A8162F">
        <w:rPr>
          <w:rFonts w:eastAsia="Times New Roman"/>
          <w:color w:val="000000"/>
          <w:lang w:val="es-MX"/>
        </w:rPr>
        <w:t xml:space="preserve"> el resto de los servicios de tecnología de la información (TI).</w:t>
      </w:r>
      <w:r w:rsidRPr="00A8162F">
        <w:rPr>
          <w:rFonts w:eastAsia="Times New Roman"/>
          <w:color w:val="000000"/>
          <w:vertAlign w:val="superscript"/>
          <w:lang w:val="es-MX"/>
        </w:rPr>
        <w:footnoteReference w:id="16"/>
      </w:r>
      <w:r w:rsidR="00B648E5">
        <w:rPr>
          <w:rFonts w:eastAsia="Times New Roman"/>
          <w:color w:val="000000"/>
          <w:lang w:val="es-MX"/>
        </w:rPr>
        <w:t xml:space="preserve"> </w:t>
      </w:r>
      <w:r w:rsidR="00A8162F" w:rsidRPr="00A8162F">
        <w:rPr>
          <w:rFonts w:eastAsia="Times New Roman"/>
          <w:color w:val="000000"/>
          <w:lang w:val="es-MX"/>
        </w:rPr>
        <w:t xml:space="preserve">En Particular, las Partes señalaron que Metro Net </w:t>
      </w:r>
      <w:r w:rsidR="00A8162F" w:rsidRPr="00CB087C">
        <w:rPr>
          <w:rFonts w:eastAsia="Times New Roman"/>
          <w:b/>
          <w:color w:val="000000"/>
          <w:lang w:val="es-MX"/>
        </w:rPr>
        <w:t>transfirió</w:t>
      </w:r>
      <w:r w:rsidR="00A8162F" w:rsidRPr="00A8162F">
        <w:rPr>
          <w:rFonts w:eastAsia="Times New Roman"/>
          <w:color w:val="000000"/>
          <w:lang w:val="es-MX"/>
        </w:rPr>
        <w:t xml:space="preserve"> a CFCA:</w:t>
      </w:r>
    </w:p>
    <w:p w14:paraId="26962791" w14:textId="77777777" w:rsidR="00A8162F" w:rsidRPr="00A8162F" w:rsidRDefault="00A8162F" w:rsidP="000818B2">
      <w:pPr>
        <w:pStyle w:val="Prrafodelista"/>
        <w:numPr>
          <w:ilvl w:val="1"/>
          <w:numId w:val="30"/>
        </w:numPr>
        <w:spacing w:after="120" w:line="276" w:lineRule="auto"/>
        <w:ind w:left="1134"/>
        <w:contextualSpacing w:val="0"/>
        <w:rPr>
          <w:rFonts w:eastAsia="Times New Roman"/>
          <w:color w:val="000000"/>
          <w:lang w:val="es-MX"/>
        </w:rPr>
      </w:pPr>
      <w:r>
        <w:rPr>
          <w:lang w:val="es-MX"/>
        </w:rPr>
        <w:t>U</w:t>
      </w:r>
      <w:r w:rsidRPr="001C6B1E">
        <w:rPr>
          <w:lang w:val="es-MX"/>
        </w:rPr>
        <w:t xml:space="preserve">na red de fibra óptica de </w:t>
      </w:r>
      <w:r>
        <w:rPr>
          <w:lang w:val="es-MX"/>
        </w:rPr>
        <w:t xml:space="preserve">aproximadamente </w:t>
      </w:r>
      <w:r w:rsidRPr="001C6B1E">
        <w:rPr>
          <w:lang w:val="es-MX"/>
        </w:rPr>
        <w:t xml:space="preserve">4,400 (cuatro mil cuatrocientos) km </w:t>
      </w:r>
      <w:r>
        <w:rPr>
          <w:lang w:val="es-MX"/>
        </w:rPr>
        <w:t xml:space="preserve">con cobertura </w:t>
      </w:r>
      <w:r w:rsidRPr="001C6B1E">
        <w:rPr>
          <w:lang w:val="es-MX"/>
        </w:rPr>
        <w:t>en 20 (veinte) ciudades del país</w:t>
      </w:r>
      <w:r w:rsidR="00556E40">
        <w:rPr>
          <w:lang w:val="es-MX"/>
        </w:rPr>
        <w:t>,</w:t>
      </w:r>
      <w:r w:rsidR="00556E40" w:rsidRPr="005862AB">
        <w:rPr>
          <w:rFonts w:eastAsia="Times New Roman"/>
          <w:color w:val="000000"/>
          <w:vertAlign w:val="superscript"/>
          <w:lang w:val="es-MX"/>
        </w:rPr>
        <w:footnoteReference w:id="17"/>
      </w:r>
      <w:r w:rsidR="00556E40">
        <w:rPr>
          <w:lang w:val="es-MX"/>
        </w:rPr>
        <w:t xml:space="preserve"> y</w:t>
      </w:r>
    </w:p>
    <w:p w14:paraId="6978B852" w14:textId="61090ADC" w:rsidR="00A8162F" w:rsidRPr="00A8162F" w:rsidRDefault="00DD187D" w:rsidP="000818B2">
      <w:pPr>
        <w:pStyle w:val="Prrafodelista"/>
        <w:numPr>
          <w:ilvl w:val="1"/>
          <w:numId w:val="30"/>
        </w:numPr>
        <w:spacing w:after="120" w:line="276" w:lineRule="auto"/>
        <w:ind w:left="1134"/>
        <w:contextualSpacing w:val="0"/>
        <w:rPr>
          <w:rFonts w:eastAsia="Times New Roman"/>
          <w:color w:val="000000"/>
          <w:lang w:val="es-MX"/>
        </w:rPr>
      </w:pPr>
      <w:r w:rsidRPr="005B78F8">
        <w:rPr>
          <w:b/>
          <w:bCs/>
          <w:color w:val="0000CC"/>
          <w:sz w:val="19"/>
          <w:szCs w:val="19"/>
        </w:rPr>
        <w:t>“CONFIDENCIAL POR LEY (</w:t>
      </w:r>
      <w:r w:rsidR="0064641A">
        <w:rPr>
          <w:b/>
          <w:bCs/>
          <w:color w:val="0000CC"/>
          <w:sz w:val="19"/>
          <w:szCs w:val="19"/>
        </w:rPr>
        <w:t>97</w:t>
      </w:r>
      <w:r w:rsidRPr="005B78F8">
        <w:rPr>
          <w:b/>
          <w:bCs/>
          <w:color w:val="0000CC"/>
          <w:sz w:val="19"/>
          <w:szCs w:val="19"/>
        </w:rPr>
        <w:t>)”</w:t>
      </w:r>
      <w:r w:rsidR="00CB087C">
        <w:rPr>
          <w:lang w:val="es-MX"/>
        </w:rPr>
        <w:t xml:space="preserve"> usuarios finales de conectividad que tenía Metro Net, salvo por lo que hace a los contratos celebrados con </w:t>
      </w:r>
      <w:r w:rsidRPr="005B78F8">
        <w:rPr>
          <w:b/>
          <w:bCs/>
          <w:color w:val="0000CC"/>
          <w:sz w:val="19"/>
          <w:szCs w:val="19"/>
        </w:rPr>
        <w:t>“CONFIDENCIAL POR LEY (</w:t>
      </w:r>
      <w:r w:rsidR="0064641A">
        <w:rPr>
          <w:b/>
          <w:bCs/>
          <w:color w:val="0000CC"/>
          <w:sz w:val="19"/>
          <w:szCs w:val="19"/>
        </w:rPr>
        <w:t>98</w:t>
      </w:r>
      <w:r w:rsidRPr="005B78F8">
        <w:rPr>
          <w:b/>
          <w:bCs/>
          <w:color w:val="0000CC"/>
          <w:sz w:val="19"/>
          <w:szCs w:val="19"/>
        </w:rPr>
        <w:t>)”</w:t>
      </w:r>
      <w:r w:rsidR="00CB087C">
        <w:rPr>
          <w:lang w:val="es-MX"/>
        </w:rPr>
        <w:t>.</w:t>
      </w:r>
      <w:r w:rsidR="00CB087C" w:rsidRPr="005862AB">
        <w:rPr>
          <w:rFonts w:eastAsia="Times New Roman"/>
          <w:color w:val="000000"/>
          <w:vertAlign w:val="superscript"/>
          <w:lang w:val="es-MX"/>
        </w:rPr>
        <w:footnoteReference w:id="18"/>
      </w:r>
    </w:p>
    <w:p w14:paraId="5744090A" w14:textId="413CE2CB" w:rsidR="00CB087C" w:rsidRDefault="00CB087C" w:rsidP="00CB087C">
      <w:pPr>
        <w:pStyle w:val="Prrafodelista"/>
        <w:spacing w:after="120" w:line="276" w:lineRule="auto"/>
        <w:ind w:left="567"/>
        <w:contextualSpacing w:val="0"/>
        <w:rPr>
          <w:rFonts w:eastAsia="Times New Roman"/>
          <w:color w:val="000000"/>
          <w:lang w:val="es-MX"/>
        </w:rPr>
      </w:pPr>
      <w:r>
        <w:rPr>
          <w:rFonts w:eastAsia="Times New Roman"/>
          <w:color w:val="000000"/>
          <w:lang w:val="es-MX"/>
        </w:rPr>
        <w:t xml:space="preserve">Asimismo, las Partes señalaron que Metro Net </w:t>
      </w:r>
      <w:r w:rsidRPr="00CB087C">
        <w:rPr>
          <w:rFonts w:eastAsia="Times New Roman"/>
          <w:b/>
          <w:color w:val="000000"/>
          <w:lang w:val="es-MX"/>
        </w:rPr>
        <w:t>no transfirió</w:t>
      </w:r>
      <w:r>
        <w:rPr>
          <w:rFonts w:eastAsia="Times New Roman"/>
          <w:color w:val="000000"/>
          <w:lang w:val="es-MX"/>
        </w:rPr>
        <w:t xml:space="preserve"> a CFCA:</w:t>
      </w:r>
    </w:p>
    <w:p w14:paraId="681BAA02" w14:textId="77777777" w:rsidR="00CB087C" w:rsidRPr="00CB087C" w:rsidRDefault="00CB087C" w:rsidP="000818B2">
      <w:pPr>
        <w:pStyle w:val="Prrafodelista"/>
        <w:numPr>
          <w:ilvl w:val="1"/>
          <w:numId w:val="30"/>
        </w:numPr>
        <w:spacing w:after="120" w:line="276" w:lineRule="auto"/>
        <w:ind w:left="1134"/>
        <w:contextualSpacing w:val="0"/>
        <w:rPr>
          <w:lang w:val="es-MX"/>
        </w:rPr>
      </w:pPr>
      <w:r w:rsidRPr="00CB087C">
        <w:rPr>
          <w:lang w:val="es-MX"/>
        </w:rPr>
        <w:t xml:space="preserve">La </w:t>
      </w:r>
      <w:r w:rsidRPr="00A8162F">
        <w:rPr>
          <w:rFonts w:eastAsia="Times New Roman"/>
          <w:color w:val="000000"/>
          <w:lang w:val="es-MX"/>
        </w:rPr>
        <w:t>Concesión Metro Net</w:t>
      </w:r>
      <w:r w:rsidR="006462D1">
        <w:rPr>
          <w:rFonts w:eastAsia="Times New Roman"/>
          <w:color w:val="000000"/>
          <w:lang w:val="es-MX"/>
        </w:rPr>
        <w:t>,</w:t>
      </w:r>
      <w:r w:rsidR="00556E40" w:rsidRPr="005862AB">
        <w:rPr>
          <w:rFonts w:eastAsia="Times New Roman"/>
          <w:color w:val="000000"/>
          <w:vertAlign w:val="superscript"/>
          <w:lang w:val="es-MX"/>
        </w:rPr>
        <w:footnoteReference w:id="19"/>
      </w:r>
      <w:r>
        <w:rPr>
          <w:rFonts w:eastAsia="Times New Roman"/>
          <w:color w:val="000000"/>
          <w:lang w:val="es-MX"/>
        </w:rPr>
        <w:t xml:space="preserve"> y</w:t>
      </w:r>
    </w:p>
    <w:p w14:paraId="085605B7" w14:textId="060AE216" w:rsidR="00CB087C" w:rsidRDefault="00CB087C" w:rsidP="000818B2">
      <w:pPr>
        <w:pStyle w:val="Prrafodelista"/>
        <w:numPr>
          <w:ilvl w:val="1"/>
          <w:numId w:val="30"/>
        </w:numPr>
        <w:spacing w:after="120" w:line="276" w:lineRule="auto"/>
        <w:ind w:left="1134"/>
        <w:contextualSpacing w:val="0"/>
        <w:rPr>
          <w:lang w:val="es-MX"/>
        </w:rPr>
      </w:pPr>
      <w:r>
        <w:rPr>
          <w:lang w:val="es-MX"/>
        </w:rPr>
        <w:t xml:space="preserve">Los contratos celebrados con </w:t>
      </w:r>
      <w:r w:rsidR="0064641A">
        <w:rPr>
          <w:b/>
          <w:bCs/>
          <w:color w:val="0000CC"/>
          <w:sz w:val="19"/>
          <w:szCs w:val="19"/>
        </w:rPr>
        <w:t>“CONFIDENCIAL POR LEY (99</w:t>
      </w:r>
      <w:r w:rsidR="00DD187D" w:rsidRPr="005B78F8">
        <w:rPr>
          <w:b/>
          <w:bCs/>
          <w:color w:val="0000CC"/>
          <w:sz w:val="19"/>
          <w:szCs w:val="19"/>
        </w:rPr>
        <w:t>)”</w:t>
      </w:r>
      <w:r>
        <w:rPr>
          <w:lang w:val="es-MX"/>
        </w:rPr>
        <w:t>.</w:t>
      </w:r>
    </w:p>
    <w:p w14:paraId="38291B31" w14:textId="77777777" w:rsidR="00AE39DE" w:rsidRPr="00A8162F" w:rsidRDefault="00AE39DE" w:rsidP="00831174">
      <w:pPr>
        <w:rPr>
          <w:rFonts w:eastAsia="Times New Roman"/>
          <w:color w:val="000000"/>
          <w:lang w:val="es-MX"/>
        </w:rPr>
      </w:pPr>
      <w:r w:rsidRPr="00A8162F">
        <w:rPr>
          <w:rFonts w:eastAsia="Times New Roman"/>
          <w:color w:val="000000"/>
          <w:lang w:val="es-MX"/>
        </w:rPr>
        <w:t>La estructura del capital social de Metro Net antes de la Escisión Metro Net se muestra en el siguiente cuadro.</w:t>
      </w:r>
    </w:p>
    <w:p w14:paraId="1C04ED50" w14:textId="11A87ED9" w:rsidR="00AE39DE" w:rsidRPr="00AE39DE" w:rsidRDefault="00AE39DE" w:rsidP="00A010A6">
      <w:pPr>
        <w:pStyle w:val="Sinespaciado"/>
        <w:keepNext/>
        <w:numPr>
          <w:ilvl w:val="0"/>
          <w:numId w:val="24"/>
        </w:numPr>
        <w:spacing w:before="120" w:after="120" w:line="276" w:lineRule="auto"/>
        <w:ind w:left="2268" w:right="567" w:hanging="1275"/>
        <w:jc w:val="both"/>
        <w:rPr>
          <w:rFonts w:ascii="ITC Avant Garde" w:hAnsi="ITC Avant Garde"/>
          <w:b/>
        </w:rPr>
      </w:pPr>
      <w:r w:rsidRPr="005862AB">
        <w:rPr>
          <w:rFonts w:ascii="ITC Avant Garde" w:hAnsi="ITC Avant Garde"/>
          <w:b/>
        </w:rPr>
        <w:lastRenderedPageBreak/>
        <w:t xml:space="preserve">Accionistas de </w:t>
      </w:r>
      <w:r>
        <w:rPr>
          <w:rFonts w:ascii="ITC Avant Garde" w:hAnsi="ITC Avant Garde"/>
          <w:b/>
        </w:rPr>
        <w:t xml:space="preserve">Metro Net </w:t>
      </w:r>
      <w:r w:rsidRPr="00AE39DE">
        <w:rPr>
          <w:rFonts w:ascii="ITC Avant Garde" w:hAnsi="ITC Avant Garde"/>
          <w:b/>
        </w:rPr>
        <w:t>(antes de la Escisión Metro Net)</w:t>
      </w:r>
    </w:p>
    <w:tbl>
      <w:tblPr>
        <w:tblW w:w="7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Cuadro 6."/>
        <w:tblDescription w:val="Señala quienes son los accionistas de Metro Net (antes de la Escisión Metro Net)"/>
      </w:tblPr>
      <w:tblGrid>
        <w:gridCol w:w="2263"/>
        <w:gridCol w:w="1134"/>
        <w:gridCol w:w="1282"/>
        <w:gridCol w:w="1128"/>
        <w:gridCol w:w="1862"/>
      </w:tblGrid>
      <w:tr w:rsidR="0067654D" w:rsidRPr="00DE6D0E" w14:paraId="1B8B1F49" w14:textId="77777777" w:rsidTr="006123DE">
        <w:trPr>
          <w:trHeight w:val="20"/>
          <w:tblHeader/>
          <w:jc w:val="center"/>
        </w:trPr>
        <w:tc>
          <w:tcPr>
            <w:tcW w:w="2263" w:type="dxa"/>
            <w:shd w:val="clear" w:color="auto" w:fill="92D050"/>
            <w:noWrap/>
            <w:vAlign w:val="center"/>
          </w:tcPr>
          <w:p w14:paraId="4333F3D2" w14:textId="3EA6A0FD" w:rsidR="0067654D" w:rsidRPr="00DE6D0E" w:rsidRDefault="0067654D" w:rsidP="0067654D">
            <w:pPr>
              <w:spacing w:before="0" w:after="0"/>
              <w:jc w:val="center"/>
              <w:rPr>
                <w:rFonts w:eastAsia="Times New Roman"/>
                <w:b/>
                <w:color w:val="000000"/>
                <w:sz w:val="18"/>
                <w:szCs w:val="16"/>
              </w:rPr>
            </w:pPr>
            <w:r w:rsidRPr="00DE6D0E">
              <w:rPr>
                <w:rFonts w:eastAsia="Times New Roman"/>
                <w:b/>
                <w:color w:val="000000"/>
                <w:sz w:val="18"/>
                <w:szCs w:val="16"/>
              </w:rPr>
              <w:t>Accionista</w:t>
            </w:r>
          </w:p>
        </w:tc>
        <w:tc>
          <w:tcPr>
            <w:tcW w:w="1134" w:type="dxa"/>
            <w:shd w:val="clear" w:color="auto" w:fill="92D050"/>
            <w:noWrap/>
            <w:vAlign w:val="center"/>
          </w:tcPr>
          <w:p w14:paraId="3B1D893E" w14:textId="4E225A91" w:rsidR="0067654D" w:rsidRPr="00DE6D0E" w:rsidRDefault="0067654D" w:rsidP="0067654D">
            <w:pPr>
              <w:spacing w:before="0" w:after="0"/>
              <w:jc w:val="center"/>
              <w:rPr>
                <w:rFonts w:eastAsia="Times New Roman"/>
                <w:b/>
                <w:color w:val="000000"/>
                <w:sz w:val="18"/>
                <w:szCs w:val="16"/>
              </w:rPr>
            </w:pPr>
            <w:r w:rsidRPr="00DE6D0E">
              <w:rPr>
                <w:rFonts w:eastAsia="Times New Roman"/>
                <w:b/>
                <w:color w:val="000000"/>
                <w:sz w:val="18"/>
                <w:szCs w:val="16"/>
              </w:rPr>
              <w:t>Acciones Fijo</w:t>
            </w:r>
          </w:p>
        </w:tc>
        <w:tc>
          <w:tcPr>
            <w:tcW w:w="1282" w:type="dxa"/>
            <w:shd w:val="clear" w:color="auto" w:fill="92D050"/>
            <w:noWrap/>
            <w:vAlign w:val="center"/>
          </w:tcPr>
          <w:p w14:paraId="7726F413" w14:textId="3C8C438F" w:rsidR="0067654D" w:rsidRPr="00DE6D0E" w:rsidRDefault="0067654D" w:rsidP="0067654D">
            <w:pPr>
              <w:spacing w:before="0" w:after="0"/>
              <w:jc w:val="center"/>
              <w:rPr>
                <w:rFonts w:eastAsia="Times New Roman"/>
                <w:b/>
                <w:color w:val="000000"/>
                <w:sz w:val="18"/>
                <w:szCs w:val="16"/>
              </w:rPr>
            </w:pPr>
            <w:r w:rsidRPr="00DE6D0E">
              <w:rPr>
                <w:rFonts w:eastAsia="Times New Roman"/>
                <w:b/>
                <w:color w:val="000000"/>
                <w:sz w:val="18"/>
                <w:szCs w:val="16"/>
              </w:rPr>
              <w:t>Acciones Variable</w:t>
            </w:r>
          </w:p>
        </w:tc>
        <w:tc>
          <w:tcPr>
            <w:tcW w:w="1128" w:type="dxa"/>
            <w:shd w:val="clear" w:color="auto" w:fill="92D050"/>
            <w:vAlign w:val="center"/>
          </w:tcPr>
          <w:p w14:paraId="2C6E73F7" w14:textId="39512F43" w:rsidR="0067654D" w:rsidRPr="00DE6D0E" w:rsidRDefault="0067654D" w:rsidP="0067654D">
            <w:pPr>
              <w:spacing w:before="0" w:after="0"/>
              <w:jc w:val="center"/>
              <w:rPr>
                <w:rFonts w:eastAsia="Times New Roman"/>
                <w:b/>
                <w:color w:val="000000"/>
                <w:sz w:val="18"/>
                <w:szCs w:val="16"/>
              </w:rPr>
            </w:pPr>
            <w:r w:rsidRPr="00DE6D0E">
              <w:rPr>
                <w:rFonts w:eastAsia="Times New Roman"/>
                <w:b/>
                <w:color w:val="000000"/>
                <w:sz w:val="18"/>
                <w:szCs w:val="16"/>
              </w:rPr>
              <w:t>Acciones Total</w:t>
            </w:r>
          </w:p>
        </w:tc>
        <w:tc>
          <w:tcPr>
            <w:tcW w:w="1862" w:type="dxa"/>
            <w:shd w:val="clear" w:color="auto" w:fill="92D050"/>
            <w:noWrap/>
            <w:vAlign w:val="center"/>
          </w:tcPr>
          <w:p w14:paraId="24639656" w14:textId="5C75ACF3" w:rsidR="0067654D" w:rsidRPr="00DE6D0E" w:rsidRDefault="0067654D" w:rsidP="0067654D">
            <w:pPr>
              <w:spacing w:before="0" w:after="0"/>
              <w:jc w:val="center"/>
              <w:rPr>
                <w:rFonts w:eastAsia="Times New Roman"/>
                <w:b/>
                <w:color w:val="000000"/>
                <w:sz w:val="18"/>
                <w:szCs w:val="16"/>
              </w:rPr>
            </w:pPr>
            <w:r w:rsidRPr="00DE6D0E">
              <w:rPr>
                <w:rFonts w:eastAsia="Times New Roman"/>
                <w:b/>
                <w:color w:val="000000"/>
                <w:sz w:val="18"/>
                <w:szCs w:val="16"/>
              </w:rPr>
              <w:t>Participación (%)</w:t>
            </w:r>
          </w:p>
        </w:tc>
      </w:tr>
      <w:tr w:rsidR="0067654D" w:rsidRPr="00DE6D0E" w14:paraId="7385644D" w14:textId="77777777" w:rsidTr="006123DE">
        <w:trPr>
          <w:trHeight w:val="20"/>
          <w:jc w:val="center"/>
        </w:trPr>
        <w:tc>
          <w:tcPr>
            <w:tcW w:w="2263" w:type="dxa"/>
            <w:shd w:val="clear" w:color="auto" w:fill="auto"/>
            <w:noWrap/>
            <w:vAlign w:val="center"/>
          </w:tcPr>
          <w:p w14:paraId="548A039A" w14:textId="77777777" w:rsidR="0067654D" w:rsidRPr="00DE6D0E" w:rsidRDefault="0067654D" w:rsidP="0067654D">
            <w:pPr>
              <w:spacing w:before="0" w:after="0"/>
              <w:jc w:val="left"/>
              <w:rPr>
                <w:rFonts w:eastAsia="Times New Roman"/>
                <w:color w:val="000000"/>
                <w:sz w:val="18"/>
                <w:szCs w:val="16"/>
              </w:rPr>
            </w:pPr>
            <w:r w:rsidRPr="00DE6D0E">
              <w:rPr>
                <w:rFonts w:eastAsia="Times New Roman"/>
                <w:color w:val="000000"/>
                <w:sz w:val="18"/>
                <w:szCs w:val="16"/>
              </w:rPr>
              <w:t>KIO</w:t>
            </w:r>
          </w:p>
        </w:tc>
        <w:tc>
          <w:tcPr>
            <w:tcW w:w="1134" w:type="dxa"/>
            <w:shd w:val="clear" w:color="auto" w:fill="auto"/>
            <w:noWrap/>
            <w:vAlign w:val="center"/>
          </w:tcPr>
          <w:p w14:paraId="4DB91DA9" w14:textId="77777777" w:rsidR="0067654D" w:rsidRPr="000818B2" w:rsidRDefault="0067654D" w:rsidP="0067654D">
            <w:pPr>
              <w:spacing w:before="0" w:after="0"/>
              <w:jc w:val="right"/>
              <w:rPr>
                <w:rFonts w:eastAsia="Times New Roman"/>
                <w:color w:val="000000"/>
                <w:sz w:val="18"/>
                <w:szCs w:val="16"/>
              </w:rPr>
            </w:pPr>
            <w:r w:rsidRPr="000818B2">
              <w:rPr>
                <w:rFonts w:eastAsia="Times New Roman"/>
                <w:color w:val="000000"/>
                <w:sz w:val="18"/>
                <w:szCs w:val="16"/>
              </w:rPr>
              <w:t>350,000</w:t>
            </w:r>
          </w:p>
        </w:tc>
        <w:tc>
          <w:tcPr>
            <w:tcW w:w="1282" w:type="dxa"/>
            <w:shd w:val="clear" w:color="auto" w:fill="auto"/>
            <w:noWrap/>
            <w:vAlign w:val="center"/>
          </w:tcPr>
          <w:p w14:paraId="51B3B9C1" w14:textId="5061B1EF" w:rsidR="0067654D" w:rsidRPr="000818B2" w:rsidRDefault="0067654D" w:rsidP="0067654D">
            <w:pPr>
              <w:spacing w:before="0" w:after="0"/>
              <w:jc w:val="right"/>
              <w:rPr>
                <w:rFonts w:eastAsia="Times New Roman"/>
                <w:color w:val="000000"/>
                <w:sz w:val="18"/>
                <w:szCs w:val="16"/>
              </w:rPr>
            </w:pPr>
            <w:r w:rsidRPr="000818B2">
              <w:rPr>
                <w:rFonts w:eastAsia="Times New Roman"/>
                <w:color w:val="000000"/>
                <w:sz w:val="18"/>
                <w:szCs w:val="16"/>
              </w:rPr>
              <w:t>14,964,462</w:t>
            </w:r>
          </w:p>
        </w:tc>
        <w:tc>
          <w:tcPr>
            <w:tcW w:w="1128" w:type="dxa"/>
            <w:vAlign w:val="center"/>
          </w:tcPr>
          <w:p w14:paraId="76EA0763" w14:textId="77777777" w:rsidR="0067654D" w:rsidRPr="000818B2" w:rsidRDefault="0067654D" w:rsidP="0067654D">
            <w:pPr>
              <w:spacing w:before="0" w:after="0"/>
              <w:jc w:val="right"/>
              <w:rPr>
                <w:rFonts w:eastAsia="Times New Roman"/>
                <w:color w:val="000000"/>
                <w:sz w:val="18"/>
                <w:szCs w:val="16"/>
              </w:rPr>
            </w:pPr>
            <w:r w:rsidRPr="000818B2">
              <w:rPr>
                <w:rFonts w:eastAsia="Times New Roman"/>
                <w:color w:val="000000"/>
                <w:sz w:val="18"/>
                <w:szCs w:val="16"/>
              </w:rPr>
              <w:t>15,314,462</w:t>
            </w:r>
          </w:p>
        </w:tc>
        <w:tc>
          <w:tcPr>
            <w:tcW w:w="1862" w:type="dxa"/>
            <w:shd w:val="clear" w:color="auto" w:fill="auto"/>
            <w:noWrap/>
            <w:vAlign w:val="center"/>
          </w:tcPr>
          <w:p w14:paraId="0B2A5ED9" w14:textId="77777777" w:rsidR="0067654D" w:rsidRPr="00DE6D0E" w:rsidRDefault="0067654D" w:rsidP="0067654D">
            <w:pPr>
              <w:spacing w:before="0" w:after="0"/>
              <w:jc w:val="right"/>
              <w:rPr>
                <w:rFonts w:eastAsia="Times New Roman"/>
                <w:color w:val="000000"/>
                <w:sz w:val="18"/>
                <w:szCs w:val="16"/>
              </w:rPr>
            </w:pPr>
            <w:r w:rsidRPr="00DE6D0E">
              <w:rPr>
                <w:rFonts w:eastAsia="Times New Roman"/>
                <w:color w:val="000000"/>
                <w:sz w:val="18"/>
                <w:szCs w:val="16"/>
              </w:rPr>
              <w:t>99.999</w:t>
            </w:r>
          </w:p>
        </w:tc>
      </w:tr>
      <w:tr w:rsidR="0067654D" w:rsidRPr="00DE6D0E" w14:paraId="4742290E" w14:textId="77777777" w:rsidTr="006123DE">
        <w:trPr>
          <w:trHeight w:val="20"/>
          <w:jc w:val="center"/>
        </w:trPr>
        <w:tc>
          <w:tcPr>
            <w:tcW w:w="2263" w:type="dxa"/>
            <w:shd w:val="clear" w:color="auto" w:fill="auto"/>
            <w:noWrap/>
            <w:vAlign w:val="center"/>
          </w:tcPr>
          <w:p w14:paraId="5F65C406" w14:textId="77777777" w:rsidR="0067654D" w:rsidRPr="00DE6D0E" w:rsidRDefault="0067654D" w:rsidP="0067654D">
            <w:pPr>
              <w:spacing w:before="0" w:after="0"/>
              <w:jc w:val="left"/>
              <w:rPr>
                <w:rFonts w:eastAsia="Times New Roman"/>
                <w:color w:val="000000"/>
                <w:sz w:val="18"/>
                <w:szCs w:val="16"/>
              </w:rPr>
            </w:pPr>
            <w:proofErr w:type="spellStart"/>
            <w:r w:rsidRPr="00DE6D0E">
              <w:rPr>
                <w:rFonts w:eastAsia="Times New Roman"/>
                <w:color w:val="000000"/>
                <w:sz w:val="18"/>
                <w:szCs w:val="16"/>
              </w:rPr>
              <w:t>Wingu</w:t>
            </w:r>
            <w:proofErr w:type="spellEnd"/>
          </w:p>
        </w:tc>
        <w:tc>
          <w:tcPr>
            <w:tcW w:w="1134" w:type="dxa"/>
            <w:shd w:val="clear" w:color="auto" w:fill="auto"/>
            <w:noWrap/>
            <w:vAlign w:val="center"/>
          </w:tcPr>
          <w:p w14:paraId="5E1E034D" w14:textId="77777777" w:rsidR="0067654D" w:rsidRPr="000818B2" w:rsidRDefault="0067654D" w:rsidP="0067654D">
            <w:pPr>
              <w:spacing w:before="0" w:after="0"/>
              <w:jc w:val="right"/>
              <w:rPr>
                <w:rFonts w:eastAsia="Times New Roman"/>
                <w:color w:val="000000"/>
                <w:sz w:val="18"/>
                <w:szCs w:val="16"/>
              </w:rPr>
            </w:pPr>
          </w:p>
        </w:tc>
        <w:tc>
          <w:tcPr>
            <w:tcW w:w="1282" w:type="dxa"/>
            <w:shd w:val="clear" w:color="auto" w:fill="auto"/>
            <w:noWrap/>
            <w:vAlign w:val="center"/>
          </w:tcPr>
          <w:p w14:paraId="40719B1B" w14:textId="01D4F26E" w:rsidR="0067654D" w:rsidRPr="000818B2" w:rsidRDefault="0067654D" w:rsidP="0067654D">
            <w:pPr>
              <w:spacing w:before="0" w:after="0"/>
              <w:jc w:val="right"/>
              <w:rPr>
                <w:rFonts w:eastAsia="Times New Roman"/>
                <w:color w:val="000000"/>
                <w:sz w:val="18"/>
                <w:szCs w:val="16"/>
              </w:rPr>
            </w:pPr>
            <w:r w:rsidRPr="000818B2">
              <w:rPr>
                <w:rFonts w:eastAsia="Times New Roman"/>
                <w:color w:val="000000"/>
                <w:sz w:val="18"/>
                <w:szCs w:val="16"/>
              </w:rPr>
              <w:t>100</w:t>
            </w:r>
          </w:p>
        </w:tc>
        <w:tc>
          <w:tcPr>
            <w:tcW w:w="1128" w:type="dxa"/>
            <w:vAlign w:val="center"/>
          </w:tcPr>
          <w:p w14:paraId="6158377E" w14:textId="4345789A" w:rsidR="0067654D" w:rsidRPr="000818B2" w:rsidRDefault="0067654D" w:rsidP="0067654D">
            <w:pPr>
              <w:spacing w:before="0" w:after="0"/>
              <w:jc w:val="right"/>
              <w:rPr>
                <w:rFonts w:eastAsia="Times New Roman"/>
                <w:color w:val="000000"/>
                <w:sz w:val="18"/>
                <w:szCs w:val="16"/>
              </w:rPr>
            </w:pPr>
            <w:r w:rsidRPr="000818B2">
              <w:rPr>
                <w:rFonts w:eastAsia="Times New Roman"/>
                <w:color w:val="000000"/>
                <w:sz w:val="18"/>
                <w:szCs w:val="16"/>
              </w:rPr>
              <w:t>100</w:t>
            </w:r>
          </w:p>
        </w:tc>
        <w:tc>
          <w:tcPr>
            <w:tcW w:w="1862" w:type="dxa"/>
            <w:shd w:val="clear" w:color="auto" w:fill="auto"/>
            <w:noWrap/>
            <w:vAlign w:val="center"/>
          </w:tcPr>
          <w:p w14:paraId="1055D111" w14:textId="77777777" w:rsidR="0067654D" w:rsidRPr="00DE6D0E" w:rsidRDefault="0067654D" w:rsidP="0067654D">
            <w:pPr>
              <w:spacing w:before="0" w:after="0"/>
              <w:jc w:val="right"/>
              <w:rPr>
                <w:rFonts w:eastAsia="Times New Roman"/>
                <w:color w:val="000000"/>
                <w:sz w:val="18"/>
                <w:szCs w:val="16"/>
              </w:rPr>
            </w:pPr>
            <w:r w:rsidRPr="00DE6D0E">
              <w:rPr>
                <w:rFonts w:eastAsia="Times New Roman"/>
                <w:color w:val="000000"/>
                <w:sz w:val="18"/>
                <w:szCs w:val="16"/>
              </w:rPr>
              <w:t>0.001</w:t>
            </w:r>
          </w:p>
        </w:tc>
      </w:tr>
      <w:tr w:rsidR="0067654D" w:rsidRPr="00DE6D0E" w14:paraId="1872ED03" w14:textId="77777777" w:rsidTr="006123DE">
        <w:trPr>
          <w:trHeight w:val="469"/>
          <w:jc w:val="center"/>
        </w:trPr>
        <w:tc>
          <w:tcPr>
            <w:tcW w:w="2263" w:type="dxa"/>
            <w:shd w:val="clear" w:color="auto" w:fill="auto"/>
            <w:noWrap/>
            <w:vAlign w:val="center"/>
          </w:tcPr>
          <w:p w14:paraId="502DDA8C" w14:textId="77777777" w:rsidR="0067654D" w:rsidRPr="00DE6D0E" w:rsidRDefault="0067654D" w:rsidP="0067654D">
            <w:pPr>
              <w:spacing w:before="0" w:after="0"/>
              <w:jc w:val="left"/>
              <w:rPr>
                <w:rFonts w:eastAsia="Times New Roman"/>
                <w:b/>
                <w:color w:val="000000"/>
                <w:sz w:val="18"/>
                <w:szCs w:val="16"/>
              </w:rPr>
            </w:pPr>
            <w:r w:rsidRPr="00DE6D0E">
              <w:rPr>
                <w:rFonts w:eastAsia="Times New Roman"/>
                <w:b/>
                <w:color w:val="000000"/>
                <w:sz w:val="18"/>
                <w:szCs w:val="16"/>
              </w:rPr>
              <w:t>TOTAL</w:t>
            </w:r>
          </w:p>
        </w:tc>
        <w:tc>
          <w:tcPr>
            <w:tcW w:w="1134" w:type="dxa"/>
            <w:shd w:val="clear" w:color="auto" w:fill="auto"/>
            <w:noWrap/>
            <w:vAlign w:val="center"/>
          </w:tcPr>
          <w:p w14:paraId="0A260C3F" w14:textId="4EA3C48C" w:rsidR="0067654D" w:rsidRPr="000818B2" w:rsidRDefault="0067654D" w:rsidP="0067654D">
            <w:pPr>
              <w:spacing w:before="0" w:after="0"/>
              <w:jc w:val="right"/>
              <w:rPr>
                <w:rFonts w:eastAsia="Times New Roman"/>
                <w:b/>
                <w:color w:val="000000"/>
                <w:sz w:val="18"/>
                <w:szCs w:val="16"/>
              </w:rPr>
            </w:pPr>
            <w:r w:rsidRPr="000818B2">
              <w:rPr>
                <w:rFonts w:eastAsia="Times New Roman"/>
                <w:color w:val="000000"/>
                <w:sz w:val="18"/>
                <w:szCs w:val="16"/>
              </w:rPr>
              <w:t>350,000</w:t>
            </w:r>
          </w:p>
        </w:tc>
        <w:tc>
          <w:tcPr>
            <w:tcW w:w="1282" w:type="dxa"/>
            <w:shd w:val="clear" w:color="auto" w:fill="auto"/>
            <w:noWrap/>
            <w:vAlign w:val="center"/>
          </w:tcPr>
          <w:p w14:paraId="70B08920" w14:textId="77777777" w:rsidR="0067654D" w:rsidRPr="000818B2" w:rsidRDefault="0067654D" w:rsidP="0067654D">
            <w:pPr>
              <w:spacing w:before="0" w:after="0"/>
              <w:jc w:val="right"/>
              <w:rPr>
                <w:rFonts w:eastAsia="Times New Roman"/>
                <w:color w:val="000000"/>
                <w:sz w:val="18"/>
                <w:szCs w:val="16"/>
              </w:rPr>
            </w:pPr>
            <w:r w:rsidRPr="000818B2">
              <w:rPr>
                <w:rFonts w:eastAsia="Times New Roman"/>
                <w:color w:val="000000"/>
                <w:sz w:val="18"/>
                <w:szCs w:val="16"/>
              </w:rPr>
              <w:t>14,964,562</w:t>
            </w:r>
          </w:p>
        </w:tc>
        <w:tc>
          <w:tcPr>
            <w:tcW w:w="1128" w:type="dxa"/>
            <w:vAlign w:val="center"/>
          </w:tcPr>
          <w:p w14:paraId="3F899254" w14:textId="02DF86B9" w:rsidR="0067654D" w:rsidRPr="000818B2" w:rsidRDefault="0067654D" w:rsidP="0067654D">
            <w:pPr>
              <w:spacing w:before="0" w:after="0"/>
              <w:jc w:val="right"/>
              <w:rPr>
                <w:rFonts w:eastAsia="Times New Roman"/>
                <w:b/>
                <w:color w:val="000000"/>
                <w:sz w:val="18"/>
                <w:szCs w:val="16"/>
              </w:rPr>
            </w:pPr>
            <w:r w:rsidRPr="000818B2">
              <w:rPr>
                <w:rFonts w:eastAsia="Times New Roman"/>
                <w:color w:val="000000"/>
                <w:sz w:val="18"/>
                <w:szCs w:val="16"/>
              </w:rPr>
              <w:t>15,314,562</w:t>
            </w:r>
          </w:p>
        </w:tc>
        <w:tc>
          <w:tcPr>
            <w:tcW w:w="1862" w:type="dxa"/>
            <w:shd w:val="clear" w:color="auto" w:fill="auto"/>
            <w:noWrap/>
            <w:vAlign w:val="center"/>
          </w:tcPr>
          <w:p w14:paraId="1BBF642E" w14:textId="77777777" w:rsidR="0067654D" w:rsidRPr="00DE6D0E" w:rsidRDefault="0067654D" w:rsidP="0067654D">
            <w:pPr>
              <w:spacing w:before="0" w:after="0"/>
              <w:jc w:val="right"/>
              <w:rPr>
                <w:rFonts w:eastAsia="Times New Roman"/>
                <w:b/>
                <w:color w:val="000000"/>
                <w:sz w:val="18"/>
                <w:szCs w:val="16"/>
              </w:rPr>
            </w:pPr>
            <w:r w:rsidRPr="00DE6D0E">
              <w:rPr>
                <w:rFonts w:eastAsia="Times New Roman"/>
                <w:b/>
                <w:color w:val="000000"/>
                <w:sz w:val="18"/>
                <w:szCs w:val="16"/>
              </w:rPr>
              <w:t>100.00</w:t>
            </w:r>
          </w:p>
        </w:tc>
      </w:tr>
    </w:tbl>
    <w:p w14:paraId="0BFB5DB1" w14:textId="16D25B5D" w:rsidR="00AE39DE" w:rsidRPr="00473CD3" w:rsidRDefault="00AE39DE" w:rsidP="00AE39DE">
      <w:pPr>
        <w:pStyle w:val="Notaalpie"/>
        <w:ind w:left="1134" w:right="708"/>
        <w:rPr>
          <w:rFonts w:eastAsia="Calibri" w:cs="Times New Roman"/>
          <w:sz w:val="16"/>
        </w:rPr>
      </w:pPr>
      <w:r w:rsidRPr="00EF3C6C">
        <w:rPr>
          <w:rFonts w:eastAsia="Calibri" w:cs="Times New Roman"/>
          <w:sz w:val="16"/>
        </w:rPr>
        <w:t>Fuente: Elaboración propia con información contenida en Foja</w:t>
      </w:r>
      <w:r w:rsidR="00EF3C6C" w:rsidRPr="00EF3C6C">
        <w:rPr>
          <w:rFonts w:eastAsia="Calibri" w:cs="Times New Roman"/>
          <w:sz w:val="16"/>
        </w:rPr>
        <w:t xml:space="preserve"> 607</w:t>
      </w:r>
      <w:r w:rsidRPr="00EF3C6C">
        <w:rPr>
          <w:rFonts w:eastAsia="Calibri" w:cs="Times New Roman"/>
          <w:sz w:val="16"/>
        </w:rPr>
        <w:t xml:space="preserve"> del Expediente.</w:t>
      </w:r>
    </w:p>
    <w:p w14:paraId="28C8CAC5" w14:textId="1372D238" w:rsidR="00AE39DE" w:rsidRPr="00CC06A8" w:rsidRDefault="006123DE" w:rsidP="00831174">
      <w:r w:rsidRPr="00CC06A8">
        <w:t xml:space="preserve">En virtud de la </w:t>
      </w:r>
      <w:r>
        <w:t xml:space="preserve">Escisión Metro Net, se trasfirieron a CFCA </w:t>
      </w:r>
      <w:r w:rsidR="00DD187D" w:rsidRPr="005B78F8">
        <w:rPr>
          <w:b/>
          <w:bCs/>
          <w:color w:val="0000CC"/>
          <w:sz w:val="19"/>
          <w:szCs w:val="19"/>
        </w:rPr>
        <w:t>“CONFIDENCIAL POR LEY (1</w:t>
      </w:r>
      <w:r w:rsidR="0064641A">
        <w:rPr>
          <w:b/>
          <w:bCs/>
          <w:color w:val="0000CC"/>
          <w:sz w:val="19"/>
          <w:szCs w:val="19"/>
        </w:rPr>
        <w:t>00</w:t>
      </w:r>
      <w:r w:rsidR="00DD187D" w:rsidRPr="005B78F8">
        <w:rPr>
          <w:b/>
          <w:bCs/>
          <w:color w:val="0000CC"/>
          <w:sz w:val="19"/>
          <w:szCs w:val="19"/>
        </w:rPr>
        <w:t>)”</w:t>
      </w:r>
      <w:r>
        <w:t xml:space="preserve"> acciones del capital variable de Metro Net, quedando la estructura del capital social de Metro Net a partir del </w:t>
      </w:r>
      <w:r w:rsidR="006462D1">
        <w:t>primero</w:t>
      </w:r>
      <w:r>
        <w:t xml:space="preserve"> de agosto de </w:t>
      </w:r>
      <w:r w:rsidR="006462D1">
        <w:t>dos mil diecisiete,</w:t>
      </w:r>
      <w:r>
        <w:t xml:space="preserve"> como</w:t>
      </w:r>
      <w:r w:rsidRPr="00CC06A8">
        <w:t xml:space="preserve"> se muestra en el siguiente cuadro.</w:t>
      </w:r>
    </w:p>
    <w:p w14:paraId="3A17B2F2" w14:textId="64EE96B5" w:rsidR="006123DE" w:rsidRPr="00AE39DE" w:rsidRDefault="006123DE" w:rsidP="00A010A6">
      <w:pPr>
        <w:pStyle w:val="Sinespaciado"/>
        <w:keepNext/>
        <w:numPr>
          <w:ilvl w:val="0"/>
          <w:numId w:val="24"/>
        </w:numPr>
        <w:spacing w:before="120" w:after="120" w:line="276" w:lineRule="auto"/>
        <w:ind w:left="2268" w:right="1040" w:hanging="1275"/>
        <w:jc w:val="both"/>
        <w:rPr>
          <w:rFonts w:ascii="ITC Avant Garde" w:hAnsi="ITC Avant Garde"/>
          <w:b/>
        </w:rPr>
      </w:pPr>
      <w:r w:rsidRPr="005862AB">
        <w:rPr>
          <w:rFonts w:ascii="ITC Avant Garde" w:hAnsi="ITC Avant Garde"/>
          <w:b/>
        </w:rPr>
        <w:t xml:space="preserve">Accionistas de </w:t>
      </w:r>
      <w:r>
        <w:rPr>
          <w:rFonts w:ascii="ITC Avant Garde" w:hAnsi="ITC Avant Garde"/>
          <w:b/>
        </w:rPr>
        <w:t xml:space="preserve">Metro Net </w:t>
      </w:r>
      <w:r w:rsidRPr="00AE39DE">
        <w:rPr>
          <w:rFonts w:ascii="ITC Avant Garde" w:hAnsi="ITC Avant Garde"/>
          <w:b/>
        </w:rPr>
        <w:t>(</w:t>
      </w:r>
      <w:r>
        <w:rPr>
          <w:rFonts w:ascii="ITC Avant Garde" w:hAnsi="ITC Avant Garde"/>
          <w:b/>
        </w:rPr>
        <w:t>después</w:t>
      </w:r>
      <w:r w:rsidRPr="00AE39DE">
        <w:rPr>
          <w:rFonts w:ascii="ITC Avant Garde" w:hAnsi="ITC Avant Garde"/>
          <w:b/>
        </w:rPr>
        <w:t xml:space="preserve"> de la Escisión Metro Net)</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Cuadro 7."/>
        <w:tblDescription w:val="Señala quienes son los accionistas de Metro Net (después de la Escisión Metro Net)"/>
      </w:tblPr>
      <w:tblGrid>
        <w:gridCol w:w="2263"/>
        <w:gridCol w:w="1642"/>
        <w:gridCol w:w="1642"/>
        <w:gridCol w:w="1642"/>
        <w:gridCol w:w="1453"/>
      </w:tblGrid>
      <w:tr w:rsidR="00E73D5B" w:rsidRPr="00DE6D0E" w14:paraId="0B1BAF25" w14:textId="77777777" w:rsidTr="0064641A">
        <w:trPr>
          <w:trHeight w:val="20"/>
          <w:tblHeader/>
          <w:jc w:val="center"/>
        </w:trPr>
        <w:tc>
          <w:tcPr>
            <w:tcW w:w="2263" w:type="dxa"/>
            <w:shd w:val="clear" w:color="auto" w:fill="92D050"/>
            <w:noWrap/>
            <w:vAlign w:val="center"/>
          </w:tcPr>
          <w:p w14:paraId="7F94AB23" w14:textId="32AE7E90" w:rsidR="00E73D5B" w:rsidRPr="00DE6D0E" w:rsidRDefault="00E73D5B" w:rsidP="00E73D5B">
            <w:pPr>
              <w:spacing w:before="0" w:after="0"/>
              <w:jc w:val="center"/>
              <w:rPr>
                <w:rFonts w:eastAsia="Times New Roman"/>
                <w:b/>
                <w:color w:val="000000"/>
                <w:sz w:val="18"/>
                <w:szCs w:val="16"/>
              </w:rPr>
            </w:pPr>
            <w:r w:rsidRPr="00DE6D0E">
              <w:rPr>
                <w:rFonts w:eastAsia="Times New Roman"/>
                <w:b/>
                <w:color w:val="000000"/>
                <w:sz w:val="18"/>
                <w:szCs w:val="16"/>
              </w:rPr>
              <w:t>Accionista</w:t>
            </w:r>
          </w:p>
        </w:tc>
        <w:tc>
          <w:tcPr>
            <w:tcW w:w="1642" w:type="dxa"/>
            <w:shd w:val="clear" w:color="auto" w:fill="92D050"/>
            <w:noWrap/>
            <w:vAlign w:val="center"/>
          </w:tcPr>
          <w:p w14:paraId="05765E25" w14:textId="6B3A26F6" w:rsidR="00E73D5B" w:rsidRPr="00DE6D0E" w:rsidRDefault="00E73D5B" w:rsidP="00E73D5B">
            <w:pPr>
              <w:spacing w:before="0" w:after="0"/>
              <w:jc w:val="center"/>
              <w:rPr>
                <w:rFonts w:eastAsia="Times New Roman"/>
                <w:b/>
                <w:color w:val="000000"/>
                <w:sz w:val="18"/>
                <w:szCs w:val="16"/>
              </w:rPr>
            </w:pPr>
            <w:r w:rsidRPr="00DE6D0E">
              <w:rPr>
                <w:rFonts w:eastAsia="Times New Roman"/>
                <w:b/>
                <w:color w:val="000000"/>
                <w:sz w:val="18"/>
                <w:szCs w:val="16"/>
              </w:rPr>
              <w:t>Acciones Fijo</w:t>
            </w:r>
          </w:p>
        </w:tc>
        <w:tc>
          <w:tcPr>
            <w:tcW w:w="1642" w:type="dxa"/>
            <w:shd w:val="clear" w:color="auto" w:fill="92D050"/>
            <w:noWrap/>
            <w:vAlign w:val="center"/>
          </w:tcPr>
          <w:p w14:paraId="290671CE" w14:textId="30F5A49A" w:rsidR="00E73D5B" w:rsidRPr="00DE6D0E" w:rsidRDefault="00E73D5B" w:rsidP="00E73D5B">
            <w:pPr>
              <w:spacing w:before="0" w:after="0"/>
              <w:jc w:val="center"/>
              <w:rPr>
                <w:rFonts w:eastAsia="Times New Roman"/>
                <w:b/>
                <w:color w:val="000000"/>
                <w:sz w:val="18"/>
                <w:szCs w:val="16"/>
              </w:rPr>
            </w:pPr>
            <w:r w:rsidRPr="00DE6D0E">
              <w:rPr>
                <w:rFonts w:eastAsia="Times New Roman"/>
                <w:b/>
                <w:color w:val="000000"/>
                <w:sz w:val="18"/>
                <w:szCs w:val="16"/>
              </w:rPr>
              <w:t>Acciones Variable</w:t>
            </w:r>
          </w:p>
        </w:tc>
        <w:tc>
          <w:tcPr>
            <w:tcW w:w="1642" w:type="dxa"/>
            <w:shd w:val="clear" w:color="auto" w:fill="92D050"/>
            <w:vAlign w:val="center"/>
          </w:tcPr>
          <w:p w14:paraId="7748C6CC" w14:textId="5AB87DE3" w:rsidR="00E73D5B" w:rsidRPr="00DE6D0E" w:rsidRDefault="00E73D5B" w:rsidP="00E73D5B">
            <w:pPr>
              <w:spacing w:before="0" w:after="0"/>
              <w:jc w:val="center"/>
              <w:rPr>
                <w:rFonts w:eastAsia="Times New Roman"/>
                <w:b/>
                <w:color w:val="000000"/>
                <w:sz w:val="18"/>
                <w:szCs w:val="16"/>
              </w:rPr>
            </w:pPr>
            <w:r w:rsidRPr="00DE6D0E">
              <w:rPr>
                <w:rFonts w:eastAsia="Times New Roman"/>
                <w:b/>
                <w:color w:val="000000"/>
                <w:sz w:val="18"/>
                <w:szCs w:val="16"/>
              </w:rPr>
              <w:t>Acciones Total</w:t>
            </w:r>
          </w:p>
        </w:tc>
        <w:tc>
          <w:tcPr>
            <w:tcW w:w="1453" w:type="dxa"/>
            <w:shd w:val="clear" w:color="auto" w:fill="92D050"/>
            <w:noWrap/>
            <w:vAlign w:val="center"/>
          </w:tcPr>
          <w:p w14:paraId="3DFF6D94" w14:textId="72C2546A" w:rsidR="00E73D5B" w:rsidRPr="00DE6D0E" w:rsidRDefault="00E73D5B" w:rsidP="00E73D5B">
            <w:pPr>
              <w:spacing w:before="0" w:after="0"/>
              <w:jc w:val="center"/>
              <w:rPr>
                <w:rFonts w:eastAsia="Times New Roman"/>
                <w:b/>
                <w:color w:val="000000"/>
                <w:sz w:val="18"/>
                <w:szCs w:val="16"/>
              </w:rPr>
            </w:pPr>
            <w:r w:rsidRPr="00DE6D0E">
              <w:rPr>
                <w:rFonts w:eastAsia="Times New Roman"/>
                <w:b/>
                <w:color w:val="000000"/>
                <w:sz w:val="18"/>
                <w:szCs w:val="16"/>
              </w:rPr>
              <w:t>Participación (%)</w:t>
            </w:r>
          </w:p>
        </w:tc>
      </w:tr>
      <w:tr w:rsidR="00E73D5B" w:rsidRPr="00DE6D0E" w14:paraId="5CE49F23" w14:textId="77777777" w:rsidTr="0064641A">
        <w:trPr>
          <w:trHeight w:val="20"/>
          <w:jc w:val="center"/>
        </w:trPr>
        <w:tc>
          <w:tcPr>
            <w:tcW w:w="2263" w:type="dxa"/>
            <w:shd w:val="clear" w:color="auto" w:fill="auto"/>
            <w:noWrap/>
            <w:vAlign w:val="center"/>
          </w:tcPr>
          <w:p w14:paraId="13765106" w14:textId="77777777" w:rsidR="00E73D5B" w:rsidRPr="00DE6D0E" w:rsidRDefault="00E73D5B" w:rsidP="00E73D5B">
            <w:pPr>
              <w:spacing w:before="0" w:after="0"/>
              <w:jc w:val="left"/>
              <w:rPr>
                <w:rFonts w:eastAsia="Times New Roman"/>
                <w:color w:val="000000"/>
                <w:sz w:val="18"/>
                <w:szCs w:val="16"/>
              </w:rPr>
            </w:pPr>
            <w:r w:rsidRPr="00DE6D0E">
              <w:rPr>
                <w:rFonts w:eastAsia="Times New Roman"/>
                <w:color w:val="000000"/>
                <w:sz w:val="18"/>
                <w:szCs w:val="16"/>
              </w:rPr>
              <w:t>KIO</w:t>
            </w:r>
          </w:p>
        </w:tc>
        <w:tc>
          <w:tcPr>
            <w:tcW w:w="1642" w:type="dxa"/>
            <w:shd w:val="clear" w:color="auto" w:fill="auto"/>
            <w:noWrap/>
          </w:tcPr>
          <w:p w14:paraId="3D0F095A" w14:textId="4C3C7E22" w:rsidR="00E73D5B" w:rsidRPr="00EF3C6C" w:rsidRDefault="00E73D5B" w:rsidP="00E73D5B">
            <w:pPr>
              <w:spacing w:before="0" w:after="0"/>
              <w:jc w:val="right"/>
              <w:rPr>
                <w:rFonts w:eastAsia="Times New Roman"/>
                <w:color w:val="000000"/>
                <w:sz w:val="18"/>
                <w:szCs w:val="16"/>
                <w:highlight w:val="cyan"/>
              </w:rPr>
            </w:pPr>
            <w:r>
              <w:rPr>
                <w:b/>
                <w:bCs/>
                <w:color w:val="0000CC"/>
                <w:sz w:val="19"/>
                <w:szCs w:val="19"/>
              </w:rPr>
              <w:t>“CONFIDENCIAL POR LEY (101</w:t>
            </w:r>
            <w:r w:rsidRPr="00882039">
              <w:rPr>
                <w:b/>
                <w:bCs/>
                <w:color w:val="0000CC"/>
                <w:sz w:val="19"/>
                <w:szCs w:val="19"/>
              </w:rPr>
              <w:t>)”</w:t>
            </w:r>
          </w:p>
        </w:tc>
        <w:tc>
          <w:tcPr>
            <w:tcW w:w="1642" w:type="dxa"/>
            <w:shd w:val="clear" w:color="auto" w:fill="auto"/>
            <w:noWrap/>
          </w:tcPr>
          <w:p w14:paraId="04E6A80D" w14:textId="7BC9CE6E" w:rsidR="00E73D5B" w:rsidRPr="00EF3C6C" w:rsidRDefault="00E73D5B" w:rsidP="00E73D5B">
            <w:pPr>
              <w:spacing w:before="0" w:after="0"/>
              <w:jc w:val="right"/>
              <w:rPr>
                <w:rFonts w:eastAsia="Times New Roman"/>
                <w:color w:val="000000"/>
                <w:sz w:val="18"/>
                <w:szCs w:val="16"/>
                <w:highlight w:val="cyan"/>
              </w:rPr>
            </w:pPr>
            <w:r w:rsidRPr="00882039">
              <w:rPr>
                <w:b/>
                <w:bCs/>
                <w:color w:val="0000CC"/>
                <w:sz w:val="19"/>
                <w:szCs w:val="19"/>
              </w:rPr>
              <w:t>“CONFIDENCIAL POR LEY (1</w:t>
            </w:r>
            <w:r>
              <w:rPr>
                <w:b/>
                <w:bCs/>
                <w:color w:val="0000CC"/>
                <w:sz w:val="19"/>
                <w:szCs w:val="19"/>
              </w:rPr>
              <w:t>02</w:t>
            </w:r>
            <w:r w:rsidRPr="00882039">
              <w:rPr>
                <w:b/>
                <w:bCs/>
                <w:color w:val="0000CC"/>
                <w:sz w:val="19"/>
                <w:szCs w:val="19"/>
              </w:rPr>
              <w:t>)”</w:t>
            </w:r>
          </w:p>
        </w:tc>
        <w:tc>
          <w:tcPr>
            <w:tcW w:w="1642" w:type="dxa"/>
          </w:tcPr>
          <w:p w14:paraId="1FC9B2D9" w14:textId="382F248D" w:rsidR="00E73D5B" w:rsidRPr="00EF3C6C" w:rsidRDefault="00E73D5B" w:rsidP="00E73D5B">
            <w:pPr>
              <w:spacing w:before="0" w:after="0"/>
              <w:jc w:val="right"/>
              <w:rPr>
                <w:rFonts w:eastAsia="Times New Roman"/>
                <w:color w:val="000000"/>
                <w:sz w:val="18"/>
                <w:szCs w:val="16"/>
                <w:highlight w:val="cyan"/>
              </w:rPr>
            </w:pPr>
            <w:r w:rsidRPr="00882039">
              <w:rPr>
                <w:b/>
                <w:bCs/>
                <w:color w:val="0000CC"/>
                <w:sz w:val="19"/>
                <w:szCs w:val="19"/>
              </w:rPr>
              <w:t>“CONFIDENCIAL POR LEY (1</w:t>
            </w:r>
            <w:r>
              <w:rPr>
                <w:b/>
                <w:bCs/>
                <w:color w:val="0000CC"/>
                <w:sz w:val="19"/>
                <w:szCs w:val="19"/>
              </w:rPr>
              <w:t>03</w:t>
            </w:r>
            <w:r w:rsidRPr="00882039">
              <w:rPr>
                <w:b/>
                <w:bCs/>
                <w:color w:val="0000CC"/>
                <w:sz w:val="19"/>
                <w:szCs w:val="19"/>
              </w:rPr>
              <w:t>)”</w:t>
            </w:r>
          </w:p>
        </w:tc>
        <w:tc>
          <w:tcPr>
            <w:tcW w:w="1453" w:type="dxa"/>
            <w:shd w:val="clear" w:color="auto" w:fill="auto"/>
            <w:noWrap/>
            <w:vAlign w:val="center"/>
          </w:tcPr>
          <w:p w14:paraId="17DEE42F" w14:textId="77777777" w:rsidR="00E73D5B" w:rsidRPr="00DE6D0E" w:rsidRDefault="00E73D5B" w:rsidP="00E73D5B">
            <w:pPr>
              <w:spacing w:before="0" w:after="0"/>
              <w:jc w:val="right"/>
              <w:rPr>
                <w:rFonts w:eastAsia="Times New Roman"/>
                <w:color w:val="000000"/>
                <w:sz w:val="18"/>
                <w:szCs w:val="16"/>
              </w:rPr>
            </w:pPr>
            <w:r w:rsidRPr="00DE6D0E">
              <w:rPr>
                <w:rFonts w:eastAsia="Times New Roman"/>
                <w:color w:val="000000"/>
                <w:sz w:val="18"/>
                <w:szCs w:val="16"/>
              </w:rPr>
              <w:t>99.999</w:t>
            </w:r>
          </w:p>
        </w:tc>
      </w:tr>
      <w:tr w:rsidR="00E73D5B" w:rsidRPr="00DE6D0E" w14:paraId="3A1701F7" w14:textId="77777777" w:rsidTr="0064641A">
        <w:trPr>
          <w:trHeight w:val="20"/>
          <w:jc w:val="center"/>
        </w:trPr>
        <w:tc>
          <w:tcPr>
            <w:tcW w:w="2263" w:type="dxa"/>
            <w:shd w:val="clear" w:color="auto" w:fill="auto"/>
            <w:noWrap/>
            <w:vAlign w:val="center"/>
          </w:tcPr>
          <w:p w14:paraId="49B9E72B" w14:textId="361A60ED" w:rsidR="00E73D5B" w:rsidRPr="00DE6D0E" w:rsidRDefault="00E73D5B" w:rsidP="00E73D5B">
            <w:pPr>
              <w:spacing w:before="0" w:after="0"/>
              <w:jc w:val="left"/>
              <w:rPr>
                <w:rFonts w:eastAsia="Times New Roman"/>
                <w:color w:val="000000"/>
                <w:sz w:val="18"/>
                <w:szCs w:val="16"/>
              </w:rPr>
            </w:pPr>
            <w:proofErr w:type="spellStart"/>
            <w:r w:rsidRPr="00DE6D0E">
              <w:rPr>
                <w:rFonts w:eastAsia="Times New Roman"/>
                <w:color w:val="000000"/>
                <w:sz w:val="18"/>
                <w:szCs w:val="16"/>
              </w:rPr>
              <w:t>Wingu</w:t>
            </w:r>
            <w:proofErr w:type="spellEnd"/>
          </w:p>
        </w:tc>
        <w:tc>
          <w:tcPr>
            <w:tcW w:w="1642" w:type="dxa"/>
            <w:shd w:val="clear" w:color="auto" w:fill="auto"/>
            <w:noWrap/>
            <w:vAlign w:val="center"/>
          </w:tcPr>
          <w:p w14:paraId="7BE63435" w14:textId="77777777" w:rsidR="00E73D5B" w:rsidRPr="00EF3C6C" w:rsidRDefault="00E73D5B" w:rsidP="00E73D5B">
            <w:pPr>
              <w:spacing w:before="0" w:after="0"/>
              <w:jc w:val="right"/>
              <w:rPr>
                <w:rFonts w:eastAsia="Times New Roman"/>
                <w:color w:val="000000"/>
                <w:sz w:val="18"/>
                <w:szCs w:val="16"/>
                <w:highlight w:val="cyan"/>
              </w:rPr>
            </w:pPr>
          </w:p>
        </w:tc>
        <w:tc>
          <w:tcPr>
            <w:tcW w:w="1642" w:type="dxa"/>
            <w:shd w:val="clear" w:color="auto" w:fill="auto"/>
            <w:noWrap/>
          </w:tcPr>
          <w:p w14:paraId="496DE26B" w14:textId="0674002F" w:rsidR="00E73D5B" w:rsidRPr="00EF3C6C" w:rsidRDefault="00E73D5B" w:rsidP="00E73D5B">
            <w:pPr>
              <w:spacing w:before="0" w:after="0"/>
              <w:jc w:val="right"/>
              <w:rPr>
                <w:rFonts w:eastAsia="Times New Roman"/>
                <w:color w:val="000000"/>
                <w:sz w:val="18"/>
                <w:szCs w:val="16"/>
                <w:highlight w:val="cyan"/>
              </w:rPr>
            </w:pPr>
            <w:r w:rsidRPr="00F1527D">
              <w:rPr>
                <w:b/>
                <w:bCs/>
                <w:color w:val="0000CC"/>
                <w:sz w:val="19"/>
                <w:szCs w:val="19"/>
              </w:rPr>
              <w:t>“CONFIDENCIAL POR LEY (1</w:t>
            </w:r>
            <w:r>
              <w:rPr>
                <w:b/>
                <w:bCs/>
                <w:color w:val="0000CC"/>
                <w:sz w:val="19"/>
                <w:szCs w:val="19"/>
              </w:rPr>
              <w:t>04</w:t>
            </w:r>
            <w:r w:rsidRPr="00F1527D">
              <w:rPr>
                <w:b/>
                <w:bCs/>
                <w:color w:val="0000CC"/>
                <w:sz w:val="19"/>
                <w:szCs w:val="19"/>
              </w:rPr>
              <w:t>)”</w:t>
            </w:r>
          </w:p>
        </w:tc>
        <w:tc>
          <w:tcPr>
            <w:tcW w:w="1642" w:type="dxa"/>
          </w:tcPr>
          <w:p w14:paraId="179404CE" w14:textId="155B890F" w:rsidR="00E73D5B" w:rsidRPr="00EF3C6C" w:rsidRDefault="00E73D5B" w:rsidP="00E73D5B">
            <w:pPr>
              <w:spacing w:before="0" w:after="0"/>
              <w:jc w:val="right"/>
              <w:rPr>
                <w:rFonts w:eastAsia="Times New Roman"/>
                <w:color w:val="000000"/>
                <w:sz w:val="18"/>
                <w:szCs w:val="16"/>
                <w:highlight w:val="cyan"/>
              </w:rPr>
            </w:pPr>
            <w:r w:rsidRPr="00F1527D">
              <w:rPr>
                <w:b/>
                <w:bCs/>
                <w:color w:val="0000CC"/>
                <w:sz w:val="19"/>
                <w:szCs w:val="19"/>
              </w:rPr>
              <w:t>“CONFIDENCIAL POR LEY (1</w:t>
            </w:r>
            <w:r>
              <w:rPr>
                <w:b/>
                <w:bCs/>
                <w:color w:val="0000CC"/>
                <w:sz w:val="19"/>
                <w:szCs w:val="19"/>
              </w:rPr>
              <w:t>05</w:t>
            </w:r>
            <w:r w:rsidRPr="00F1527D">
              <w:rPr>
                <w:b/>
                <w:bCs/>
                <w:color w:val="0000CC"/>
                <w:sz w:val="19"/>
                <w:szCs w:val="19"/>
              </w:rPr>
              <w:t>)”</w:t>
            </w:r>
          </w:p>
        </w:tc>
        <w:tc>
          <w:tcPr>
            <w:tcW w:w="1453" w:type="dxa"/>
            <w:shd w:val="clear" w:color="auto" w:fill="auto"/>
            <w:noWrap/>
            <w:vAlign w:val="center"/>
          </w:tcPr>
          <w:p w14:paraId="248915D3" w14:textId="77777777" w:rsidR="00E73D5B" w:rsidRPr="00DE6D0E" w:rsidRDefault="00E73D5B" w:rsidP="00E73D5B">
            <w:pPr>
              <w:spacing w:before="0" w:after="0"/>
              <w:jc w:val="right"/>
              <w:rPr>
                <w:rFonts w:eastAsia="Times New Roman"/>
                <w:color w:val="000000"/>
                <w:sz w:val="18"/>
                <w:szCs w:val="16"/>
              </w:rPr>
            </w:pPr>
            <w:r w:rsidRPr="00DE6D0E">
              <w:rPr>
                <w:rFonts w:eastAsia="Times New Roman"/>
                <w:color w:val="000000"/>
                <w:sz w:val="18"/>
                <w:szCs w:val="16"/>
              </w:rPr>
              <w:t>0.001</w:t>
            </w:r>
          </w:p>
        </w:tc>
      </w:tr>
      <w:tr w:rsidR="00E73D5B" w:rsidRPr="006123DE" w14:paraId="4BCD350D" w14:textId="77777777" w:rsidTr="0064641A">
        <w:trPr>
          <w:trHeight w:val="469"/>
          <w:jc w:val="center"/>
        </w:trPr>
        <w:tc>
          <w:tcPr>
            <w:tcW w:w="2263" w:type="dxa"/>
            <w:shd w:val="clear" w:color="auto" w:fill="auto"/>
            <w:noWrap/>
            <w:vAlign w:val="center"/>
          </w:tcPr>
          <w:p w14:paraId="1FB3310E" w14:textId="0B154087" w:rsidR="00E73D5B" w:rsidRPr="00DE6D0E" w:rsidRDefault="00E73D5B" w:rsidP="00E73D5B">
            <w:pPr>
              <w:spacing w:before="0" w:after="0"/>
              <w:jc w:val="left"/>
              <w:rPr>
                <w:rFonts w:eastAsia="Times New Roman"/>
                <w:b/>
                <w:color w:val="000000"/>
                <w:sz w:val="18"/>
                <w:szCs w:val="16"/>
              </w:rPr>
            </w:pPr>
            <w:r w:rsidRPr="00DE6D0E">
              <w:rPr>
                <w:rFonts w:eastAsia="Times New Roman"/>
                <w:b/>
                <w:color w:val="000000"/>
                <w:sz w:val="18"/>
                <w:szCs w:val="16"/>
              </w:rPr>
              <w:t>TOTAL</w:t>
            </w:r>
          </w:p>
        </w:tc>
        <w:tc>
          <w:tcPr>
            <w:tcW w:w="1642" w:type="dxa"/>
            <w:shd w:val="clear" w:color="auto" w:fill="auto"/>
            <w:noWrap/>
          </w:tcPr>
          <w:p w14:paraId="386DB523" w14:textId="7AED2D85" w:rsidR="00E73D5B" w:rsidRPr="00EF3C6C" w:rsidRDefault="00E73D5B" w:rsidP="00E73D5B">
            <w:pPr>
              <w:spacing w:before="0" w:after="0"/>
              <w:jc w:val="right"/>
              <w:rPr>
                <w:rFonts w:eastAsia="Times New Roman"/>
                <w:b/>
                <w:color w:val="000000"/>
                <w:sz w:val="18"/>
                <w:szCs w:val="16"/>
                <w:highlight w:val="cyan"/>
              </w:rPr>
            </w:pPr>
            <w:r w:rsidRPr="00780EF7">
              <w:rPr>
                <w:b/>
                <w:bCs/>
                <w:color w:val="0000CC"/>
                <w:sz w:val="19"/>
                <w:szCs w:val="19"/>
              </w:rPr>
              <w:t>“CONFIDENCIAL POR LEY (1</w:t>
            </w:r>
            <w:r>
              <w:rPr>
                <w:b/>
                <w:bCs/>
                <w:color w:val="0000CC"/>
                <w:sz w:val="19"/>
                <w:szCs w:val="19"/>
              </w:rPr>
              <w:t>06</w:t>
            </w:r>
            <w:r w:rsidRPr="00780EF7">
              <w:rPr>
                <w:b/>
                <w:bCs/>
                <w:color w:val="0000CC"/>
                <w:sz w:val="19"/>
                <w:szCs w:val="19"/>
              </w:rPr>
              <w:t>)”</w:t>
            </w:r>
          </w:p>
        </w:tc>
        <w:tc>
          <w:tcPr>
            <w:tcW w:w="1642" w:type="dxa"/>
            <w:shd w:val="clear" w:color="auto" w:fill="auto"/>
            <w:noWrap/>
          </w:tcPr>
          <w:p w14:paraId="63CACB64" w14:textId="1F57E116" w:rsidR="00E73D5B" w:rsidRPr="00EF3C6C" w:rsidRDefault="00E73D5B" w:rsidP="00E73D5B">
            <w:pPr>
              <w:spacing w:before="0" w:after="0"/>
              <w:jc w:val="right"/>
              <w:rPr>
                <w:rFonts w:eastAsia="Times New Roman"/>
                <w:color w:val="000000"/>
                <w:sz w:val="18"/>
                <w:szCs w:val="16"/>
                <w:highlight w:val="cyan"/>
              </w:rPr>
            </w:pPr>
            <w:r w:rsidRPr="00780EF7">
              <w:rPr>
                <w:b/>
                <w:bCs/>
                <w:color w:val="0000CC"/>
                <w:sz w:val="19"/>
                <w:szCs w:val="19"/>
              </w:rPr>
              <w:t>“CONFIDENCIAL POR LEY (1</w:t>
            </w:r>
            <w:r>
              <w:rPr>
                <w:b/>
                <w:bCs/>
                <w:color w:val="0000CC"/>
                <w:sz w:val="19"/>
                <w:szCs w:val="19"/>
              </w:rPr>
              <w:t>07</w:t>
            </w:r>
            <w:r w:rsidRPr="00780EF7">
              <w:rPr>
                <w:b/>
                <w:bCs/>
                <w:color w:val="0000CC"/>
                <w:sz w:val="19"/>
                <w:szCs w:val="19"/>
              </w:rPr>
              <w:t>)”</w:t>
            </w:r>
          </w:p>
        </w:tc>
        <w:tc>
          <w:tcPr>
            <w:tcW w:w="1642" w:type="dxa"/>
          </w:tcPr>
          <w:p w14:paraId="75E9A6B3" w14:textId="3EE47C02" w:rsidR="00E73D5B" w:rsidRPr="00EF3C6C" w:rsidRDefault="00E73D5B" w:rsidP="00E73D5B">
            <w:pPr>
              <w:spacing w:before="0" w:after="0"/>
              <w:jc w:val="right"/>
              <w:rPr>
                <w:rFonts w:eastAsia="Times New Roman"/>
                <w:b/>
                <w:color w:val="000000"/>
                <w:sz w:val="18"/>
                <w:szCs w:val="16"/>
                <w:highlight w:val="cyan"/>
              </w:rPr>
            </w:pPr>
            <w:r w:rsidRPr="00780EF7">
              <w:rPr>
                <w:b/>
                <w:bCs/>
                <w:color w:val="0000CC"/>
                <w:sz w:val="19"/>
                <w:szCs w:val="19"/>
              </w:rPr>
              <w:t>“CONFIDENCIAL POR LEY (1</w:t>
            </w:r>
            <w:r>
              <w:rPr>
                <w:b/>
                <w:bCs/>
                <w:color w:val="0000CC"/>
                <w:sz w:val="19"/>
                <w:szCs w:val="19"/>
              </w:rPr>
              <w:t>08</w:t>
            </w:r>
            <w:r w:rsidRPr="00780EF7">
              <w:rPr>
                <w:b/>
                <w:bCs/>
                <w:color w:val="0000CC"/>
                <w:sz w:val="19"/>
                <w:szCs w:val="19"/>
              </w:rPr>
              <w:t>)”</w:t>
            </w:r>
          </w:p>
        </w:tc>
        <w:tc>
          <w:tcPr>
            <w:tcW w:w="1453" w:type="dxa"/>
            <w:shd w:val="clear" w:color="auto" w:fill="auto"/>
            <w:noWrap/>
            <w:vAlign w:val="center"/>
          </w:tcPr>
          <w:p w14:paraId="1FAD0608" w14:textId="77777777" w:rsidR="00E73D5B" w:rsidRPr="00DE6D0E" w:rsidRDefault="00E73D5B" w:rsidP="00E73D5B">
            <w:pPr>
              <w:spacing w:before="0" w:after="0"/>
              <w:jc w:val="right"/>
              <w:rPr>
                <w:rFonts w:eastAsia="Times New Roman"/>
                <w:b/>
                <w:color w:val="000000"/>
                <w:sz w:val="18"/>
                <w:szCs w:val="16"/>
              </w:rPr>
            </w:pPr>
            <w:r w:rsidRPr="00DE6D0E">
              <w:rPr>
                <w:rFonts w:eastAsia="Times New Roman"/>
                <w:b/>
                <w:color w:val="000000"/>
                <w:sz w:val="18"/>
                <w:szCs w:val="16"/>
              </w:rPr>
              <w:t>100.00</w:t>
            </w:r>
          </w:p>
        </w:tc>
      </w:tr>
    </w:tbl>
    <w:p w14:paraId="1A790CE4" w14:textId="77777777" w:rsidR="006123DE" w:rsidRPr="00473CD3" w:rsidRDefault="006123DE" w:rsidP="006123DE">
      <w:pPr>
        <w:pStyle w:val="Notaalpie"/>
        <w:ind w:left="1134" w:right="708"/>
        <w:rPr>
          <w:rFonts w:eastAsia="Calibri" w:cs="Times New Roman"/>
          <w:sz w:val="16"/>
        </w:rPr>
      </w:pPr>
      <w:r w:rsidRPr="00EF3C6C">
        <w:rPr>
          <w:rFonts w:eastAsia="Calibri" w:cs="Times New Roman"/>
          <w:sz w:val="16"/>
        </w:rPr>
        <w:t>Fuente: Elaboración propia con información contenida en Foja</w:t>
      </w:r>
      <w:r w:rsidR="00EF3C6C" w:rsidRPr="00EF3C6C">
        <w:rPr>
          <w:rFonts w:eastAsia="Calibri" w:cs="Times New Roman"/>
          <w:sz w:val="16"/>
        </w:rPr>
        <w:t xml:space="preserve"> 608</w:t>
      </w:r>
      <w:r w:rsidRPr="00EF3C6C">
        <w:rPr>
          <w:rFonts w:eastAsia="Calibri" w:cs="Times New Roman"/>
          <w:sz w:val="16"/>
        </w:rPr>
        <w:t xml:space="preserve"> del Expediente.</w:t>
      </w:r>
    </w:p>
    <w:p w14:paraId="30F04026" w14:textId="77777777" w:rsidR="00831174" w:rsidRDefault="00831174" w:rsidP="00AE5BE4">
      <w:pPr>
        <w:pStyle w:val="Prrafodelista"/>
        <w:spacing w:after="120" w:line="276" w:lineRule="auto"/>
        <w:ind w:left="0"/>
        <w:contextualSpacing w:val="0"/>
      </w:pPr>
    </w:p>
    <w:p w14:paraId="0BD9C9ED" w14:textId="77777777" w:rsidR="008523DB" w:rsidRPr="005874AB" w:rsidRDefault="00031C62" w:rsidP="00AE5BE4">
      <w:pPr>
        <w:pStyle w:val="Prrafodelista"/>
        <w:spacing w:after="120" w:line="276" w:lineRule="auto"/>
        <w:ind w:left="0"/>
        <w:contextualSpacing w:val="0"/>
        <w:rPr>
          <w:rFonts w:eastAsia="Times New Roman"/>
          <w:color w:val="000000"/>
          <w:lang w:val="es-MX"/>
        </w:rPr>
      </w:pPr>
      <w:r w:rsidRPr="00AE5BE4">
        <w:t>Con base en la información proporcionada por las Partes, en el siguiente cuadro se presenta</w:t>
      </w:r>
      <w:r w:rsidR="00A010A6">
        <w:t>n la información f</w:t>
      </w:r>
      <w:r w:rsidR="00A010A6" w:rsidRPr="008523DB">
        <w:t xml:space="preserve">inanciera </w:t>
      </w:r>
      <w:r w:rsidR="00AE5BE4" w:rsidRPr="008523DB">
        <w:rPr>
          <w:rFonts w:eastAsia="Times New Roman"/>
          <w:color w:val="000000"/>
          <w:lang w:val="es-MX"/>
        </w:rPr>
        <w:t>de Metro Net</w:t>
      </w:r>
      <w:r w:rsidR="006462D1">
        <w:rPr>
          <w:rFonts w:eastAsia="Times New Roman"/>
          <w:color w:val="000000"/>
          <w:lang w:val="es-MX"/>
        </w:rPr>
        <w:t xml:space="preserve"> en diciembre de dos mil dieciséis; en junio de dos mil diecisiete, antes de la Escisión de Metro Net; y después de </w:t>
      </w:r>
      <w:r w:rsidR="008523DB" w:rsidRPr="008523DB">
        <w:rPr>
          <w:rFonts w:eastAsia="Times New Roman"/>
          <w:color w:val="000000"/>
          <w:lang w:val="es-MX"/>
        </w:rPr>
        <w:t xml:space="preserve">la Escisión Metro Net realizada el </w:t>
      </w:r>
      <w:r w:rsidR="006462D1">
        <w:rPr>
          <w:rFonts w:eastAsia="Times New Roman"/>
          <w:color w:val="000000"/>
          <w:lang w:val="es-MX"/>
        </w:rPr>
        <w:t>catorce</w:t>
      </w:r>
      <w:r w:rsidR="008523DB" w:rsidRPr="008523DB">
        <w:rPr>
          <w:rFonts w:eastAsia="Times New Roman"/>
          <w:color w:val="000000"/>
          <w:lang w:val="es-MX"/>
        </w:rPr>
        <w:t xml:space="preserve"> de agosto de </w:t>
      </w:r>
      <w:r w:rsidR="006462D1">
        <w:rPr>
          <w:rFonts w:eastAsia="Times New Roman"/>
          <w:color w:val="000000"/>
          <w:lang w:val="es-MX"/>
        </w:rPr>
        <w:t>dos mil diecisiete.</w:t>
      </w:r>
    </w:p>
    <w:p w14:paraId="3D242D97" w14:textId="170E2AA9" w:rsidR="00AE5BE4" w:rsidRPr="005874AB" w:rsidRDefault="00AE5BE4" w:rsidP="00A010A6">
      <w:pPr>
        <w:pStyle w:val="Sinespaciado"/>
        <w:keepNext/>
        <w:numPr>
          <w:ilvl w:val="0"/>
          <w:numId w:val="24"/>
        </w:numPr>
        <w:spacing w:before="120" w:after="120" w:line="276" w:lineRule="auto"/>
        <w:ind w:left="2268" w:right="48" w:hanging="1275"/>
        <w:jc w:val="both"/>
        <w:rPr>
          <w:rFonts w:ascii="ITC Avant Garde" w:hAnsi="ITC Avant Garde"/>
          <w:b/>
        </w:rPr>
      </w:pPr>
      <w:r>
        <w:rPr>
          <w:rFonts w:ascii="ITC Avant Garde" w:hAnsi="ITC Avant Garde"/>
          <w:b/>
        </w:rPr>
        <w:lastRenderedPageBreak/>
        <w:t>Cifras financieras</w:t>
      </w:r>
      <w:r w:rsidRPr="005874AB">
        <w:rPr>
          <w:rFonts w:ascii="ITC Avant Garde" w:hAnsi="ITC Avant Garde"/>
          <w:b/>
        </w:rPr>
        <w:t xml:space="preserve"> </w:t>
      </w:r>
      <w:r>
        <w:rPr>
          <w:rFonts w:ascii="ITC Avant Garde" w:hAnsi="ITC Avant Garde"/>
          <w:b/>
        </w:rPr>
        <w:t>de Metro Net</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Cuadro 8."/>
        <w:tblDescription w:val="Indica las cifras financieras financieras de Metro Net"/>
      </w:tblPr>
      <w:tblGrid>
        <w:gridCol w:w="2216"/>
        <w:gridCol w:w="2142"/>
        <w:gridCol w:w="2142"/>
        <w:gridCol w:w="2142"/>
      </w:tblGrid>
      <w:tr w:rsidR="000E4061" w:rsidRPr="005108C5" w14:paraId="7B4C6646" w14:textId="77777777" w:rsidTr="00DD187D">
        <w:trPr>
          <w:trHeight w:val="20"/>
          <w:tblHeader/>
          <w:jc w:val="center"/>
        </w:trPr>
        <w:tc>
          <w:tcPr>
            <w:tcW w:w="2216" w:type="dxa"/>
            <w:shd w:val="clear" w:color="auto" w:fill="92D050"/>
            <w:vAlign w:val="center"/>
            <w:hideMark/>
          </w:tcPr>
          <w:p w14:paraId="2FF5BEF1" w14:textId="77777777" w:rsidR="000E4061" w:rsidRDefault="000E4061" w:rsidP="000E4061">
            <w:pPr>
              <w:keepNext/>
              <w:spacing w:before="0" w:after="0"/>
              <w:jc w:val="center"/>
              <w:rPr>
                <w:rFonts w:eastAsia="Times New Roman"/>
                <w:b/>
                <w:bCs/>
                <w:sz w:val="18"/>
                <w:szCs w:val="18"/>
              </w:rPr>
            </w:pPr>
            <w:r w:rsidRPr="005108C5">
              <w:rPr>
                <w:rFonts w:eastAsia="Times New Roman"/>
                <w:b/>
                <w:bCs/>
                <w:sz w:val="18"/>
                <w:szCs w:val="18"/>
              </w:rPr>
              <w:t>Concepto</w:t>
            </w:r>
          </w:p>
          <w:p w14:paraId="01AAE92A" w14:textId="77777777" w:rsidR="000E4061" w:rsidRPr="005108C5" w:rsidRDefault="000E4061" w:rsidP="000E4061">
            <w:pPr>
              <w:keepNext/>
              <w:spacing w:before="0" w:after="0"/>
              <w:jc w:val="center"/>
              <w:rPr>
                <w:rFonts w:eastAsia="Times New Roman"/>
                <w:b/>
                <w:bCs/>
                <w:sz w:val="18"/>
                <w:szCs w:val="18"/>
              </w:rPr>
            </w:pPr>
            <w:r w:rsidRPr="005108C5">
              <w:rPr>
                <w:rFonts w:eastAsia="Times New Roman"/>
                <w:b/>
                <w:bCs/>
                <w:sz w:val="18"/>
                <w:szCs w:val="18"/>
              </w:rPr>
              <w:t>(pesos nominales)</w:t>
            </w:r>
          </w:p>
        </w:tc>
        <w:tc>
          <w:tcPr>
            <w:tcW w:w="2142" w:type="dxa"/>
            <w:shd w:val="clear" w:color="auto" w:fill="92D050"/>
            <w:vAlign w:val="center"/>
          </w:tcPr>
          <w:p w14:paraId="14BF99EC" w14:textId="689CCA48" w:rsidR="000E4061" w:rsidRPr="005108C5" w:rsidRDefault="000E4061" w:rsidP="000E4061">
            <w:pPr>
              <w:keepNext/>
              <w:spacing w:before="0" w:after="0"/>
              <w:jc w:val="center"/>
              <w:rPr>
                <w:rFonts w:eastAsia="Times New Roman"/>
                <w:b/>
                <w:bCs/>
                <w:sz w:val="18"/>
                <w:szCs w:val="18"/>
              </w:rPr>
            </w:pPr>
            <w:r>
              <w:rPr>
                <w:rFonts w:eastAsia="Times New Roman"/>
                <w:b/>
                <w:bCs/>
                <w:sz w:val="18"/>
                <w:szCs w:val="18"/>
              </w:rPr>
              <w:t>Después de la Escisión Metro Net</w:t>
            </w:r>
          </w:p>
        </w:tc>
        <w:tc>
          <w:tcPr>
            <w:tcW w:w="2142" w:type="dxa"/>
            <w:shd w:val="clear" w:color="auto" w:fill="92D050"/>
            <w:vAlign w:val="center"/>
          </w:tcPr>
          <w:p w14:paraId="1580A5EA" w14:textId="77777777" w:rsidR="000E4061" w:rsidRDefault="000E4061" w:rsidP="000E4061">
            <w:pPr>
              <w:keepNext/>
              <w:spacing w:before="0" w:after="0"/>
              <w:jc w:val="center"/>
              <w:rPr>
                <w:rFonts w:eastAsia="Times New Roman"/>
                <w:b/>
                <w:bCs/>
                <w:sz w:val="18"/>
                <w:szCs w:val="18"/>
              </w:rPr>
            </w:pPr>
            <w:r>
              <w:rPr>
                <w:rFonts w:eastAsia="Times New Roman"/>
                <w:b/>
                <w:bCs/>
                <w:sz w:val="18"/>
                <w:szCs w:val="18"/>
              </w:rPr>
              <w:t>Antes de la Escisión Metro Net</w:t>
            </w:r>
          </w:p>
          <w:p w14:paraId="0369CED0" w14:textId="77777777" w:rsidR="000E4061" w:rsidRPr="005108C5" w:rsidRDefault="000E4061" w:rsidP="000E4061">
            <w:pPr>
              <w:keepNext/>
              <w:spacing w:before="0" w:after="0"/>
              <w:jc w:val="center"/>
              <w:rPr>
                <w:rFonts w:eastAsia="Times New Roman"/>
                <w:b/>
                <w:bCs/>
                <w:sz w:val="18"/>
                <w:szCs w:val="18"/>
              </w:rPr>
            </w:pPr>
            <w:r>
              <w:rPr>
                <w:rFonts w:eastAsia="Times New Roman"/>
                <w:b/>
                <w:bCs/>
                <w:sz w:val="18"/>
                <w:szCs w:val="18"/>
              </w:rPr>
              <w:t>(</w:t>
            </w:r>
            <w:r w:rsidR="008523DB">
              <w:rPr>
                <w:rFonts w:eastAsia="Times New Roman"/>
                <w:b/>
                <w:bCs/>
                <w:sz w:val="18"/>
                <w:szCs w:val="18"/>
              </w:rPr>
              <w:t xml:space="preserve">cifras de </w:t>
            </w:r>
            <w:r>
              <w:rPr>
                <w:rFonts w:eastAsia="Times New Roman"/>
                <w:b/>
                <w:bCs/>
                <w:sz w:val="18"/>
                <w:szCs w:val="18"/>
              </w:rPr>
              <w:t>junio 2017)</w:t>
            </w:r>
          </w:p>
        </w:tc>
        <w:tc>
          <w:tcPr>
            <w:tcW w:w="2142" w:type="dxa"/>
            <w:shd w:val="clear" w:color="auto" w:fill="92D050"/>
            <w:vAlign w:val="center"/>
          </w:tcPr>
          <w:p w14:paraId="0D2FBC03" w14:textId="77777777" w:rsidR="000E4061" w:rsidRDefault="000E4061" w:rsidP="000E4061">
            <w:pPr>
              <w:keepNext/>
              <w:spacing w:before="0" w:after="0"/>
              <w:jc w:val="center"/>
              <w:rPr>
                <w:rFonts w:eastAsia="Times New Roman"/>
                <w:b/>
                <w:bCs/>
                <w:sz w:val="18"/>
                <w:szCs w:val="18"/>
              </w:rPr>
            </w:pPr>
            <w:r>
              <w:rPr>
                <w:rFonts w:eastAsia="Times New Roman"/>
                <w:b/>
                <w:bCs/>
                <w:sz w:val="18"/>
                <w:szCs w:val="18"/>
              </w:rPr>
              <w:t>Diciembre de 2016</w:t>
            </w:r>
          </w:p>
        </w:tc>
      </w:tr>
      <w:tr w:rsidR="00DD187D" w:rsidRPr="005108C5" w14:paraId="7BE844FD" w14:textId="77777777" w:rsidTr="00DD187D">
        <w:trPr>
          <w:trHeight w:val="20"/>
          <w:jc w:val="center"/>
        </w:trPr>
        <w:tc>
          <w:tcPr>
            <w:tcW w:w="2216" w:type="dxa"/>
            <w:shd w:val="clear" w:color="auto" w:fill="auto"/>
            <w:vAlign w:val="center"/>
          </w:tcPr>
          <w:p w14:paraId="3CFC8B8F" w14:textId="77777777" w:rsidR="00DD187D" w:rsidRPr="005108C5" w:rsidRDefault="00DD187D" w:rsidP="00DD187D">
            <w:pPr>
              <w:keepNext/>
              <w:spacing w:before="0" w:after="0"/>
              <w:rPr>
                <w:rFonts w:eastAsia="Times New Roman"/>
                <w:color w:val="000000"/>
                <w:sz w:val="18"/>
                <w:szCs w:val="18"/>
              </w:rPr>
            </w:pPr>
            <w:r>
              <w:rPr>
                <w:rFonts w:eastAsia="Times New Roman"/>
                <w:color w:val="000000"/>
                <w:sz w:val="18"/>
                <w:szCs w:val="18"/>
              </w:rPr>
              <w:t>Ingresos</w:t>
            </w:r>
          </w:p>
        </w:tc>
        <w:tc>
          <w:tcPr>
            <w:tcW w:w="2142" w:type="dxa"/>
          </w:tcPr>
          <w:p w14:paraId="3F82B7CE" w14:textId="491FBC84" w:rsidR="00DD187D" w:rsidRPr="000818B2" w:rsidRDefault="00DD187D" w:rsidP="00DD187D">
            <w:pPr>
              <w:keepNext/>
              <w:spacing w:before="0" w:after="0"/>
              <w:ind w:right="120"/>
              <w:rPr>
                <w:rFonts w:eastAsia="Times New Roman"/>
                <w:color w:val="000000"/>
                <w:sz w:val="18"/>
                <w:szCs w:val="18"/>
                <w:highlight w:val="cyan"/>
              </w:rPr>
            </w:pPr>
            <w:r w:rsidRPr="00E63FC2">
              <w:rPr>
                <w:b/>
                <w:bCs/>
                <w:color w:val="0000CC"/>
                <w:sz w:val="19"/>
                <w:szCs w:val="19"/>
              </w:rPr>
              <w:t>“CONFIDENCIAL POR LEY (1</w:t>
            </w:r>
            <w:r w:rsidR="0064641A">
              <w:rPr>
                <w:b/>
                <w:bCs/>
                <w:color w:val="0000CC"/>
                <w:sz w:val="19"/>
                <w:szCs w:val="19"/>
              </w:rPr>
              <w:t>09</w:t>
            </w:r>
            <w:r w:rsidRPr="00E63FC2">
              <w:rPr>
                <w:b/>
                <w:bCs/>
                <w:color w:val="0000CC"/>
                <w:sz w:val="19"/>
                <w:szCs w:val="19"/>
              </w:rPr>
              <w:t>)”</w:t>
            </w:r>
          </w:p>
        </w:tc>
        <w:tc>
          <w:tcPr>
            <w:tcW w:w="2142" w:type="dxa"/>
          </w:tcPr>
          <w:p w14:paraId="14D21EEC" w14:textId="4B66798B" w:rsidR="00DD187D" w:rsidRPr="000818B2" w:rsidRDefault="00DD187D" w:rsidP="00DD187D">
            <w:pPr>
              <w:keepNext/>
              <w:spacing w:before="0" w:after="0"/>
              <w:ind w:right="120"/>
              <w:rPr>
                <w:rFonts w:eastAsia="Times New Roman"/>
                <w:color w:val="000000"/>
                <w:sz w:val="18"/>
                <w:szCs w:val="18"/>
                <w:highlight w:val="cyan"/>
              </w:rPr>
            </w:pPr>
            <w:r w:rsidRPr="00570A4A">
              <w:rPr>
                <w:b/>
                <w:bCs/>
                <w:color w:val="0000CC"/>
                <w:sz w:val="19"/>
                <w:szCs w:val="19"/>
              </w:rPr>
              <w:t>“CONFIDENCIAL POR LEY (1</w:t>
            </w:r>
            <w:r w:rsidR="0064641A">
              <w:rPr>
                <w:b/>
                <w:bCs/>
                <w:color w:val="0000CC"/>
                <w:sz w:val="19"/>
                <w:szCs w:val="19"/>
              </w:rPr>
              <w:t>10</w:t>
            </w:r>
            <w:r w:rsidRPr="00570A4A">
              <w:rPr>
                <w:b/>
                <w:bCs/>
                <w:color w:val="0000CC"/>
                <w:sz w:val="19"/>
                <w:szCs w:val="19"/>
              </w:rPr>
              <w:t>)”</w:t>
            </w:r>
          </w:p>
        </w:tc>
        <w:tc>
          <w:tcPr>
            <w:tcW w:w="2142" w:type="dxa"/>
          </w:tcPr>
          <w:p w14:paraId="5BF90957" w14:textId="5074FDA1" w:rsidR="00DD187D" w:rsidRPr="000818B2" w:rsidRDefault="00DD187D" w:rsidP="00DD187D">
            <w:pPr>
              <w:keepNext/>
              <w:spacing w:before="0" w:after="0"/>
              <w:ind w:right="120"/>
              <w:rPr>
                <w:rFonts w:eastAsia="Times New Roman"/>
                <w:color w:val="000000"/>
                <w:sz w:val="18"/>
                <w:szCs w:val="18"/>
                <w:highlight w:val="cyan"/>
              </w:rPr>
            </w:pPr>
            <w:r w:rsidRPr="00882F9A">
              <w:rPr>
                <w:b/>
                <w:bCs/>
                <w:color w:val="0000CC"/>
                <w:sz w:val="19"/>
                <w:szCs w:val="19"/>
              </w:rPr>
              <w:t>“CONFIDENCIAL POR LEY (1</w:t>
            </w:r>
            <w:r w:rsidR="0064641A">
              <w:rPr>
                <w:b/>
                <w:bCs/>
                <w:color w:val="0000CC"/>
                <w:sz w:val="19"/>
                <w:szCs w:val="19"/>
              </w:rPr>
              <w:t>11</w:t>
            </w:r>
            <w:r w:rsidRPr="00882F9A">
              <w:rPr>
                <w:b/>
                <w:bCs/>
                <w:color w:val="0000CC"/>
                <w:sz w:val="19"/>
                <w:szCs w:val="19"/>
              </w:rPr>
              <w:t>)”</w:t>
            </w:r>
          </w:p>
        </w:tc>
      </w:tr>
      <w:tr w:rsidR="00DD187D" w:rsidRPr="005108C5" w14:paraId="43F7021A" w14:textId="77777777" w:rsidTr="00DD187D">
        <w:trPr>
          <w:trHeight w:val="20"/>
          <w:jc w:val="center"/>
        </w:trPr>
        <w:tc>
          <w:tcPr>
            <w:tcW w:w="2216" w:type="dxa"/>
            <w:shd w:val="clear" w:color="auto" w:fill="auto"/>
            <w:vAlign w:val="center"/>
          </w:tcPr>
          <w:p w14:paraId="18AB9DD1" w14:textId="77777777" w:rsidR="00DD187D" w:rsidRDefault="00DD187D" w:rsidP="00DD187D">
            <w:pPr>
              <w:keepNext/>
              <w:spacing w:before="0" w:after="0"/>
              <w:rPr>
                <w:rFonts w:eastAsia="Times New Roman"/>
                <w:color w:val="000000"/>
                <w:sz w:val="18"/>
                <w:szCs w:val="18"/>
              </w:rPr>
            </w:pPr>
            <w:r w:rsidRPr="00C1349E">
              <w:rPr>
                <w:rFonts w:eastAsia="Times New Roman"/>
                <w:color w:val="000000"/>
                <w:sz w:val="18"/>
                <w:szCs w:val="18"/>
              </w:rPr>
              <w:t>Utilidad (pérdida) neta</w:t>
            </w:r>
          </w:p>
        </w:tc>
        <w:tc>
          <w:tcPr>
            <w:tcW w:w="2142" w:type="dxa"/>
          </w:tcPr>
          <w:p w14:paraId="0AD210CE" w14:textId="1996515A" w:rsidR="00DD187D" w:rsidRPr="000818B2" w:rsidRDefault="00DD187D" w:rsidP="00DD187D">
            <w:pPr>
              <w:keepNext/>
              <w:spacing w:before="0" w:after="0"/>
              <w:ind w:right="120"/>
              <w:rPr>
                <w:rFonts w:eastAsia="Times New Roman"/>
                <w:color w:val="000000"/>
                <w:sz w:val="18"/>
                <w:szCs w:val="18"/>
                <w:highlight w:val="cyan"/>
              </w:rPr>
            </w:pPr>
            <w:r w:rsidRPr="00390B31">
              <w:rPr>
                <w:b/>
                <w:bCs/>
                <w:color w:val="0000CC"/>
                <w:sz w:val="19"/>
                <w:szCs w:val="19"/>
              </w:rPr>
              <w:t>“CONFIDENCIAL POR LEY (1</w:t>
            </w:r>
            <w:r w:rsidR="0064641A">
              <w:rPr>
                <w:b/>
                <w:bCs/>
                <w:color w:val="0000CC"/>
                <w:sz w:val="19"/>
                <w:szCs w:val="19"/>
              </w:rPr>
              <w:t>12</w:t>
            </w:r>
            <w:r w:rsidRPr="00390B31">
              <w:rPr>
                <w:b/>
                <w:bCs/>
                <w:color w:val="0000CC"/>
                <w:sz w:val="19"/>
                <w:szCs w:val="19"/>
              </w:rPr>
              <w:t>)”</w:t>
            </w:r>
          </w:p>
        </w:tc>
        <w:tc>
          <w:tcPr>
            <w:tcW w:w="2142" w:type="dxa"/>
          </w:tcPr>
          <w:p w14:paraId="37DB52F4" w14:textId="289222C3" w:rsidR="00DD187D" w:rsidRPr="000818B2" w:rsidRDefault="00DD187D" w:rsidP="00DD187D">
            <w:pPr>
              <w:keepNext/>
              <w:spacing w:before="0" w:after="0"/>
              <w:ind w:right="120"/>
              <w:rPr>
                <w:rFonts w:eastAsia="Times New Roman"/>
                <w:color w:val="000000"/>
                <w:sz w:val="18"/>
                <w:szCs w:val="18"/>
                <w:highlight w:val="cyan"/>
              </w:rPr>
            </w:pPr>
            <w:r w:rsidRPr="00570A4A">
              <w:rPr>
                <w:b/>
                <w:bCs/>
                <w:color w:val="0000CC"/>
                <w:sz w:val="19"/>
                <w:szCs w:val="19"/>
              </w:rPr>
              <w:t>“CONFIDENCIAL POR LEY (1</w:t>
            </w:r>
            <w:r w:rsidR="0064641A">
              <w:rPr>
                <w:b/>
                <w:bCs/>
                <w:color w:val="0000CC"/>
                <w:sz w:val="19"/>
                <w:szCs w:val="19"/>
              </w:rPr>
              <w:t>13</w:t>
            </w:r>
            <w:r w:rsidRPr="00570A4A">
              <w:rPr>
                <w:b/>
                <w:bCs/>
                <w:color w:val="0000CC"/>
                <w:sz w:val="19"/>
                <w:szCs w:val="19"/>
              </w:rPr>
              <w:t>)”</w:t>
            </w:r>
          </w:p>
        </w:tc>
        <w:tc>
          <w:tcPr>
            <w:tcW w:w="2142" w:type="dxa"/>
          </w:tcPr>
          <w:p w14:paraId="740A233E" w14:textId="0FB12172" w:rsidR="00DD187D" w:rsidRPr="000818B2" w:rsidRDefault="00DD187D" w:rsidP="00DD187D">
            <w:pPr>
              <w:keepNext/>
              <w:spacing w:before="0" w:after="0"/>
              <w:ind w:right="120"/>
              <w:rPr>
                <w:rFonts w:eastAsia="Times New Roman"/>
                <w:color w:val="000000"/>
                <w:sz w:val="18"/>
                <w:szCs w:val="18"/>
                <w:highlight w:val="cyan"/>
              </w:rPr>
            </w:pPr>
            <w:r w:rsidRPr="00882F9A">
              <w:rPr>
                <w:b/>
                <w:bCs/>
                <w:color w:val="0000CC"/>
                <w:sz w:val="19"/>
                <w:szCs w:val="19"/>
              </w:rPr>
              <w:t>“CONFIDENCIAL POR LEY (1</w:t>
            </w:r>
            <w:r w:rsidR="0064641A">
              <w:rPr>
                <w:b/>
                <w:bCs/>
                <w:color w:val="0000CC"/>
                <w:sz w:val="19"/>
                <w:szCs w:val="19"/>
              </w:rPr>
              <w:t>14</w:t>
            </w:r>
            <w:r w:rsidRPr="00882F9A">
              <w:rPr>
                <w:b/>
                <w:bCs/>
                <w:color w:val="0000CC"/>
                <w:sz w:val="19"/>
                <w:szCs w:val="19"/>
              </w:rPr>
              <w:t>)”</w:t>
            </w:r>
          </w:p>
        </w:tc>
      </w:tr>
      <w:tr w:rsidR="00DD187D" w:rsidRPr="005108C5" w14:paraId="5B454883" w14:textId="77777777" w:rsidTr="00DD187D">
        <w:trPr>
          <w:trHeight w:val="20"/>
          <w:jc w:val="center"/>
        </w:trPr>
        <w:tc>
          <w:tcPr>
            <w:tcW w:w="2216" w:type="dxa"/>
            <w:shd w:val="clear" w:color="auto" w:fill="auto"/>
            <w:vAlign w:val="center"/>
          </w:tcPr>
          <w:p w14:paraId="76186D98" w14:textId="77777777" w:rsidR="00DD187D" w:rsidRPr="005108C5" w:rsidRDefault="00DD187D" w:rsidP="00DD187D">
            <w:pPr>
              <w:keepNext/>
              <w:spacing w:before="0" w:after="0"/>
              <w:rPr>
                <w:rFonts w:eastAsia="Times New Roman"/>
                <w:color w:val="000000"/>
                <w:sz w:val="18"/>
                <w:szCs w:val="18"/>
              </w:rPr>
            </w:pPr>
            <w:r w:rsidRPr="005108C5">
              <w:rPr>
                <w:rFonts w:eastAsia="Times New Roman"/>
                <w:color w:val="000000"/>
                <w:sz w:val="18"/>
                <w:szCs w:val="18"/>
              </w:rPr>
              <w:t>Capital Contable</w:t>
            </w:r>
          </w:p>
        </w:tc>
        <w:tc>
          <w:tcPr>
            <w:tcW w:w="2142" w:type="dxa"/>
          </w:tcPr>
          <w:p w14:paraId="22314B5E" w14:textId="12DEA79F" w:rsidR="00DD187D" w:rsidRPr="000818B2" w:rsidRDefault="00DD187D" w:rsidP="00DD187D">
            <w:pPr>
              <w:keepNext/>
              <w:spacing w:before="0" w:after="0"/>
              <w:ind w:right="120"/>
              <w:rPr>
                <w:rFonts w:eastAsia="Times New Roman"/>
                <w:color w:val="000000"/>
                <w:sz w:val="18"/>
                <w:szCs w:val="18"/>
                <w:highlight w:val="cyan"/>
              </w:rPr>
            </w:pPr>
            <w:r w:rsidRPr="00390B31">
              <w:rPr>
                <w:b/>
                <w:bCs/>
                <w:color w:val="0000CC"/>
                <w:sz w:val="19"/>
                <w:szCs w:val="19"/>
              </w:rPr>
              <w:t>“CONFIDENCIAL POR LEY (1</w:t>
            </w:r>
            <w:r w:rsidR="0064641A">
              <w:rPr>
                <w:b/>
                <w:bCs/>
                <w:color w:val="0000CC"/>
                <w:sz w:val="19"/>
                <w:szCs w:val="19"/>
              </w:rPr>
              <w:t>15</w:t>
            </w:r>
            <w:r w:rsidRPr="00390B31">
              <w:rPr>
                <w:b/>
                <w:bCs/>
                <w:color w:val="0000CC"/>
                <w:sz w:val="19"/>
                <w:szCs w:val="19"/>
              </w:rPr>
              <w:t>)”</w:t>
            </w:r>
          </w:p>
        </w:tc>
        <w:tc>
          <w:tcPr>
            <w:tcW w:w="2142" w:type="dxa"/>
          </w:tcPr>
          <w:p w14:paraId="58252565" w14:textId="4603EDC1" w:rsidR="00DD187D" w:rsidRPr="000818B2" w:rsidRDefault="00DD187D" w:rsidP="00DD187D">
            <w:pPr>
              <w:keepNext/>
              <w:spacing w:before="0" w:after="0"/>
              <w:ind w:right="120"/>
              <w:rPr>
                <w:rFonts w:eastAsia="Times New Roman"/>
                <w:color w:val="000000"/>
                <w:sz w:val="18"/>
                <w:szCs w:val="18"/>
                <w:highlight w:val="cyan"/>
              </w:rPr>
            </w:pPr>
            <w:r w:rsidRPr="00570A4A">
              <w:rPr>
                <w:b/>
                <w:bCs/>
                <w:color w:val="0000CC"/>
                <w:sz w:val="19"/>
                <w:szCs w:val="19"/>
              </w:rPr>
              <w:t>“CONFIDENCIAL POR LEY (1</w:t>
            </w:r>
            <w:r w:rsidR="0064641A">
              <w:rPr>
                <w:b/>
                <w:bCs/>
                <w:color w:val="0000CC"/>
                <w:sz w:val="19"/>
                <w:szCs w:val="19"/>
              </w:rPr>
              <w:t>16</w:t>
            </w:r>
            <w:r w:rsidRPr="00570A4A">
              <w:rPr>
                <w:b/>
                <w:bCs/>
                <w:color w:val="0000CC"/>
                <w:sz w:val="19"/>
                <w:szCs w:val="19"/>
              </w:rPr>
              <w:t>)”</w:t>
            </w:r>
          </w:p>
        </w:tc>
        <w:tc>
          <w:tcPr>
            <w:tcW w:w="2142" w:type="dxa"/>
          </w:tcPr>
          <w:p w14:paraId="24188223" w14:textId="2F67B9F4" w:rsidR="00DD187D" w:rsidRPr="000818B2" w:rsidRDefault="00DD187D" w:rsidP="00DD187D">
            <w:pPr>
              <w:keepNext/>
              <w:spacing w:before="0" w:after="0"/>
              <w:ind w:right="120"/>
              <w:rPr>
                <w:rFonts w:eastAsia="Times New Roman"/>
                <w:color w:val="000000"/>
                <w:sz w:val="18"/>
                <w:szCs w:val="18"/>
                <w:highlight w:val="cyan"/>
              </w:rPr>
            </w:pPr>
            <w:r w:rsidRPr="00882F9A">
              <w:rPr>
                <w:b/>
                <w:bCs/>
                <w:color w:val="0000CC"/>
                <w:sz w:val="19"/>
                <w:szCs w:val="19"/>
              </w:rPr>
              <w:t>“CONFIDENCIAL POR LEY (1</w:t>
            </w:r>
            <w:r w:rsidR="0064641A">
              <w:rPr>
                <w:b/>
                <w:bCs/>
                <w:color w:val="0000CC"/>
                <w:sz w:val="19"/>
                <w:szCs w:val="19"/>
              </w:rPr>
              <w:t>17</w:t>
            </w:r>
            <w:r w:rsidRPr="00882F9A">
              <w:rPr>
                <w:b/>
                <w:bCs/>
                <w:color w:val="0000CC"/>
                <w:sz w:val="19"/>
                <w:szCs w:val="19"/>
              </w:rPr>
              <w:t>)”</w:t>
            </w:r>
          </w:p>
        </w:tc>
      </w:tr>
      <w:tr w:rsidR="00DD187D" w:rsidRPr="005108C5" w14:paraId="0A26A502" w14:textId="77777777" w:rsidTr="00DD187D">
        <w:trPr>
          <w:trHeight w:val="20"/>
          <w:jc w:val="center"/>
        </w:trPr>
        <w:tc>
          <w:tcPr>
            <w:tcW w:w="2216" w:type="dxa"/>
            <w:shd w:val="clear" w:color="auto" w:fill="auto"/>
            <w:vAlign w:val="center"/>
            <w:hideMark/>
          </w:tcPr>
          <w:p w14:paraId="0BFBB497" w14:textId="77777777" w:rsidR="00DD187D" w:rsidRPr="005108C5" w:rsidRDefault="00DD187D" w:rsidP="00DD187D">
            <w:pPr>
              <w:keepNext/>
              <w:spacing w:before="0" w:after="0"/>
              <w:rPr>
                <w:rFonts w:eastAsia="Times New Roman"/>
                <w:color w:val="000000"/>
                <w:sz w:val="18"/>
                <w:szCs w:val="18"/>
              </w:rPr>
            </w:pPr>
            <w:r w:rsidRPr="005108C5">
              <w:rPr>
                <w:rFonts w:eastAsia="Times New Roman"/>
                <w:color w:val="000000"/>
                <w:sz w:val="18"/>
                <w:szCs w:val="18"/>
              </w:rPr>
              <w:t xml:space="preserve">Pasivo </w:t>
            </w:r>
          </w:p>
        </w:tc>
        <w:tc>
          <w:tcPr>
            <w:tcW w:w="2142" w:type="dxa"/>
          </w:tcPr>
          <w:p w14:paraId="524BC704" w14:textId="3D73EEA6" w:rsidR="00DD187D" w:rsidRPr="000818B2" w:rsidRDefault="00DD187D" w:rsidP="00DD187D">
            <w:pPr>
              <w:keepNext/>
              <w:spacing w:before="0" w:after="0"/>
              <w:ind w:right="120"/>
              <w:rPr>
                <w:rFonts w:eastAsia="Times New Roman"/>
                <w:color w:val="000000"/>
                <w:sz w:val="18"/>
                <w:szCs w:val="18"/>
                <w:highlight w:val="cyan"/>
              </w:rPr>
            </w:pPr>
            <w:r w:rsidRPr="00390B31">
              <w:rPr>
                <w:b/>
                <w:bCs/>
                <w:color w:val="0000CC"/>
                <w:sz w:val="19"/>
                <w:szCs w:val="19"/>
              </w:rPr>
              <w:t>“CONFIDENCIAL POR LEY (1</w:t>
            </w:r>
            <w:r w:rsidR="0064641A">
              <w:rPr>
                <w:b/>
                <w:bCs/>
                <w:color w:val="0000CC"/>
                <w:sz w:val="19"/>
                <w:szCs w:val="19"/>
              </w:rPr>
              <w:t>18</w:t>
            </w:r>
            <w:r w:rsidRPr="00390B31">
              <w:rPr>
                <w:b/>
                <w:bCs/>
                <w:color w:val="0000CC"/>
                <w:sz w:val="19"/>
                <w:szCs w:val="19"/>
              </w:rPr>
              <w:t>)”</w:t>
            </w:r>
          </w:p>
        </w:tc>
        <w:tc>
          <w:tcPr>
            <w:tcW w:w="2142" w:type="dxa"/>
          </w:tcPr>
          <w:p w14:paraId="401ECD34" w14:textId="12B0C486" w:rsidR="00DD187D" w:rsidRPr="000818B2" w:rsidRDefault="00DD187D" w:rsidP="00DD187D">
            <w:pPr>
              <w:keepNext/>
              <w:spacing w:before="0" w:after="0"/>
              <w:ind w:right="120"/>
              <w:rPr>
                <w:rFonts w:eastAsia="Times New Roman"/>
                <w:color w:val="000000"/>
                <w:sz w:val="18"/>
                <w:szCs w:val="18"/>
                <w:highlight w:val="cyan"/>
              </w:rPr>
            </w:pPr>
            <w:r w:rsidRPr="00570A4A">
              <w:rPr>
                <w:b/>
                <w:bCs/>
                <w:color w:val="0000CC"/>
                <w:sz w:val="19"/>
                <w:szCs w:val="19"/>
              </w:rPr>
              <w:t>“CONFIDENCIAL POR LEY (1</w:t>
            </w:r>
            <w:r w:rsidR="0064641A">
              <w:rPr>
                <w:b/>
                <w:bCs/>
                <w:color w:val="0000CC"/>
                <w:sz w:val="19"/>
                <w:szCs w:val="19"/>
              </w:rPr>
              <w:t>19</w:t>
            </w:r>
            <w:r w:rsidRPr="00570A4A">
              <w:rPr>
                <w:b/>
                <w:bCs/>
                <w:color w:val="0000CC"/>
                <w:sz w:val="19"/>
                <w:szCs w:val="19"/>
              </w:rPr>
              <w:t>)”</w:t>
            </w:r>
          </w:p>
        </w:tc>
        <w:tc>
          <w:tcPr>
            <w:tcW w:w="2142" w:type="dxa"/>
          </w:tcPr>
          <w:p w14:paraId="78B31B2E" w14:textId="57069E96" w:rsidR="00DD187D" w:rsidRPr="000818B2" w:rsidRDefault="00DD187D" w:rsidP="00DD187D">
            <w:pPr>
              <w:keepNext/>
              <w:spacing w:before="0" w:after="0"/>
              <w:ind w:right="120"/>
              <w:rPr>
                <w:rFonts w:eastAsia="Times New Roman"/>
                <w:color w:val="000000"/>
                <w:sz w:val="18"/>
                <w:szCs w:val="18"/>
                <w:highlight w:val="cyan"/>
              </w:rPr>
            </w:pPr>
            <w:r w:rsidRPr="00882F9A">
              <w:rPr>
                <w:b/>
                <w:bCs/>
                <w:color w:val="0000CC"/>
                <w:sz w:val="19"/>
                <w:szCs w:val="19"/>
              </w:rPr>
              <w:t>“CONFIDENCIAL POR LEY (1</w:t>
            </w:r>
            <w:r w:rsidR="0064641A">
              <w:rPr>
                <w:b/>
                <w:bCs/>
                <w:color w:val="0000CC"/>
                <w:sz w:val="19"/>
                <w:szCs w:val="19"/>
              </w:rPr>
              <w:t>20</w:t>
            </w:r>
            <w:r w:rsidRPr="00882F9A">
              <w:rPr>
                <w:b/>
                <w:bCs/>
                <w:color w:val="0000CC"/>
                <w:sz w:val="19"/>
                <w:szCs w:val="19"/>
              </w:rPr>
              <w:t>)”</w:t>
            </w:r>
          </w:p>
        </w:tc>
      </w:tr>
      <w:tr w:rsidR="00DD187D" w:rsidRPr="006018EA" w14:paraId="1AE13A34" w14:textId="77777777" w:rsidTr="00DD187D">
        <w:trPr>
          <w:trHeight w:val="20"/>
          <w:jc w:val="center"/>
        </w:trPr>
        <w:tc>
          <w:tcPr>
            <w:tcW w:w="2216" w:type="dxa"/>
            <w:shd w:val="clear" w:color="auto" w:fill="auto"/>
            <w:vAlign w:val="center"/>
            <w:hideMark/>
          </w:tcPr>
          <w:p w14:paraId="0794E36B" w14:textId="77777777" w:rsidR="00DD187D" w:rsidRPr="006018EA" w:rsidRDefault="00DD187D" w:rsidP="00DD187D">
            <w:pPr>
              <w:keepNext/>
              <w:spacing w:before="0" w:after="0"/>
              <w:rPr>
                <w:rFonts w:eastAsia="Times New Roman"/>
                <w:b/>
                <w:color w:val="000000"/>
                <w:sz w:val="18"/>
                <w:szCs w:val="18"/>
              </w:rPr>
            </w:pPr>
            <w:r w:rsidRPr="006018EA">
              <w:rPr>
                <w:rFonts w:eastAsia="Times New Roman"/>
                <w:b/>
                <w:color w:val="000000"/>
                <w:sz w:val="18"/>
                <w:szCs w:val="18"/>
              </w:rPr>
              <w:t>Activos</w:t>
            </w:r>
          </w:p>
        </w:tc>
        <w:tc>
          <w:tcPr>
            <w:tcW w:w="2142" w:type="dxa"/>
          </w:tcPr>
          <w:p w14:paraId="75E5415B" w14:textId="724E1F9A" w:rsidR="00DD187D" w:rsidRPr="000818B2" w:rsidRDefault="00DD187D" w:rsidP="00DD187D">
            <w:pPr>
              <w:keepNext/>
              <w:spacing w:before="0" w:after="0"/>
              <w:ind w:right="120"/>
              <w:rPr>
                <w:rFonts w:eastAsia="Times New Roman"/>
                <w:b/>
                <w:color w:val="000000"/>
                <w:sz w:val="18"/>
                <w:szCs w:val="18"/>
                <w:highlight w:val="cyan"/>
              </w:rPr>
            </w:pPr>
            <w:r w:rsidRPr="00390B31">
              <w:rPr>
                <w:b/>
                <w:bCs/>
                <w:color w:val="0000CC"/>
                <w:sz w:val="19"/>
                <w:szCs w:val="19"/>
              </w:rPr>
              <w:t>“CONFIDENCIAL POR LEY (1</w:t>
            </w:r>
            <w:r w:rsidR="0064641A">
              <w:rPr>
                <w:b/>
                <w:bCs/>
                <w:color w:val="0000CC"/>
                <w:sz w:val="19"/>
                <w:szCs w:val="19"/>
              </w:rPr>
              <w:t>21</w:t>
            </w:r>
            <w:r w:rsidRPr="00390B31">
              <w:rPr>
                <w:b/>
                <w:bCs/>
                <w:color w:val="0000CC"/>
                <w:sz w:val="19"/>
                <w:szCs w:val="19"/>
              </w:rPr>
              <w:t>)”</w:t>
            </w:r>
          </w:p>
        </w:tc>
        <w:tc>
          <w:tcPr>
            <w:tcW w:w="2142" w:type="dxa"/>
          </w:tcPr>
          <w:p w14:paraId="770936D1" w14:textId="76203A88" w:rsidR="00DD187D" w:rsidRPr="000818B2" w:rsidRDefault="00DD187D" w:rsidP="00DD187D">
            <w:pPr>
              <w:keepNext/>
              <w:spacing w:before="0" w:after="0"/>
              <w:ind w:right="120"/>
              <w:rPr>
                <w:rFonts w:eastAsia="Times New Roman"/>
                <w:b/>
                <w:color w:val="000000"/>
                <w:sz w:val="18"/>
                <w:szCs w:val="18"/>
                <w:highlight w:val="cyan"/>
              </w:rPr>
            </w:pPr>
            <w:r w:rsidRPr="00570A4A">
              <w:rPr>
                <w:b/>
                <w:bCs/>
                <w:color w:val="0000CC"/>
                <w:sz w:val="19"/>
                <w:szCs w:val="19"/>
              </w:rPr>
              <w:t>“CONFIDENCIAL POR LEY (1</w:t>
            </w:r>
            <w:r w:rsidR="0064641A">
              <w:rPr>
                <w:b/>
                <w:bCs/>
                <w:color w:val="0000CC"/>
                <w:sz w:val="19"/>
                <w:szCs w:val="19"/>
              </w:rPr>
              <w:t>22</w:t>
            </w:r>
            <w:r w:rsidRPr="00570A4A">
              <w:rPr>
                <w:b/>
                <w:bCs/>
                <w:color w:val="0000CC"/>
                <w:sz w:val="19"/>
                <w:szCs w:val="19"/>
              </w:rPr>
              <w:t>)”</w:t>
            </w:r>
          </w:p>
        </w:tc>
        <w:tc>
          <w:tcPr>
            <w:tcW w:w="2142" w:type="dxa"/>
          </w:tcPr>
          <w:p w14:paraId="3788EC62" w14:textId="12E340BC" w:rsidR="00DD187D" w:rsidRPr="000818B2" w:rsidRDefault="00DD187D" w:rsidP="00DD187D">
            <w:pPr>
              <w:keepNext/>
              <w:spacing w:before="0" w:after="0"/>
              <w:ind w:right="120"/>
              <w:rPr>
                <w:rFonts w:eastAsia="Times New Roman"/>
                <w:b/>
                <w:color w:val="000000"/>
                <w:sz w:val="18"/>
                <w:szCs w:val="18"/>
                <w:highlight w:val="cyan"/>
              </w:rPr>
            </w:pPr>
            <w:r w:rsidRPr="00882F9A">
              <w:rPr>
                <w:b/>
                <w:bCs/>
                <w:color w:val="0000CC"/>
                <w:sz w:val="19"/>
                <w:szCs w:val="19"/>
              </w:rPr>
              <w:t>“CONFIDENCIAL POR LEY (1</w:t>
            </w:r>
            <w:r w:rsidR="0064641A">
              <w:rPr>
                <w:b/>
                <w:bCs/>
                <w:color w:val="0000CC"/>
                <w:sz w:val="19"/>
                <w:szCs w:val="19"/>
              </w:rPr>
              <w:t>23</w:t>
            </w:r>
            <w:r w:rsidRPr="00882F9A">
              <w:rPr>
                <w:b/>
                <w:bCs/>
                <w:color w:val="0000CC"/>
                <w:sz w:val="19"/>
                <w:szCs w:val="19"/>
              </w:rPr>
              <w:t>)”</w:t>
            </w:r>
          </w:p>
        </w:tc>
      </w:tr>
    </w:tbl>
    <w:p w14:paraId="4D82A51F" w14:textId="6FD18578" w:rsidR="00AE5BE4" w:rsidRPr="00EF3C6C" w:rsidRDefault="00AE5BE4" w:rsidP="000E4061">
      <w:pPr>
        <w:pStyle w:val="Notaalpie"/>
        <w:ind w:left="709" w:right="708"/>
        <w:rPr>
          <w:rFonts w:eastAsia="Calibri" w:cs="Times New Roman"/>
          <w:sz w:val="16"/>
        </w:rPr>
      </w:pPr>
      <w:r w:rsidRPr="00EF3C6C">
        <w:rPr>
          <w:rFonts w:eastAsia="Calibri" w:cs="Times New Roman"/>
          <w:sz w:val="16"/>
        </w:rPr>
        <w:t>Fuente: Elaboración propia con información contenida en Foja</w:t>
      </w:r>
      <w:r w:rsidR="000E4061">
        <w:rPr>
          <w:rFonts w:eastAsia="Calibri" w:cs="Times New Roman"/>
          <w:sz w:val="16"/>
        </w:rPr>
        <w:t>s</w:t>
      </w:r>
      <w:r w:rsidR="00EF3C6C" w:rsidRPr="00EF3C6C">
        <w:rPr>
          <w:rFonts w:eastAsia="Calibri" w:cs="Times New Roman"/>
          <w:sz w:val="16"/>
        </w:rPr>
        <w:t xml:space="preserve"> 612</w:t>
      </w:r>
      <w:r w:rsidR="000E4061">
        <w:rPr>
          <w:rFonts w:eastAsia="Calibri" w:cs="Times New Roman"/>
          <w:sz w:val="16"/>
        </w:rPr>
        <w:t>,</w:t>
      </w:r>
      <w:r w:rsidRPr="00EF3C6C">
        <w:rPr>
          <w:rFonts w:eastAsia="Calibri" w:cs="Times New Roman"/>
          <w:sz w:val="16"/>
        </w:rPr>
        <w:t xml:space="preserve"> </w:t>
      </w:r>
      <w:r w:rsidR="000E4061">
        <w:rPr>
          <w:rFonts w:eastAsia="Calibri" w:cs="Times New Roman"/>
          <w:sz w:val="16"/>
        </w:rPr>
        <w:t xml:space="preserve">692-693 y 713-714 </w:t>
      </w:r>
      <w:r w:rsidRPr="00EF3C6C">
        <w:rPr>
          <w:rFonts w:eastAsia="Calibri" w:cs="Times New Roman"/>
          <w:sz w:val="16"/>
        </w:rPr>
        <w:t>del Expediente.</w:t>
      </w:r>
    </w:p>
    <w:p w14:paraId="743FE064" w14:textId="5805780E" w:rsidR="00853B03" w:rsidRPr="00EE69B0" w:rsidRDefault="00853B03" w:rsidP="00853B03">
      <w:r w:rsidRPr="00853B03">
        <w:rPr>
          <w:rFonts w:eastAsia="Times New Roman"/>
          <w:color w:val="000000"/>
          <w:lang w:val="es-MX"/>
        </w:rPr>
        <w:t>Como se mencionó anteriormente</w:t>
      </w:r>
      <w:r w:rsidRPr="00853B03">
        <w:t>,</w:t>
      </w:r>
      <w:r w:rsidR="006462D1">
        <w:t xml:space="preserve"> tras la Escisión </w:t>
      </w:r>
      <w:r w:rsidRPr="00853B03">
        <w:t xml:space="preserve">Metro Net </w:t>
      </w:r>
      <w:r w:rsidR="006462D1">
        <w:t>se mantuvo como</w:t>
      </w:r>
      <w:r w:rsidRPr="00853B03">
        <w:t xml:space="preserve"> titular de </w:t>
      </w:r>
      <w:r w:rsidR="006462D1">
        <w:t>una concesión de red pública de telecomunicaciones</w:t>
      </w:r>
      <w:r w:rsidRPr="00853B03">
        <w:t xml:space="preserve">, </w:t>
      </w:r>
      <w:r w:rsidR="006462D1">
        <w:t xml:space="preserve">cuyas principales características se presentan en el siguiente cuadro. </w:t>
      </w:r>
    </w:p>
    <w:p w14:paraId="5190459A" w14:textId="77777777" w:rsidR="009211F6" w:rsidRPr="00EE529A" w:rsidRDefault="009211F6" w:rsidP="000E4061">
      <w:pPr>
        <w:pStyle w:val="Sinespaciado"/>
        <w:keepNext/>
        <w:numPr>
          <w:ilvl w:val="0"/>
          <w:numId w:val="24"/>
        </w:numPr>
        <w:spacing w:before="120" w:after="120" w:line="276" w:lineRule="auto"/>
        <w:ind w:left="2268" w:right="48" w:hanging="1275"/>
        <w:jc w:val="both"/>
        <w:rPr>
          <w:rFonts w:ascii="ITC Avant Garde" w:hAnsi="ITC Avant Garde"/>
          <w:b/>
        </w:rPr>
      </w:pPr>
      <w:r w:rsidRPr="00EE529A">
        <w:rPr>
          <w:rFonts w:ascii="ITC Avant Garde" w:hAnsi="ITC Avant Garde"/>
          <w:b/>
        </w:rPr>
        <w:t>Concesiones, permisos o autorizaciones de Metro Net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Cuadro 9."/>
        <w:tblDescription w:val="Indica cuales son las concesiones, permisos o autorizaciones de Metro Net"/>
      </w:tblPr>
      <w:tblGrid>
        <w:gridCol w:w="567"/>
        <w:gridCol w:w="1417"/>
        <w:gridCol w:w="2080"/>
        <w:gridCol w:w="1984"/>
        <w:gridCol w:w="1744"/>
        <w:gridCol w:w="1280"/>
      </w:tblGrid>
      <w:tr w:rsidR="009211F6" w:rsidRPr="0027363F" w14:paraId="1F530F9C" w14:textId="77777777" w:rsidTr="00EF3C6C">
        <w:trPr>
          <w:trHeight w:val="20"/>
          <w:tblHeader/>
          <w:jc w:val="center"/>
        </w:trPr>
        <w:tc>
          <w:tcPr>
            <w:tcW w:w="567" w:type="dxa"/>
            <w:shd w:val="clear" w:color="auto" w:fill="92D050"/>
            <w:noWrap/>
            <w:vAlign w:val="center"/>
            <w:hideMark/>
          </w:tcPr>
          <w:p w14:paraId="26CB06BB" w14:textId="77777777" w:rsidR="009211F6" w:rsidRPr="00D06515" w:rsidRDefault="009211F6" w:rsidP="00973EC3">
            <w:pPr>
              <w:spacing w:before="0" w:after="0" w:line="240" w:lineRule="auto"/>
              <w:jc w:val="center"/>
              <w:rPr>
                <w:rFonts w:eastAsia="Times New Roman"/>
                <w:b/>
                <w:color w:val="000000"/>
                <w:sz w:val="18"/>
                <w:szCs w:val="18"/>
              </w:rPr>
            </w:pPr>
            <w:r w:rsidRPr="00D06515">
              <w:rPr>
                <w:rFonts w:eastAsia="Times New Roman"/>
                <w:b/>
                <w:color w:val="000000"/>
                <w:sz w:val="18"/>
                <w:szCs w:val="18"/>
              </w:rPr>
              <w:t>No.</w:t>
            </w:r>
          </w:p>
        </w:tc>
        <w:tc>
          <w:tcPr>
            <w:tcW w:w="1417" w:type="dxa"/>
            <w:shd w:val="clear" w:color="auto" w:fill="92D050"/>
            <w:noWrap/>
            <w:vAlign w:val="center"/>
            <w:hideMark/>
          </w:tcPr>
          <w:p w14:paraId="55CDE8FB" w14:textId="77777777" w:rsidR="009211F6" w:rsidRPr="00D06515" w:rsidRDefault="009211F6" w:rsidP="00973EC3">
            <w:pPr>
              <w:spacing w:before="0" w:after="0" w:line="240" w:lineRule="auto"/>
              <w:jc w:val="center"/>
              <w:rPr>
                <w:rFonts w:eastAsia="Times New Roman"/>
                <w:b/>
                <w:color w:val="000000"/>
                <w:sz w:val="18"/>
                <w:szCs w:val="18"/>
              </w:rPr>
            </w:pPr>
            <w:r w:rsidRPr="00D06515">
              <w:rPr>
                <w:rFonts w:eastAsia="Times New Roman"/>
                <w:b/>
                <w:color w:val="000000"/>
                <w:sz w:val="18"/>
                <w:szCs w:val="18"/>
              </w:rPr>
              <w:t>Folio electrónico</w:t>
            </w:r>
          </w:p>
        </w:tc>
        <w:tc>
          <w:tcPr>
            <w:tcW w:w="2080" w:type="dxa"/>
            <w:shd w:val="clear" w:color="auto" w:fill="92D050"/>
            <w:vAlign w:val="center"/>
          </w:tcPr>
          <w:p w14:paraId="576FD619" w14:textId="77777777" w:rsidR="009211F6" w:rsidRDefault="009211F6" w:rsidP="00973EC3">
            <w:pPr>
              <w:spacing w:before="0" w:after="0" w:line="240" w:lineRule="auto"/>
              <w:ind w:right="-1"/>
              <w:jc w:val="center"/>
              <w:rPr>
                <w:b/>
                <w:sz w:val="18"/>
                <w:szCs w:val="18"/>
              </w:rPr>
            </w:pPr>
            <w:r w:rsidRPr="00D06515">
              <w:rPr>
                <w:b/>
                <w:sz w:val="18"/>
                <w:szCs w:val="18"/>
              </w:rPr>
              <w:t>Concesión/</w:t>
            </w:r>
          </w:p>
          <w:p w14:paraId="78757304" w14:textId="77777777" w:rsidR="009211F6" w:rsidRDefault="009211F6" w:rsidP="009211F6">
            <w:pPr>
              <w:spacing w:before="0" w:after="0" w:line="240" w:lineRule="auto"/>
              <w:ind w:right="-1"/>
              <w:jc w:val="center"/>
              <w:rPr>
                <w:b/>
                <w:sz w:val="18"/>
                <w:szCs w:val="18"/>
              </w:rPr>
            </w:pPr>
            <w:r>
              <w:rPr>
                <w:b/>
                <w:sz w:val="18"/>
                <w:szCs w:val="18"/>
              </w:rPr>
              <w:t>A</w:t>
            </w:r>
            <w:r w:rsidRPr="00D06515">
              <w:rPr>
                <w:b/>
                <w:sz w:val="18"/>
                <w:szCs w:val="18"/>
              </w:rPr>
              <w:t>utorización/</w:t>
            </w:r>
          </w:p>
          <w:p w14:paraId="4CCA5CE9" w14:textId="77777777" w:rsidR="009211F6" w:rsidRPr="00D06515" w:rsidRDefault="009211F6" w:rsidP="009211F6">
            <w:pPr>
              <w:spacing w:before="0" w:after="0" w:line="240" w:lineRule="auto"/>
              <w:ind w:right="-1"/>
              <w:jc w:val="center"/>
              <w:rPr>
                <w:rFonts w:eastAsia="Times New Roman"/>
                <w:b/>
                <w:bCs/>
                <w:color w:val="000000"/>
                <w:sz w:val="18"/>
                <w:szCs w:val="18"/>
              </w:rPr>
            </w:pPr>
            <w:r w:rsidRPr="00D06515">
              <w:rPr>
                <w:b/>
                <w:sz w:val="18"/>
                <w:szCs w:val="18"/>
              </w:rPr>
              <w:t>Permiso</w:t>
            </w:r>
          </w:p>
        </w:tc>
        <w:tc>
          <w:tcPr>
            <w:tcW w:w="1984" w:type="dxa"/>
            <w:shd w:val="clear" w:color="auto" w:fill="92D050"/>
            <w:vAlign w:val="center"/>
            <w:hideMark/>
          </w:tcPr>
          <w:p w14:paraId="0A5B253F" w14:textId="77777777" w:rsidR="009211F6" w:rsidRPr="00D06515" w:rsidRDefault="009211F6" w:rsidP="00973EC3">
            <w:pPr>
              <w:spacing w:before="0" w:after="0" w:line="240" w:lineRule="auto"/>
              <w:jc w:val="center"/>
              <w:rPr>
                <w:rFonts w:eastAsia="Times New Roman"/>
                <w:b/>
                <w:bCs/>
                <w:color w:val="000000"/>
                <w:sz w:val="18"/>
                <w:szCs w:val="18"/>
              </w:rPr>
            </w:pPr>
            <w:r w:rsidRPr="00D06515">
              <w:rPr>
                <w:rFonts w:eastAsia="Times New Roman"/>
                <w:b/>
                <w:bCs/>
                <w:color w:val="000000"/>
                <w:sz w:val="18"/>
                <w:szCs w:val="18"/>
              </w:rPr>
              <w:t>Cobertura</w:t>
            </w:r>
          </w:p>
        </w:tc>
        <w:tc>
          <w:tcPr>
            <w:tcW w:w="1744" w:type="dxa"/>
            <w:shd w:val="clear" w:color="auto" w:fill="92D050"/>
            <w:vAlign w:val="center"/>
            <w:hideMark/>
          </w:tcPr>
          <w:p w14:paraId="65B0AA1E" w14:textId="77777777" w:rsidR="009211F6" w:rsidRPr="00D06515" w:rsidRDefault="009211F6" w:rsidP="00973EC3">
            <w:pPr>
              <w:spacing w:before="0" w:after="0" w:line="240" w:lineRule="auto"/>
              <w:jc w:val="center"/>
              <w:rPr>
                <w:rFonts w:eastAsia="Times New Roman"/>
                <w:b/>
                <w:bCs/>
                <w:color w:val="000000"/>
                <w:sz w:val="18"/>
                <w:szCs w:val="18"/>
              </w:rPr>
            </w:pPr>
            <w:r w:rsidRPr="00D06515">
              <w:rPr>
                <w:rFonts w:eastAsia="Times New Roman"/>
                <w:b/>
                <w:bCs/>
                <w:color w:val="000000"/>
                <w:sz w:val="18"/>
                <w:szCs w:val="18"/>
              </w:rPr>
              <w:t>Servicios autorizados</w:t>
            </w:r>
          </w:p>
        </w:tc>
        <w:tc>
          <w:tcPr>
            <w:tcW w:w="1280" w:type="dxa"/>
            <w:shd w:val="clear" w:color="auto" w:fill="92D050"/>
            <w:vAlign w:val="center"/>
          </w:tcPr>
          <w:p w14:paraId="457B1EA2" w14:textId="77777777" w:rsidR="009211F6" w:rsidRPr="0027363F" w:rsidRDefault="009211F6" w:rsidP="00973EC3">
            <w:pPr>
              <w:spacing w:before="0" w:after="0" w:line="240" w:lineRule="auto"/>
              <w:jc w:val="center"/>
              <w:rPr>
                <w:rFonts w:eastAsia="Times New Roman"/>
                <w:b/>
                <w:bCs/>
                <w:color w:val="000000"/>
                <w:sz w:val="18"/>
                <w:szCs w:val="18"/>
              </w:rPr>
            </w:pPr>
            <w:r w:rsidRPr="00D06515">
              <w:rPr>
                <w:rFonts w:eastAsia="Times New Roman"/>
                <w:b/>
                <w:bCs/>
                <w:color w:val="000000"/>
                <w:sz w:val="18"/>
                <w:szCs w:val="18"/>
              </w:rPr>
              <w:t>Vigencia</w:t>
            </w:r>
          </w:p>
        </w:tc>
      </w:tr>
      <w:tr w:rsidR="009211F6" w:rsidRPr="0027363F" w14:paraId="656E0AE0" w14:textId="77777777" w:rsidTr="00EF3C6C">
        <w:trPr>
          <w:trHeight w:val="20"/>
          <w:jc w:val="center"/>
        </w:trPr>
        <w:tc>
          <w:tcPr>
            <w:tcW w:w="567" w:type="dxa"/>
            <w:shd w:val="clear" w:color="auto" w:fill="auto"/>
            <w:noWrap/>
            <w:vAlign w:val="center"/>
            <w:hideMark/>
          </w:tcPr>
          <w:p w14:paraId="508A9695" w14:textId="77777777" w:rsidR="009211F6" w:rsidRPr="0027363F" w:rsidRDefault="009211F6" w:rsidP="00973EC3">
            <w:pPr>
              <w:spacing w:before="0" w:after="0" w:line="240" w:lineRule="auto"/>
              <w:jc w:val="center"/>
              <w:rPr>
                <w:rFonts w:eastAsia="Times New Roman"/>
                <w:color w:val="000000"/>
                <w:sz w:val="18"/>
                <w:szCs w:val="18"/>
              </w:rPr>
            </w:pPr>
            <w:r w:rsidRPr="0027363F">
              <w:rPr>
                <w:rFonts w:eastAsia="Times New Roman"/>
                <w:color w:val="000000"/>
                <w:sz w:val="18"/>
                <w:szCs w:val="18"/>
              </w:rPr>
              <w:t>1</w:t>
            </w:r>
          </w:p>
        </w:tc>
        <w:tc>
          <w:tcPr>
            <w:tcW w:w="1417" w:type="dxa"/>
            <w:shd w:val="clear" w:color="auto" w:fill="auto"/>
            <w:noWrap/>
            <w:vAlign w:val="center"/>
            <w:hideMark/>
          </w:tcPr>
          <w:p w14:paraId="6FBFB3D5" w14:textId="77777777" w:rsidR="009211F6" w:rsidRPr="0027363F" w:rsidRDefault="009211F6" w:rsidP="00973EC3">
            <w:pPr>
              <w:spacing w:before="0" w:after="0" w:line="240" w:lineRule="auto"/>
              <w:jc w:val="left"/>
              <w:rPr>
                <w:rFonts w:eastAsia="Times New Roman"/>
                <w:color w:val="000000"/>
                <w:sz w:val="18"/>
                <w:szCs w:val="18"/>
              </w:rPr>
            </w:pPr>
            <w:r w:rsidRPr="0027363F">
              <w:rPr>
                <w:rFonts w:eastAsia="Times New Roman"/>
                <w:color w:val="000000"/>
                <w:sz w:val="18"/>
                <w:szCs w:val="18"/>
              </w:rPr>
              <w:t>FET096234AU-516764</w:t>
            </w:r>
          </w:p>
        </w:tc>
        <w:tc>
          <w:tcPr>
            <w:tcW w:w="2080" w:type="dxa"/>
            <w:vAlign w:val="center"/>
          </w:tcPr>
          <w:p w14:paraId="2862ED30" w14:textId="77777777" w:rsidR="009211F6" w:rsidRPr="00CE2B2E" w:rsidRDefault="009211F6" w:rsidP="00973EC3">
            <w:pPr>
              <w:spacing w:before="0" w:after="0" w:line="240" w:lineRule="auto"/>
              <w:jc w:val="center"/>
              <w:rPr>
                <w:rFonts w:eastAsia="Times New Roman"/>
                <w:color w:val="000000"/>
                <w:sz w:val="18"/>
                <w:szCs w:val="18"/>
              </w:rPr>
            </w:pPr>
            <w:r w:rsidRPr="00CE2B2E">
              <w:rPr>
                <w:rFonts w:eastAsia="Times New Roman"/>
                <w:color w:val="000000"/>
                <w:sz w:val="18"/>
                <w:szCs w:val="18"/>
              </w:rPr>
              <w:t>Concesión de red pública de telecomunicaciones</w:t>
            </w:r>
            <w:r w:rsidR="00DE6D0E" w:rsidRPr="00CE2B2E">
              <w:rPr>
                <w:rFonts w:eastAsia="Times New Roman"/>
                <w:color w:val="000000"/>
                <w:sz w:val="18"/>
                <w:szCs w:val="18"/>
                <w:vertAlign w:val="superscript"/>
                <w:lang w:val="es-MX"/>
              </w:rPr>
              <w:footnoteReference w:id="20"/>
            </w:r>
          </w:p>
        </w:tc>
        <w:tc>
          <w:tcPr>
            <w:tcW w:w="1984" w:type="dxa"/>
            <w:shd w:val="clear" w:color="auto" w:fill="auto"/>
            <w:noWrap/>
            <w:vAlign w:val="center"/>
            <w:hideMark/>
          </w:tcPr>
          <w:p w14:paraId="7632192F" w14:textId="77777777" w:rsidR="009211F6" w:rsidRPr="0027363F" w:rsidRDefault="009211F6" w:rsidP="00973EC3">
            <w:pPr>
              <w:spacing w:before="0" w:after="0" w:line="240" w:lineRule="auto"/>
              <w:jc w:val="center"/>
              <w:rPr>
                <w:rFonts w:eastAsia="Times New Roman"/>
                <w:color w:val="000000"/>
                <w:sz w:val="18"/>
                <w:szCs w:val="18"/>
              </w:rPr>
            </w:pPr>
            <w:r>
              <w:rPr>
                <w:rFonts w:eastAsia="Times New Roman"/>
                <w:color w:val="000000"/>
                <w:sz w:val="18"/>
                <w:szCs w:val="18"/>
              </w:rPr>
              <w:t>Poblaciones en estados de México, Jalisco, Nuevo León, Baja California, Querétaro, Guanajuato, Aguascalientes y Ciudad de México</w:t>
            </w:r>
          </w:p>
        </w:tc>
        <w:tc>
          <w:tcPr>
            <w:tcW w:w="1744" w:type="dxa"/>
            <w:shd w:val="clear" w:color="auto" w:fill="auto"/>
            <w:noWrap/>
            <w:vAlign w:val="center"/>
            <w:hideMark/>
          </w:tcPr>
          <w:p w14:paraId="7AFD1C9A" w14:textId="77777777" w:rsidR="009211F6" w:rsidRPr="0027363F" w:rsidRDefault="009211F6" w:rsidP="00CE2B2E">
            <w:pPr>
              <w:spacing w:before="0" w:after="0" w:line="240" w:lineRule="auto"/>
              <w:jc w:val="center"/>
              <w:rPr>
                <w:rFonts w:eastAsia="Times New Roman"/>
                <w:color w:val="000000"/>
                <w:sz w:val="18"/>
                <w:szCs w:val="18"/>
              </w:rPr>
            </w:pPr>
            <w:r>
              <w:rPr>
                <w:rFonts w:eastAsia="Times New Roman"/>
                <w:color w:val="000000"/>
                <w:sz w:val="18"/>
                <w:szCs w:val="18"/>
              </w:rPr>
              <w:t>Acceso a Internet, Enlaces dedicados y</w:t>
            </w:r>
          </w:p>
          <w:p w14:paraId="5B3F3BF3" w14:textId="77777777" w:rsidR="009211F6" w:rsidRPr="0027363F" w:rsidRDefault="009211F6" w:rsidP="00CE2B2E">
            <w:pPr>
              <w:spacing w:before="0" w:after="0" w:line="240" w:lineRule="auto"/>
              <w:jc w:val="center"/>
              <w:rPr>
                <w:rFonts w:eastAsia="Times New Roman"/>
                <w:color w:val="000000"/>
                <w:sz w:val="18"/>
                <w:szCs w:val="18"/>
              </w:rPr>
            </w:pPr>
            <w:r w:rsidRPr="0027363F">
              <w:rPr>
                <w:rFonts w:eastAsia="Times New Roman"/>
                <w:color w:val="000000"/>
                <w:sz w:val="18"/>
                <w:szCs w:val="18"/>
              </w:rPr>
              <w:t>Transmisión de datos</w:t>
            </w:r>
          </w:p>
        </w:tc>
        <w:tc>
          <w:tcPr>
            <w:tcW w:w="1280" w:type="dxa"/>
            <w:vAlign w:val="center"/>
          </w:tcPr>
          <w:p w14:paraId="23EBCACC" w14:textId="77777777" w:rsidR="009211F6" w:rsidRPr="0027363F" w:rsidRDefault="009211F6" w:rsidP="00973EC3">
            <w:pPr>
              <w:spacing w:before="0" w:after="0" w:line="240" w:lineRule="auto"/>
              <w:jc w:val="center"/>
              <w:rPr>
                <w:rFonts w:eastAsia="Times New Roman"/>
                <w:color w:val="000000"/>
                <w:sz w:val="18"/>
                <w:szCs w:val="18"/>
              </w:rPr>
            </w:pPr>
            <w:r>
              <w:rPr>
                <w:rFonts w:eastAsia="Times New Roman"/>
                <w:color w:val="000000"/>
                <w:sz w:val="18"/>
                <w:szCs w:val="18"/>
              </w:rPr>
              <w:t>05</w:t>
            </w:r>
            <w:r w:rsidRPr="0027363F">
              <w:rPr>
                <w:rFonts w:eastAsia="Times New Roman"/>
                <w:color w:val="000000"/>
                <w:sz w:val="18"/>
                <w:szCs w:val="18"/>
              </w:rPr>
              <w:t>-</w:t>
            </w:r>
            <w:r>
              <w:rPr>
                <w:rFonts w:eastAsia="Times New Roman"/>
                <w:color w:val="000000"/>
                <w:sz w:val="18"/>
                <w:szCs w:val="18"/>
              </w:rPr>
              <w:t>07</w:t>
            </w:r>
            <w:r w:rsidRPr="0027363F">
              <w:rPr>
                <w:rFonts w:eastAsia="Times New Roman"/>
                <w:color w:val="000000"/>
                <w:sz w:val="18"/>
                <w:szCs w:val="18"/>
              </w:rPr>
              <w:t>-</w:t>
            </w:r>
            <w:r>
              <w:rPr>
                <w:rFonts w:eastAsia="Times New Roman"/>
                <w:color w:val="000000"/>
                <w:sz w:val="18"/>
                <w:szCs w:val="18"/>
              </w:rPr>
              <w:t>1997</w:t>
            </w:r>
          </w:p>
          <w:p w14:paraId="27CFAEB5" w14:textId="77777777" w:rsidR="009211F6" w:rsidRPr="0027363F" w:rsidRDefault="009211F6" w:rsidP="009211F6">
            <w:pPr>
              <w:spacing w:before="0" w:after="0" w:line="240" w:lineRule="auto"/>
              <w:jc w:val="center"/>
              <w:rPr>
                <w:rFonts w:eastAsia="Times New Roman"/>
                <w:color w:val="000000"/>
                <w:sz w:val="18"/>
                <w:szCs w:val="18"/>
              </w:rPr>
            </w:pPr>
            <w:r>
              <w:rPr>
                <w:rFonts w:eastAsia="Times New Roman"/>
                <w:color w:val="000000"/>
                <w:sz w:val="18"/>
                <w:szCs w:val="18"/>
              </w:rPr>
              <w:t>05</w:t>
            </w:r>
            <w:r w:rsidRPr="0027363F">
              <w:rPr>
                <w:rFonts w:eastAsia="Times New Roman"/>
                <w:color w:val="000000"/>
                <w:sz w:val="18"/>
                <w:szCs w:val="18"/>
              </w:rPr>
              <w:t>-</w:t>
            </w:r>
            <w:r>
              <w:rPr>
                <w:rFonts w:eastAsia="Times New Roman"/>
                <w:color w:val="000000"/>
                <w:sz w:val="18"/>
                <w:szCs w:val="18"/>
              </w:rPr>
              <w:t>07</w:t>
            </w:r>
            <w:r w:rsidRPr="0027363F">
              <w:rPr>
                <w:rFonts w:eastAsia="Times New Roman"/>
                <w:color w:val="000000"/>
                <w:sz w:val="18"/>
                <w:szCs w:val="18"/>
              </w:rPr>
              <w:t>-2027</w:t>
            </w:r>
          </w:p>
        </w:tc>
      </w:tr>
    </w:tbl>
    <w:p w14:paraId="49A42B43" w14:textId="77777777" w:rsidR="009211F6" w:rsidRPr="0027363F" w:rsidRDefault="009211F6" w:rsidP="009211F6">
      <w:pPr>
        <w:pStyle w:val="Notaalpie"/>
        <w:ind w:left="567" w:right="708"/>
        <w:rPr>
          <w:rFonts w:eastAsia="Calibri" w:cs="Times New Roman"/>
          <w:sz w:val="16"/>
        </w:rPr>
      </w:pPr>
      <w:r w:rsidRPr="0027363F">
        <w:rPr>
          <w:rFonts w:eastAsia="Calibri" w:cs="Times New Roman"/>
          <w:sz w:val="16"/>
        </w:rPr>
        <w:t>Fuente: Elaboración propia con i</w:t>
      </w:r>
      <w:r w:rsidRPr="00C1349E">
        <w:rPr>
          <w:rFonts w:eastAsia="Calibri" w:cs="Times New Roman"/>
          <w:sz w:val="16"/>
        </w:rPr>
        <w:t xml:space="preserve">nformación contenida en Fojas </w:t>
      </w:r>
      <w:r w:rsidR="00C1349E" w:rsidRPr="00C1349E">
        <w:rPr>
          <w:rFonts w:eastAsia="Calibri" w:cs="Times New Roman"/>
          <w:sz w:val="16"/>
        </w:rPr>
        <w:t>255-264</w:t>
      </w:r>
      <w:r w:rsidRPr="00C1349E">
        <w:rPr>
          <w:rFonts w:eastAsia="Calibri" w:cs="Times New Roman"/>
          <w:sz w:val="16"/>
        </w:rPr>
        <w:t xml:space="preserve"> del Expediente y del Registro Público de Concesiones del Instituto.</w:t>
      </w:r>
    </w:p>
    <w:p w14:paraId="70B96636" w14:textId="3FF725BB" w:rsidR="00D9045C" w:rsidRPr="00D9045C" w:rsidRDefault="009A5797" w:rsidP="001C6B1E">
      <w:pPr>
        <w:pStyle w:val="Prrafodelista"/>
        <w:spacing w:after="120" w:line="276" w:lineRule="auto"/>
        <w:ind w:left="0"/>
        <w:contextualSpacing w:val="0"/>
        <w:rPr>
          <w:rFonts w:eastAsia="Times New Roman"/>
          <w:color w:val="000000"/>
          <w:lang w:val="es-MX"/>
        </w:rPr>
      </w:pPr>
      <w:r w:rsidRPr="00D9045C">
        <w:rPr>
          <w:rFonts w:eastAsia="Times New Roman"/>
          <w:color w:val="000000"/>
          <w:lang w:val="es-MX"/>
        </w:rPr>
        <w:t xml:space="preserve">Las Partes señalaron que Metro Net </w:t>
      </w:r>
      <w:r w:rsidR="00CE2B2E" w:rsidRPr="00D9045C">
        <w:rPr>
          <w:rFonts w:eastAsia="Times New Roman"/>
          <w:color w:val="000000"/>
          <w:lang w:val="es-MX"/>
        </w:rPr>
        <w:t xml:space="preserve">mantiene </w:t>
      </w:r>
      <w:r w:rsidR="00DD187D" w:rsidRPr="00E63FC2">
        <w:rPr>
          <w:b/>
          <w:bCs/>
          <w:color w:val="0000CC"/>
          <w:sz w:val="19"/>
          <w:szCs w:val="19"/>
        </w:rPr>
        <w:t>“CONFIDENCIAL POR LEY (1</w:t>
      </w:r>
      <w:r w:rsidR="0064641A">
        <w:rPr>
          <w:b/>
          <w:bCs/>
          <w:color w:val="0000CC"/>
          <w:sz w:val="19"/>
          <w:szCs w:val="19"/>
        </w:rPr>
        <w:t>24</w:t>
      </w:r>
      <w:r w:rsidR="00DD187D" w:rsidRPr="00E63FC2">
        <w:rPr>
          <w:b/>
          <w:bCs/>
          <w:color w:val="0000CC"/>
          <w:sz w:val="19"/>
          <w:szCs w:val="19"/>
        </w:rPr>
        <w:t>)”</w:t>
      </w:r>
      <w:r w:rsidR="00CE2B2E" w:rsidRPr="00D9045C">
        <w:rPr>
          <w:rFonts w:eastAsia="Times New Roman"/>
          <w:color w:val="000000"/>
          <w:lang w:val="es-MX"/>
        </w:rPr>
        <w:t xml:space="preserve"> usuarios finales</w:t>
      </w:r>
      <w:r w:rsidR="00D9045C">
        <w:rPr>
          <w:rFonts w:eastAsia="Times New Roman"/>
          <w:color w:val="000000"/>
          <w:lang w:val="es-MX"/>
        </w:rPr>
        <w:t xml:space="preserve">: </w:t>
      </w:r>
      <w:r w:rsidR="00DD187D" w:rsidRPr="00E63FC2">
        <w:rPr>
          <w:b/>
          <w:bCs/>
          <w:color w:val="0000CC"/>
          <w:sz w:val="19"/>
          <w:szCs w:val="19"/>
        </w:rPr>
        <w:t>“CONFIDENCIAL POR LEY (1</w:t>
      </w:r>
      <w:r w:rsidR="0064641A">
        <w:rPr>
          <w:b/>
          <w:bCs/>
          <w:color w:val="0000CC"/>
          <w:sz w:val="19"/>
          <w:szCs w:val="19"/>
        </w:rPr>
        <w:t>25</w:t>
      </w:r>
      <w:r w:rsidR="00DD187D" w:rsidRPr="00E63FC2">
        <w:rPr>
          <w:b/>
          <w:bCs/>
          <w:color w:val="0000CC"/>
          <w:sz w:val="19"/>
          <w:szCs w:val="19"/>
        </w:rPr>
        <w:t>)”</w:t>
      </w:r>
      <w:r w:rsidR="00CE2B2E" w:rsidRPr="00D9045C">
        <w:rPr>
          <w:rFonts w:eastAsia="Times New Roman"/>
          <w:color w:val="000000"/>
          <w:lang w:val="es-MX"/>
        </w:rPr>
        <w:t xml:space="preserve">, con quienes tiene contratos celebrados con vigencia de </w:t>
      </w:r>
      <w:r w:rsidR="00DD187D" w:rsidRPr="00E63FC2">
        <w:rPr>
          <w:b/>
          <w:bCs/>
          <w:color w:val="0000CC"/>
          <w:sz w:val="19"/>
          <w:szCs w:val="19"/>
        </w:rPr>
        <w:t>“CONFIDENCIAL POR LEY (1</w:t>
      </w:r>
      <w:r w:rsidR="0064641A">
        <w:rPr>
          <w:b/>
          <w:bCs/>
          <w:color w:val="0000CC"/>
          <w:sz w:val="19"/>
          <w:szCs w:val="19"/>
        </w:rPr>
        <w:t>26</w:t>
      </w:r>
      <w:r w:rsidR="00DD187D" w:rsidRPr="00E63FC2">
        <w:rPr>
          <w:b/>
          <w:bCs/>
          <w:color w:val="0000CC"/>
          <w:sz w:val="19"/>
          <w:szCs w:val="19"/>
        </w:rPr>
        <w:t>)”</w:t>
      </w:r>
      <w:r w:rsidR="00CE2B2E" w:rsidRPr="00D9045C">
        <w:rPr>
          <w:rFonts w:eastAsia="Times New Roman"/>
          <w:color w:val="000000"/>
          <w:lang w:val="es-MX"/>
        </w:rPr>
        <w:t xml:space="preserve"> contados a partir del </w:t>
      </w:r>
      <w:r w:rsidR="00DD187D" w:rsidRPr="00E63FC2">
        <w:rPr>
          <w:b/>
          <w:bCs/>
          <w:color w:val="0000CC"/>
          <w:sz w:val="19"/>
          <w:szCs w:val="19"/>
        </w:rPr>
        <w:t>“CONFIDENCIAL POR LEY (1</w:t>
      </w:r>
      <w:r w:rsidR="0064641A">
        <w:rPr>
          <w:b/>
          <w:bCs/>
          <w:color w:val="0000CC"/>
          <w:sz w:val="19"/>
          <w:szCs w:val="19"/>
        </w:rPr>
        <w:t>27</w:t>
      </w:r>
      <w:r w:rsidR="00DD187D" w:rsidRPr="00E63FC2">
        <w:rPr>
          <w:b/>
          <w:bCs/>
          <w:color w:val="0000CC"/>
          <w:sz w:val="19"/>
          <w:szCs w:val="19"/>
        </w:rPr>
        <w:t>)”</w:t>
      </w:r>
      <w:r w:rsidR="00D9045C" w:rsidRPr="00D9045C">
        <w:rPr>
          <w:rFonts w:eastAsia="Times New Roman"/>
          <w:color w:val="000000"/>
          <w:lang w:val="es-MX"/>
        </w:rPr>
        <w:t>.</w:t>
      </w:r>
      <w:r w:rsidR="00D9045C" w:rsidRPr="005862AB">
        <w:rPr>
          <w:rFonts w:eastAsia="Times New Roman"/>
          <w:color w:val="000000"/>
          <w:vertAlign w:val="superscript"/>
          <w:lang w:val="es-MX"/>
        </w:rPr>
        <w:footnoteReference w:id="21"/>
      </w:r>
    </w:p>
    <w:p w14:paraId="139316FD" w14:textId="77777777" w:rsidR="00125707" w:rsidRPr="004B1E7C" w:rsidRDefault="00DB2173" w:rsidP="004B1E7C">
      <w:pPr>
        <w:rPr>
          <w:b/>
        </w:rPr>
      </w:pPr>
      <w:bookmarkStart w:id="26" w:name="_Toc511061408"/>
      <w:r w:rsidRPr="004B1E7C">
        <w:rPr>
          <w:b/>
        </w:rPr>
        <w:t xml:space="preserve">4.1.4. </w:t>
      </w:r>
      <w:r w:rsidR="00125707" w:rsidRPr="004B1E7C">
        <w:rPr>
          <w:b/>
        </w:rPr>
        <w:t xml:space="preserve">GIE </w:t>
      </w:r>
      <w:r w:rsidR="00B17419" w:rsidRPr="004B1E7C">
        <w:rPr>
          <w:b/>
        </w:rPr>
        <w:t>al que pertenecen los Vendedores</w:t>
      </w:r>
      <w:bookmarkEnd w:id="26"/>
    </w:p>
    <w:p w14:paraId="0CE594A5" w14:textId="77777777" w:rsidR="00327869" w:rsidRPr="001C6B1E" w:rsidRDefault="00327869" w:rsidP="001C6B1E">
      <w:pPr>
        <w:pStyle w:val="Prrafodelista"/>
        <w:spacing w:after="120" w:line="276" w:lineRule="auto"/>
        <w:ind w:left="0"/>
        <w:contextualSpacing w:val="0"/>
        <w:rPr>
          <w:rFonts w:eastAsia="Times New Roman"/>
          <w:color w:val="000000"/>
          <w:highlight w:val="yellow"/>
          <w:lang w:val="es-MX"/>
        </w:rPr>
      </w:pPr>
      <w:r w:rsidRPr="00AD0262">
        <w:rPr>
          <w:rFonts w:eastAsia="Times New Roman"/>
          <w:color w:val="000000"/>
          <w:lang w:val="es-MX"/>
        </w:rPr>
        <w:t xml:space="preserve">En virtud de las relaciones </w:t>
      </w:r>
      <w:r w:rsidRPr="00831174">
        <w:rPr>
          <w:rFonts w:eastAsia="Times New Roman"/>
          <w:color w:val="000000"/>
          <w:lang w:val="es-MX"/>
        </w:rPr>
        <w:t xml:space="preserve">patrimoniales y corporativas descritas en los numerales </w:t>
      </w:r>
      <w:r w:rsidR="00AD0262" w:rsidRPr="00831174">
        <w:rPr>
          <w:rFonts w:eastAsia="Times New Roman"/>
          <w:color w:val="000000"/>
          <w:lang w:val="es-MX"/>
        </w:rPr>
        <w:t>4.1.1., 4.1.2. y 4.1.3</w:t>
      </w:r>
      <w:r w:rsidR="00831174">
        <w:rPr>
          <w:rFonts w:eastAsia="Times New Roman"/>
          <w:color w:val="000000"/>
          <w:lang w:val="es-MX"/>
        </w:rPr>
        <w:t>.</w:t>
      </w:r>
      <w:r w:rsidR="00AD0262" w:rsidRPr="00831174">
        <w:rPr>
          <w:rFonts w:eastAsia="Times New Roman"/>
          <w:color w:val="000000"/>
          <w:lang w:val="es-MX"/>
        </w:rPr>
        <w:t xml:space="preserve"> </w:t>
      </w:r>
      <w:r w:rsidRPr="00831174">
        <w:rPr>
          <w:rFonts w:eastAsia="Times New Roman"/>
          <w:color w:val="000000"/>
          <w:lang w:val="es-MX"/>
        </w:rPr>
        <w:t>de esta resoluci</w:t>
      </w:r>
      <w:r w:rsidRPr="00AD0262">
        <w:rPr>
          <w:rFonts w:eastAsia="Times New Roman"/>
          <w:color w:val="000000"/>
          <w:lang w:val="es-MX"/>
        </w:rPr>
        <w:t xml:space="preserve">ón, se identifica que </w:t>
      </w:r>
      <w:r w:rsidR="00AD0262" w:rsidRPr="00AD0262">
        <w:rPr>
          <w:rFonts w:eastAsia="Times New Roman"/>
          <w:color w:val="000000"/>
          <w:lang w:val="es-MX"/>
        </w:rPr>
        <w:t xml:space="preserve">los Vendedores forman </w:t>
      </w:r>
      <w:r w:rsidRPr="00AD0262">
        <w:rPr>
          <w:rFonts w:eastAsia="Times New Roman"/>
          <w:color w:val="000000"/>
          <w:lang w:val="es-MX"/>
        </w:rPr>
        <w:t xml:space="preserve">parte de un </w:t>
      </w:r>
      <w:r w:rsidRPr="00AD0262">
        <w:rPr>
          <w:rFonts w:eastAsia="Times New Roman"/>
          <w:color w:val="000000"/>
          <w:lang w:val="es-MX"/>
        </w:rPr>
        <w:lastRenderedPageBreak/>
        <w:t xml:space="preserve">conjunto de empresas que conforman un GIE controlado en última instancia por la </w:t>
      </w:r>
      <w:r w:rsidR="00AD0262" w:rsidRPr="008523DB">
        <w:rPr>
          <w:rFonts w:eastAsia="Times New Roman"/>
          <w:b/>
          <w:color w:val="000000"/>
          <w:lang w:val="es-MX"/>
        </w:rPr>
        <w:t>f</w:t>
      </w:r>
      <w:r w:rsidRPr="008523DB">
        <w:rPr>
          <w:rFonts w:eastAsia="Times New Roman"/>
          <w:b/>
          <w:color w:val="000000"/>
          <w:lang w:val="es-MX"/>
        </w:rPr>
        <w:t xml:space="preserve">amilia </w:t>
      </w:r>
      <w:proofErr w:type="spellStart"/>
      <w:r w:rsidR="00AD0262" w:rsidRPr="008523DB">
        <w:rPr>
          <w:rFonts w:eastAsia="Times New Roman"/>
          <w:b/>
          <w:color w:val="000000"/>
          <w:lang w:val="es-MX"/>
        </w:rPr>
        <w:t>Aramburuzabala</w:t>
      </w:r>
      <w:proofErr w:type="spellEnd"/>
      <w:r w:rsidR="00AD0262" w:rsidRPr="008523DB">
        <w:rPr>
          <w:rFonts w:eastAsia="Times New Roman"/>
          <w:b/>
          <w:color w:val="000000"/>
          <w:lang w:val="es-MX"/>
        </w:rPr>
        <w:t xml:space="preserve"> </w:t>
      </w:r>
      <w:proofErr w:type="spellStart"/>
      <w:r w:rsidR="00AD0262" w:rsidRPr="008523DB">
        <w:rPr>
          <w:rFonts w:eastAsia="Times New Roman"/>
          <w:b/>
          <w:color w:val="000000"/>
          <w:lang w:val="es-MX"/>
        </w:rPr>
        <w:t>Larregui</w:t>
      </w:r>
      <w:proofErr w:type="spellEnd"/>
      <w:r w:rsidR="000741C8">
        <w:rPr>
          <w:rFonts w:eastAsia="Times New Roman"/>
          <w:color w:val="000000"/>
          <w:lang w:val="es-MX"/>
        </w:rPr>
        <w:t>,</w:t>
      </w:r>
      <w:r w:rsidR="00AD0262" w:rsidRPr="00AD0262">
        <w:rPr>
          <w:rFonts w:eastAsia="Times New Roman"/>
          <w:color w:val="000000"/>
          <w:lang w:val="es-MX"/>
        </w:rPr>
        <w:t xml:space="preserve"> </w:t>
      </w:r>
      <w:r w:rsidR="00780DB8" w:rsidRPr="00AD0262">
        <w:rPr>
          <w:rFonts w:eastAsia="Times New Roman"/>
          <w:color w:val="000000"/>
          <w:lang w:val="es-MX"/>
        </w:rPr>
        <w:t xml:space="preserve">al que se le denominará </w:t>
      </w:r>
      <w:r w:rsidR="00780DB8" w:rsidRPr="008523DB">
        <w:rPr>
          <w:rFonts w:eastAsia="Times New Roman"/>
          <w:b/>
          <w:color w:val="000000"/>
          <w:lang w:val="es-MX"/>
        </w:rPr>
        <w:t xml:space="preserve">GIE </w:t>
      </w:r>
      <w:r w:rsidR="00680369" w:rsidRPr="008523DB">
        <w:rPr>
          <w:rFonts w:eastAsia="Times New Roman"/>
          <w:b/>
          <w:color w:val="000000"/>
          <w:lang w:val="es-MX"/>
        </w:rPr>
        <w:t>Grupo KIO</w:t>
      </w:r>
      <w:r w:rsidR="000741C8">
        <w:rPr>
          <w:rFonts w:eastAsia="Times New Roman"/>
          <w:color w:val="000000"/>
          <w:lang w:val="es-MX"/>
        </w:rPr>
        <w:t>.</w:t>
      </w:r>
    </w:p>
    <w:p w14:paraId="5E844246" w14:textId="77777777" w:rsidR="00874FA4" w:rsidRDefault="00600D55" w:rsidP="001C6B1E">
      <w:pPr>
        <w:pStyle w:val="Prrafodelista"/>
        <w:spacing w:after="120" w:line="276" w:lineRule="auto"/>
        <w:ind w:left="0"/>
        <w:contextualSpacing w:val="0"/>
        <w:rPr>
          <w:rFonts w:eastAsia="Times New Roman"/>
          <w:color w:val="000000"/>
          <w:lang w:val="es-MX"/>
        </w:rPr>
      </w:pPr>
      <w:r w:rsidRPr="00600D55">
        <w:rPr>
          <w:rFonts w:eastAsia="Times New Roman"/>
          <w:color w:val="000000"/>
          <w:lang w:val="es-MX"/>
        </w:rPr>
        <w:t xml:space="preserve">Las Partes señalaron </w:t>
      </w:r>
      <w:r w:rsidR="00874FA4">
        <w:rPr>
          <w:rFonts w:eastAsia="Times New Roman"/>
          <w:color w:val="000000"/>
          <w:lang w:val="es-MX"/>
        </w:rPr>
        <w:t>lo siguiente respecto a la participación del GIE Grupo KIO en el sector de telecomunicaciones en México:</w:t>
      </w:r>
    </w:p>
    <w:p w14:paraId="12EF6A73" w14:textId="053EB739" w:rsidR="00327869" w:rsidRDefault="00874FA4" w:rsidP="00874FA4">
      <w:pPr>
        <w:pStyle w:val="Prrafodelista"/>
        <w:spacing w:after="120" w:line="276" w:lineRule="auto"/>
        <w:ind w:left="567"/>
        <w:contextualSpacing w:val="0"/>
        <w:rPr>
          <w:rFonts w:eastAsia="Times New Roman"/>
          <w:color w:val="000000"/>
          <w:sz w:val="20"/>
          <w:lang w:val="es-MX"/>
        </w:rPr>
      </w:pPr>
      <w:r w:rsidRPr="00B17419">
        <w:rPr>
          <w:rFonts w:eastAsia="Times New Roman"/>
          <w:color w:val="000000"/>
          <w:sz w:val="20"/>
          <w:u w:val="single"/>
          <w:lang w:val="es-MX"/>
        </w:rPr>
        <w:t>“[</w:t>
      </w:r>
      <w:r w:rsidR="00600D55" w:rsidRPr="00B17419">
        <w:rPr>
          <w:rFonts w:eastAsia="Times New Roman"/>
          <w:color w:val="000000"/>
          <w:sz w:val="20"/>
          <w:u w:val="single"/>
          <w:lang w:val="es-MX"/>
        </w:rPr>
        <w:t>Metro Net</w:t>
      </w:r>
      <w:r w:rsidRPr="00B17419">
        <w:rPr>
          <w:rFonts w:eastAsia="Times New Roman"/>
          <w:color w:val="000000"/>
          <w:sz w:val="20"/>
          <w:u w:val="single"/>
          <w:lang w:val="es-MX"/>
        </w:rPr>
        <w:t>]</w:t>
      </w:r>
      <w:r w:rsidR="00600D55" w:rsidRPr="00B17419">
        <w:rPr>
          <w:rFonts w:eastAsia="Times New Roman"/>
          <w:color w:val="000000"/>
          <w:sz w:val="20"/>
          <w:u w:val="single"/>
          <w:lang w:val="es-MX"/>
        </w:rPr>
        <w:t xml:space="preserve"> </w:t>
      </w:r>
      <w:r w:rsidR="00600D55" w:rsidRPr="00B17419">
        <w:rPr>
          <w:rFonts w:eastAsia="Times New Roman"/>
          <w:i/>
          <w:color w:val="000000"/>
          <w:sz w:val="20"/>
          <w:u w:val="single"/>
          <w:lang w:val="es-MX"/>
        </w:rPr>
        <w:t>es la única sociedad mercantil con la cual KIO participa en el sector de telecomunicaciones</w:t>
      </w:r>
      <w:r w:rsidR="00600D55" w:rsidRPr="00874FA4">
        <w:rPr>
          <w:rFonts w:eastAsia="Times New Roman"/>
          <w:i/>
          <w:color w:val="000000"/>
          <w:sz w:val="20"/>
          <w:lang w:val="es-MX"/>
        </w:rPr>
        <w:t xml:space="preserve"> dentro del territorio nacional</w:t>
      </w:r>
      <w:r w:rsidR="00600D55" w:rsidRPr="00874FA4">
        <w:rPr>
          <w:rFonts w:eastAsia="Times New Roman"/>
          <w:color w:val="000000"/>
          <w:sz w:val="20"/>
          <w:lang w:val="es-MX"/>
        </w:rPr>
        <w:t xml:space="preserve">, </w:t>
      </w:r>
      <w:r w:rsidRPr="00874FA4">
        <w:rPr>
          <w:rFonts w:eastAsia="Times New Roman"/>
          <w:color w:val="000000"/>
          <w:sz w:val="20"/>
          <w:lang w:val="es-MX"/>
        </w:rPr>
        <w:t>[</w:t>
      </w:r>
      <w:r w:rsidR="00600D55" w:rsidRPr="00874FA4">
        <w:rPr>
          <w:rFonts w:eastAsia="Times New Roman"/>
          <w:color w:val="000000"/>
          <w:sz w:val="20"/>
          <w:lang w:val="es-MX"/>
        </w:rPr>
        <w:t>la cual</w:t>
      </w:r>
      <w:r w:rsidRPr="00874FA4">
        <w:rPr>
          <w:rFonts w:eastAsia="Times New Roman"/>
          <w:color w:val="000000"/>
          <w:sz w:val="20"/>
          <w:lang w:val="es-MX"/>
        </w:rPr>
        <w:t>]</w:t>
      </w:r>
      <w:r w:rsidR="00600D55" w:rsidRPr="00874FA4">
        <w:rPr>
          <w:rFonts w:eastAsia="Times New Roman"/>
          <w:color w:val="000000"/>
          <w:sz w:val="20"/>
          <w:lang w:val="es-MX"/>
        </w:rPr>
        <w:t xml:space="preserve"> “</w:t>
      </w:r>
      <w:r w:rsidR="00600D55" w:rsidRPr="00874FA4">
        <w:rPr>
          <w:rFonts w:eastAsia="Times New Roman"/>
          <w:i/>
          <w:color w:val="000000"/>
          <w:sz w:val="20"/>
          <w:lang w:val="es-MX"/>
        </w:rPr>
        <w:t>no tiene una participación en ninguna sociedad, asociación o empresa participante en el sector de telecomunicaciones dentro del territorio nacional.</w:t>
      </w:r>
      <w:r w:rsidR="00600D55" w:rsidRPr="00874FA4">
        <w:rPr>
          <w:rFonts w:eastAsia="Times New Roman"/>
          <w:color w:val="000000"/>
          <w:sz w:val="20"/>
          <w:lang w:val="es-MX"/>
        </w:rPr>
        <w:t>”</w:t>
      </w:r>
      <w:r w:rsidR="00600D55" w:rsidRPr="00874FA4">
        <w:rPr>
          <w:rFonts w:eastAsia="Times New Roman"/>
          <w:color w:val="000000"/>
          <w:sz w:val="20"/>
          <w:vertAlign w:val="superscript"/>
          <w:lang w:val="es-MX"/>
        </w:rPr>
        <w:footnoteReference w:id="22"/>
      </w:r>
    </w:p>
    <w:p w14:paraId="05D36A4A" w14:textId="77777777" w:rsidR="00B17419" w:rsidRPr="00B17419" w:rsidRDefault="00C5417C" w:rsidP="00874FA4">
      <w:pPr>
        <w:pStyle w:val="Prrafodelista"/>
        <w:spacing w:after="120" w:line="276" w:lineRule="auto"/>
        <w:ind w:left="567"/>
        <w:contextualSpacing w:val="0"/>
        <w:rPr>
          <w:rFonts w:eastAsia="Times New Roman"/>
          <w:color w:val="000000"/>
          <w:sz w:val="20"/>
          <w:lang w:val="es-MX"/>
        </w:rPr>
      </w:pPr>
      <w:r w:rsidRPr="00C5417C">
        <w:rPr>
          <w:rFonts w:eastAsia="Times New Roman"/>
          <w:i/>
          <w:color w:val="000000"/>
          <w:sz w:val="20"/>
          <w:lang w:val="es-MX"/>
        </w:rPr>
        <w:t>“</w:t>
      </w:r>
      <w:r w:rsidRPr="00B17419">
        <w:rPr>
          <w:rFonts w:eastAsia="Times New Roman"/>
          <w:i/>
          <w:color w:val="000000"/>
          <w:sz w:val="20"/>
          <w:u w:val="single"/>
          <w:lang w:val="es-MX"/>
        </w:rPr>
        <w:t xml:space="preserve">KIO y </w:t>
      </w:r>
      <w:proofErr w:type="spellStart"/>
      <w:r w:rsidRPr="00B17419">
        <w:rPr>
          <w:rFonts w:eastAsia="Times New Roman"/>
          <w:i/>
          <w:color w:val="000000"/>
          <w:sz w:val="20"/>
          <w:u w:val="single"/>
          <w:lang w:val="es-MX"/>
        </w:rPr>
        <w:t>Wingu</w:t>
      </w:r>
      <w:proofErr w:type="spellEnd"/>
      <w:r w:rsidRPr="00B17419">
        <w:rPr>
          <w:rFonts w:eastAsia="Times New Roman"/>
          <w:i/>
          <w:color w:val="000000"/>
          <w:sz w:val="20"/>
          <w:u w:val="single"/>
          <w:lang w:val="es-MX"/>
        </w:rPr>
        <w:t xml:space="preserve"> son las accionistas de Metro Net y ninguna de las anteriores, ni sus accionistas directos e indirectos, consejeros, gerentes y/o directivos participan en</w:t>
      </w:r>
      <w:r w:rsidRPr="00C5417C">
        <w:rPr>
          <w:rFonts w:eastAsia="Times New Roman"/>
          <w:i/>
          <w:color w:val="000000"/>
          <w:sz w:val="20"/>
          <w:lang w:val="es-MX"/>
        </w:rPr>
        <w:t xml:space="preserve"> (i) </w:t>
      </w:r>
      <w:r w:rsidR="001F2877" w:rsidRPr="00C5417C">
        <w:rPr>
          <w:rFonts w:eastAsia="Times New Roman"/>
          <w:i/>
          <w:color w:val="000000"/>
          <w:sz w:val="20"/>
          <w:lang w:val="es-MX"/>
        </w:rPr>
        <w:t>órganos</w:t>
      </w:r>
      <w:r w:rsidRPr="00C5417C">
        <w:rPr>
          <w:rFonts w:eastAsia="Times New Roman"/>
          <w:i/>
          <w:color w:val="000000"/>
          <w:sz w:val="20"/>
          <w:lang w:val="es-MX"/>
        </w:rPr>
        <w:t xml:space="preserve"> encargados de tomar las decisiones, (ii) puestos de directivos, gerentes, administradores o sus equivalentes o (iii) en el capital social con participaciones accionarias o societarias directas e/o indirectas, superiores al 5% (cinco por ciento), de sociedades adicionales a las identificadas en el Aviso de Concentración que cuenten, directa o indirectamente, con algún título de concesión, autorización, o permiso que les permita ofrecer servicios de telecomunicaciones dentro del territorio nacional.”</w:t>
      </w:r>
      <w:r w:rsidRPr="00C5417C">
        <w:rPr>
          <w:rFonts w:eastAsia="Times New Roman"/>
          <w:color w:val="000000"/>
          <w:sz w:val="20"/>
          <w:vertAlign w:val="superscript"/>
          <w:lang w:val="es-MX"/>
        </w:rPr>
        <w:t xml:space="preserve"> </w:t>
      </w:r>
      <w:r w:rsidRPr="00874FA4">
        <w:rPr>
          <w:rFonts w:eastAsia="Times New Roman"/>
          <w:color w:val="000000"/>
          <w:sz w:val="20"/>
          <w:vertAlign w:val="superscript"/>
          <w:lang w:val="es-MX"/>
        </w:rPr>
        <w:footnoteReference w:id="23"/>
      </w:r>
      <w:r w:rsidR="000741C8">
        <w:rPr>
          <w:rFonts w:eastAsia="Times New Roman"/>
          <w:color w:val="000000"/>
          <w:sz w:val="20"/>
          <w:vertAlign w:val="superscript"/>
          <w:lang w:val="es-MX"/>
        </w:rPr>
        <w:t xml:space="preserve"> </w:t>
      </w:r>
      <w:r w:rsidR="00B17419" w:rsidRPr="00B17419">
        <w:rPr>
          <w:rFonts w:eastAsia="Times New Roman"/>
          <w:color w:val="000000"/>
          <w:sz w:val="20"/>
          <w:lang w:val="es-MX"/>
        </w:rPr>
        <w:t>[Énfasis añadido]</w:t>
      </w:r>
    </w:p>
    <w:p w14:paraId="1AA14851" w14:textId="52848D99" w:rsidR="00B17419" w:rsidRPr="009D3CF5" w:rsidRDefault="00B17419" w:rsidP="001C6B1E">
      <w:pPr>
        <w:pStyle w:val="Prrafodelista"/>
        <w:spacing w:after="120" w:line="276" w:lineRule="auto"/>
        <w:ind w:left="0"/>
        <w:contextualSpacing w:val="0"/>
        <w:rPr>
          <w:rFonts w:eastAsia="Times New Roman"/>
          <w:color w:val="000000"/>
          <w:lang w:val="es-MX"/>
        </w:rPr>
      </w:pPr>
      <w:r>
        <w:rPr>
          <w:rFonts w:eastAsia="Times New Roman"/>
          <w:color w:val="000000"/>
          <w:lang w:val="es-MX"/>
        </w:rPr>
        <w:t xml:space="preserve">De acuerdo con lo anterior, se identifica que </w:t>
      </w:r>
      <w:r w:rsidRPr="00B17419">
        <w:rPr>
          <w:rFonts w:eastAsia="Times New Roman"/>
          <w:b/>
          <w:color w:val="000000"/>
          <w:lang w:val="es-MX"/>
        </w:rPr>
        <w:t xml:space="preserve">entre las personas que forman parte del GIE Grupo KIO se encuentran la familia </w:t>
      </w:r>
      <w:r w:rsidR="00DD187D" w:rsidRPr="00E63FC2">
        <w:rPr>
          <w:b/>
          <w:bCs/>
          <w:color w:val="0000CC"/>
          <w:sz w:val="19"/>
          <w:szCs w:val="19"/>
        </w:rPr>
        <w:t>“CONFIDENCIAL POR LEY (1</w:t>
      </w:r>
      <w:r w:rsidR="0064641A">
        <w:rPr>
          <w:b/>
          <w:bCs/>
          <w:color w:val="0000CC"/>
          <w:sz w:val="19"/>
          <w:szCs w:val="19"/>
        </w:rPr>
        <w:t>28</w:t>
      </w:r>
      <w:r w:rsidR="00DD187D" w:rsidRPr="00E63FC2">
        <w:rPr>
          <w:b/>
          <w:bCs/>
          <w:color w:val="0000CC"/>
          <w:sz w:val="19"/>
          <w:szCs w:val="19"/>
        </w:rPr>
        <w:t>)”</w:t>
      </w:r>
      <w:r w:rsidRPr="00B17419">
        <w:rPr>
          <w:rFonts w:eastAsia="Times New Roman"/>
          <w:b/>
          <w:color w:val="000000"/>
          <w:lang w:val="es-MX"/>
        </w:rPr>
        <w:t xml:space="preserve">, KIO, Metro Net, </w:t>
      </w:r>
      <w:proofErr w:type="spellStart"/>
      <w:r w:rsidRPr="00B17419">
        <w:rPr>
          <w:rFonts w:eastAsia="Times New Roman"/>
          <w:b/>
          <w:color w:val="000000"/>
          <w:lang w:val="es-MX"/>
        </w:rPr>
        <w:t>Wingu</w:t>
      </w:r>
      <w:proofErr w:type="spellEnd"/>
      <w:r w:rsidR="00A01EDF">
        <w:rPr>
          <w:rFonts w:eastAsia="Times New Roman"/>
          <w:b/>
          <w:color w:val="000000"/>
          <w:lang w:val="es-MX"/>
        </w:rPr>
        <w:t xml:space="preserve"> y </w:t>
      </w:r>
      <w:r w:rsidRPr="00B17419">
        <w:rPr>
          <w:rFonts w:eastAsia="Times New Roman"/>
          <w:b/>
          <w:color w:val="000000"/>
          <w:lang w:val="es-MX"/>
        </w:rPr>
        <w:t>las subsidiarias de KIO identificadas en el</w:t>
      </w:r>
      <w:r w:rsidR="009D3CF5" w:rsidRPr="009D3CF5">
        <w:rPr>
          <w:rFonts w:eastAsia="Times New Roman"/>
          <w:b/>
          <w:color w:val="000000"/>
          <w:lang w:val="es-MX"/>
        </w:rPr>
        <w:t xml:space="preserve"> Cuadro 2</w:t>
      </w:r>
      <w:r w:rsidRPr="00B17419">
        <w:rPr>
          <w:rFonts w:eastAsia="Times New Roman"/>
          <w:b/>
          <w:color w:val="000000"/>
          <w:lang w:val="es-MX"/>
        </w:rPr>
        <w:t xml:space="preserve"> </w:t>
      </w:r>
      <w:r w:rsidRPr="00B17419">
        <w:rPr>
          <w:rFonts w:eastAsia="Times New Roman"/>
          <w:color w:val="000000"/>
          <w:lang w:val="es-MX"/>
        </w:rPr>
        <w:t>.</w:t>
      </w:r>
      <w:r w:rsidRPr="00B17419">
        <w:rPr>
          <w:rStyle w:val="Refdenotaalpie"/>
        </w:rPr>
        <w:footnoteReference w:id="24"/>
      </w:r>
      <w:r w:rsidR="009D3CF5">
        <w:rPr>
          <w:rFonts w:eastAsia="Times New Roman"/>
          <w:color w:val="000000"/>
          <w:lang w:val="es-MX"/>
        </w:rPr>
        <w:t xml:space="preserve"> A p</w:t>
      </w:r>
      <w:r w:rsidR="009D3CF5" w:rsidRPr="00831174">
        <w:rPr>
          <w:rFonts w:eastAsia="Times New Roman"/>
          <w:color w:val="000000"/>
          <w:lang w:val="es-MX"/>
        </w:rPr>
        <w:t xml:space="preserve">artir de realizada la Operación las Sociedades Adquiridas </w:t>
      </w:r>
      <w:r w:rsidR="00831174" w:rsidRPr="00831174">
        <w:rPr>
          <w:rFonts w:eastAsia="Times New Roman"/>
          <w:color w:val="000000"/>
          <w:lang w:val="es-MX"/>
        </w:rPr>
        <w:t>dejaron de formar</w:t>
      </w:r>
      <w:r w:rsidR="009D3CF5" w:rsidRPr="00831174">
        <w:rPr>
          <w:rFonts w:eastAsia="Times New Roman"/>
          <w:color w:val="000000"/>
          <w:lang w:val="es-MX"/>
        </w:rPr>
        <w:t xml:space="preserve"> parte </w:t>
      </w:r>
      <w:r w:rsidR="009D3CF5">
        <w:rPr>
          <w:rFonts w:eastAsia="Times New Roman"/>
          <w:color w:val="000000"/>
          <w:lang w:val="es-MX"/>
        </w:rPr>
        <w:t>de este GIE.</w:t>
      </w:r>
    </w:p>
    <w:p w14:paraId="385FFE14" w14:textId="77777777" w:rsidR="00B17419" w:rsidRPr="004B1E7C" w:rsidRDefault="00A01EDF" w:rsidP="004B1E7C">
      <w:pPr>
        <w:rPr>
          <w:b/>
        </w:rPr>
      </w:pPr>
      <w:bookmarkStart w:id="27" w:name="_Toc511061409"/>
      <w:r w:rsidRPr="004B1E7C">
        <w:rPr>
          <w:b/>
        </w:rPr>
        <w:t xml:space="preserve">4.1.5. </w:t>
      </w:r>
      <w:r w:rsidR="00B17419" w:rsidRPr="004B1E7C">
        <w:rPr>
          <w:b/>
        </w:rPr>
        <w:t>Actividades del GIE Grupo KIO</w:t>
      </w:r>
      <w:bookmarkEnd w:id="27"/>
    </w:p>
    <w:p w14:paraId="55A31703" w14:textId="77777777" w:rsidR="00161216" w:rsidRPr="001C6B1E" w:rsidRDefault="00161216" w:rsidP="00B17419">
      <w:pPr>
        <w:pStyle w:val="Prrafodelista"/>
        <w:spacing w:after="120" w:line="276" w:lineRule="auto"/>
        <w:ind w:left="0"/>
        <w:contextualSpacing w:val="0"/>
        <w:rPr>
          <w:rFonts w:eastAsia="Times New Roman"/>
          <w:color w:val="000000"/>
          <w:lang w:val="es-MX"/>
        </w:rPr>
      </w:pPr>
      <w:r w:rsidRPr="00B17419">
        <w:rPr>
          <w:rFonts w:eastAsia="Times New Roman"/>
          <w:color w:val="000000"/>
          <w:lang w:val="es-MX"/>
        </w:rPr>
        <w:t xml:space="preserve">De acuerdo con la información proporcionada por las Partes, </w:t>
      </w:r>
      <w:r w:rsidR="00B17419" w:rsidRPr="00B17419">
        <w:rPr>
          <w:rFonts w:eastAsia="Times New Roman"/>
          <w:color w:val="000000"/>
          <w:lang w:val="es-MX"/>
        </w:rPr>
        <w:t xml:space="preserve">el GIE Grupo KIO </w:t>
      </w:r>
      <w:r w:rsidRPr="00B17419">
        <w:rPr>
          <w:rFonts w:eastAsia="Times New Roman"/>
          <w:color w:val="000000"/>
          <w:lang w:val="es-MX"/>
        </w:rPr>
        <w:t>realiza las siguientes actividades económicas</w:t>
      </w:r>
      <w:r w:rsidR="00383106" w:rsidRPr="00B17419">
        <w:rPr>
          <w:rFonts w:eastAsia="Times New Roman"/>
          <w:color w:val="000000"/>
          <w:lang w:val="es-MX"/>
        </w:rPr>
        <w:t xml:space="preserve"> </w:t>
      </w:r>
      <w:r w:rsidR="005A1B61">
        <w:rPr>
          <w:rFonts w:eastAsia="Times New Roman"/>
          <w:color w:val="000000"/>
          <w:lang w:val="es-MX"/>
        </w:rPr>
        <w:t>en</w:t>
      </w:r>
      <w:r w:rsidR="00383106" w:rsidRPr="00B17419">
        <w:rPr>
          <w:rFonts w:eastAsia="Times New Roman"/>
          <w:color w:val="000000"/>
          <w:lang w:val="es-MX"/>
        </w:rPr>
        <w:t xml:space="preserve"> los sectores de telecomunicaciones y radiodifusión</w:t>
      </w:r>
      <w:r w:rsidRPr="00B17419">
        <w:rPr>
          <w:rFonts w:eastAsia="Times New Roman"/>
          <w:color w:val="000000"/>
          <w:lang w:val="es-MX"/>
        </w:rPr>
        <w:t>:</w:t>
      </w:r>
      <w:r w:rsidR="009D704B" w:rsidRPr="00874FA4">
        <w:rPr>
          <w:rFonts w:eastAsia="Times New Roman"/>
          <w:color w:val="000000"/>
          <w:sz w:val="20"/>
          <w:vertAlign w:val="superscript"/>
          <w:lang w:val="es-MX"/>
        </w:rPr>
        <w:footnoteReference w:id="25"/>
      </w:r>
    </w:p>
    <w:p w14:paraId="6CB6AE72" w14:textId="77777777" w:rsidR="00161216" w:rsidRPr="00CC06A8" w:rsidRDefault="00161216" w:rsidP="00CC06A8">
      <w:pPr>
        <w:pStyle w:val="Prrafodelista"/>
        <w:numPr>
          <w:ilvl w:val="0"/>
          <w:numId w:val="49"/>
        </w:numPr>
        <w:spacing w:after="120" w:line="276" w:lineRule="auto"/>
        <w:ind w:left="567"/>
        <w:contextualSpacing w:val="0"/>
        <w:rPr>
          <w:rFonts w:eastAsia="Times New Roman"/>
          <w:color w:val="000000"/>
          <w:lang w:val="es-MX"/>
        </w:rPr>
      </w:pPr>
      <w:r w:rsidRPr="00CC06A8">
        <w:rPr>
          <w:rFonts w:eastAsia="Times New Roman"/>
          <w:color w:val="000000"/>
          <w:lang w:val="es-MX"/>
        </w:rPr>
        <w:t>P</w:t>
      </w:r>
      <w:r w:rsidR="00780DB8" w:rsidRPr="00CC06A8">
        <w:rPr>
          <w:rFonts w:eastAsia="Times New Roman"/>
          <w:color w:val="000000"/>
          <w:lang w:val="es-MX"/>
        </w:rPr>
        <w:t>resta servicios de tecnologías de la información (TI)</w:t>
      </w:r>
      <w:r w:rsidRPr="00CC06A8">
        <w:rPr>
          <w:rFonts w:eastAsia="Times New Roman"/>
          <w:color w:val="000000"/>
          <w:lang w:val="es-MX"/>
        </w:rPr>
        <w:t xml:space="preserve"> de misión crítica</w:t>
      </w:r>
      <w:r w:rsidR="00780DB8" w:rsidRPr="00CC06A8">
        <w:rPr>
          <w:rFonts w:eastAsia="Times New Roman"/>
          <w:color w:val="000000"/>
          <w:lang w:val="es-MX"/>
        </w:rPr>
        <w:t xml:space="preserve">, incluyendo hosting, servicios de nube, </w:t>
      </w:r>
      <w:r w:rsidRPr="00CC06A8">
        <w:rPr>
          <w:rFonts w:eastAsia="Times New Roman"/>
          <w:color w:val="000000"/>
          <w:lang w:val="es-MX"/>
        </w:rPr>
        <w:t xml:space="preserve">soluciones de </w:t>
      </w:r>
      <w:r w:rsidR="00780DB8" w:rsidRPr="00CC06A8">
        <w:rPr>
          <w:rFonts w:eastAsia="Times New Roman"/>
          <w:color w:val="000000"/>
          <w:lang w:val="es-MX"/>
        </w:rPr>
        <w:t>seguridad informática, análisis de grandes datos, servicios de data center</w:t>
      </w:r>
      <w:r w:rsidRPr="00CC06A8">
        <w:rPr>
          <w:rFonts w:eastAsia="Times New Roman"/>
          <w:color w:val="000000"/>
          <w:lang w:val="es-MX"/>
        </w:rPr>
        <w:t xml:space="preserve">, SAP </w:t>
      </w:r>
      <w:proofErr w:type="spellStart"/>
      <w:r w:rsidRPr="00CC06A8">
        <w:rPr>
          <w:rFonts w:eastAsia="Times New Roman"/>
          <w:color w:val="000000"/>
          <w:lang w:val="es-MX"/>
        </w:rPr>
        <w:t>on</w:t>
      </w:r>
      <w:proofErr w:type="spellEnd"/>
      <w:r w:rsidRPr="00CC06A8">
        <w:rPr>
          <w:rFonts w:eastAsia="Times New Roman"/>
          <w:color w:val="000000"/>
          <w:lang w:val="es-MX"/>
        </w:rPr>
        <w:t xml:space="preserve"> </w:t>
      </w:r>
      <w:proofErr w:type="spellStart"/>
      <w:r w:rsidRPr="00CC06A8">
        <w:rPr>
          <w:rFonts w:eastAsia="Times New Roman"/>
          <w:color w:val="000000"/>
          <w:lang w:val="es-MX"/>
        </w:rPr>
        <w:t>Demand</w:t>
      </w:r>
      <w:proofErr w:type="spellEnd"/>
      <w:r w:rsidRPr="00CC06A8">
        <w:rPr>
          <w:rFonts w:eastAsia="Times New Roman"/>
          <w:color w:val="000000"/>
          <w:lang w:val="es-MX"/>
        </w:rPr>
        <w:t xml:space="preserve">, SAP HANA, SAP </w:t>
      </w:r>
      <w:proofErr w:type="spellStart"/>
      <w:r w:rsidRPr="00CC06A8">
        <w:rPr>
          <w:rFonts w:eastAsia="Times New Roman"/>
          <w:color w:val="000000"/>
          <w:lang w:val="es-MX"/>
        </w:rPr>
        <w:t>Paas</w:t>
      </w:r>
      <w:proofErr w:type="spellEnd"/>
      <w:r w:rsidRPr="00CC06A8">
        <w:rPr>
          <w:rFonts w:eastAsia="Times New Roman"/>
          <w:color w:val="000000"/>
          <w:lang w:val="es-MX"/>
        </w:rPr>
        <w:t xml:space="preserve"> y planes de contingencia</w:t>
      </w:r>
      <w:r w:rsidR="00EE1CBA">
        <w:rPr>
          <w:rFonts w:eastAsia="Times New Roman"/>
          <w:color w:val="000000"/>
          <w:lang w:val="es-MX"/>
        </w:rPr>
        <w:t>;</w:t>
      </w:r>
    </w:p>
    <w:p w14:paraId="374F3BE2" w14:textId="77777777" w:rsidR="00161216" w:rsidRPr="00CC06A8" w:rsidRDefault="00161216" w:rsidP="00CC06A8">
      <w:pPr>
        <w:pStyle w:val="Prrafodelista"/>
        <w:numPr>
          <w:ilvl w:val="0"/>
          <w:numId w:val="49"/>
        </w:numPr>
        <w:spacing w:after="120" w:line="276" w:lineRule="auto"/>
        <w:ind w:left="567"/>
        <w:contextualSpacing w:val="0"/>
        <w:rPr>
          <w:rFonts w:eastAsia="Times New Roman"/>
          <w:color w:val="000000"/>
          <w:lang w:val="es-MX"/>
        </w:rPr>
      </w:pPr>
      <w:r w:rsidRPr="00CC06A8">
        <w:rPr>
          <w:rFonts w:eastAsia="Times New Roman"/>
          <w:color w:val="000000"/>
          <w:lang w:val="es-MX"/>
        </w:rPr>
        <w:t>Cuenta con 32</w:t>
      </w:r>
      <w:r w:rsidR="001C6B1E" w:rsidRPr="00CC06A8">
        <w:rPr>
          <w:rFonts w:eastAsia="Times New Roman"/>
          <w:color w:val="000000"/>
          <w:lang w:val="es-MX"/>
        </w:rPr>
        <w:t xml:space="preserve"> (treinta y dos)</w:t>
      </w:r>
      <w:r w:rsidRPr="00CC06A8">
        <w:rPr>
          <w:rFonts w:eastAsia="Times New Roman"/>
          <w:color w:val="000000"/>
          <w:lang w:val="es-MX"/>
        </w:rPr>
        <w:t xml:space="preserve"> centros de datos de alta densidad y disponibilidad distribuidos en México, Estados Unidos, Centroamérica, El Caribe y Europa</w:t>
      </w:r>
      <w:r w:rsidR="00BE0007" w:rsidRPr="00CC06A8">
        <w:rPr>
          <w:rFonts w:eastAsia="Times New Roman"/>
          <w:color w:val="000000"/>
          <w:lang w:val="es-MX"/>
        </w:rPr>
        <w:t>; en México se encuentran 26 (veintiséis) de ellos</w:t>
      </w:r>
      <w:r w:rsidR="00EE1CBA">
        <w:rPr>
          <w:rFonts w:eastAsia="Times New Roman"/>
          <w:color w:val="000000"/>
          <w:lang w:val="es-MX"/>
        </w:rPr>
        <w:t xml:space="preserve">, y </w:t>
      </w:r>
    </w:p>
    <w:p w14:paraId="75B9194D" w14:textId="0EB33687" w:rsidR="00EE1CBA" w:rsidRDefault="00EE1CBA" w:rsidP="00CC06A8">
      <w:pPr>
        <w:pStyle w:val="Prrafodelista"/>
        <w:numPr>
          <w:ilvl w:val="0"/>
          <w:numId w:val="49"/>
        </w:numPr>
        <w:spacing w:after="120" w:line="276" w:lineRule="auto"/>
        <w:ind w:left="567"/>
        <w:contextualSpacing w:val="0"/>
        <w:rPr>
          <w:rFonts w:eastAsia="Times New Roman"/>
          <w:color w:val="000000"/>
          <w:lang w:val="es-MX"/>
        </w:rPr>
      </w:pPr>
      <w:r>
        <w:rPr>
          <w:rFonts w:eastAsia="Times New Roman"/>
          <w:color w:val="000000"/>
          <w:lang w:val="es-MX"/>
        </w:rPr>
        <w:lastRenderedPageBreak/>
        <w:t xml:space="preserve">Hasta el </w:t>
      </w:r>
      <w:r w:rsidR="00831174">
        <w:rPr>
          <w:rFonts w:eastAsia="Times New Roman"/>
          <w:color w:val="000000"/>
          <w:lang w:val="es-MX"/>
        </w:rPr>
        <w:t>dieciséis de noviembre</w:t>
      </w:r>
      <w:r w:rsidRPr="00A8162F">
        <w:rPr>
          <w:rFonts w:eastAsia="Times New Roman"/>
          <w:color w:val="000000"/>
          <w:lang w:val="es-MX"/>
        </w:rPr>
        <w:t xml:space="preserve"> </w:t>
      </w:r>
      <w:r w:rsidR="0010136E">
        <w:rPr>
          <w:rFonts w:eastAsia="Times New Roman"/>
          <w:color w:val="000000"/>
          <w:lang w:val="es-MX"/>
        </w:rPr>
        <w:t>de</w:t>
      </w:r>
      <w:r w:rsidRPr="00A8162F">
        <w:rPr>
          <w:rFonts w:eastAsia="Times New Roman"/>
          <w:color w:val="000000"/>
          <w:lang w:val="es-MX"/>
        </w:rPr>
        <w:t xml:space="preserve"> </w:t>
      </w:r>
      <w:r>
        <w:rPr>
          <w:rFonts w:eastAsia="Times New Roman"/>
          <w:color w:val="000000"/>
          <w:lang w:val="es-MX"/>
        </w:rPr>
        <w:t xml:space="preserve">dos mil diecisiete — antes de la Operación — </w:t>
      </w:r>
      <w:r w:rsidR="00831174">
        <w:rPr>
          <w:rFonts w:eastAsia="Times New Roman"/>
          <w:color w:val="000000"/>
          <w:lang w:val="es-MX"/>
        </w:rPr>
        <w:t xml:space="preserve">contaba con una red de fibra óptica para prestar </w:t>
      </w:r>
      <w:r w:rsidR="00780DB8" w:rsidRPr="00CC06A8">
        <w:rPr>
          <w:rFonts w:eastAsia="Times New Roman"/>
          <w:color w:val="000000"/>
          <w:lang w:val="es-MX"/>
        </w:rPr>
        <w:t>servicios de telecomunicaciones fijos</w:t>
      </w:r>
      <w:r>
        <w:rPr>
          <w:rFonts w:eastAsia="Times New Roman"/>
          <w:color w:val="000000"/>
          <w:lang w:val="es-MX"/>
        </w:rPr>
        <w:t xml:space="preserve">. A partir de </w:t>
      </w:r>
      <w:r w:rsidR="0010136E">
        <w:rPr>
          <w:rFonts w:eastAsia="Times New Roman"/>
          <w:color w:val="000000"/>
          <w:lang w:val="es-MX"/>
        </w:rPr>
        <w:t xml:space="preserve">la Operación, </w:t>
      </w:r>
      <w:r w:rsidR="00780DB8" w:rsidRPr="00CC06A8">
        <w:rPr>
          <w:rFonts w:eastAsia="Times New Roman"/>
          <w:color w:val="000000"/>
          <w:lang w:val="es-MX"/>
        </w:rPr>
        <w:t>esa división del negocio fue transferida</w:t>
      </w:r>
      <w:r w:rsidR="00161216" w:rsidRPr="00CC06A8">
        <w:rPr>
          <w:rFonts w:eastAsia="Times New Roman"/>
          <w:color w:val="000000"/>
          <w:lang w:val="es-MX"/>
        </w:rPr>
        <w:t xml:space="preserve"> </w:t>
      </w:r>
      <w:r w:rsidRPr="00CC06A8">
        <w:rPr>
          <w:rFonts w:eastAsia="Times New Roman"/>
          <w:color w:val="000000"/>
          <w:lang w:val="es-MX"/>
        </w:rPr>
        <w:t xml:space="preserve">a </w:t>
      </w:r>
      <w:r w:rsidR="0010136E">
        <w:rPr>
          <w:rFonts w:eastAsia="Times New Roman"/>
          <w:color w:val="000000"/>
          <w:lang w:val="es-MX"/>
        </w:rPr>
        <w:t xml:space="preserve">los Compradores, </w:t>
      </w:r>
      <w:r>
        <w:rPr>
          <w:rFonts w:eastAsia="Times New Roman"/>
          <w:color w:val="000000"/>
          <w:lang w:val="es-MX"/>
        </w:rPr>
        <w:t xml:space="preserve">excepto </w:t>
      </w:r>
      <w:r w:rsidR="00161216" w:rsidRPr="00CC06A8">
        <w:rPr>
          <w:rFonts w:eastAsia="Times New Roman"/>
          <w:color w:val="000000"/>
          <w:lang w:val="es-MX"/>
        </w:rPr>
        <w:t>por la Concesión Metro Net</w:t>
      </w:r>
      <w:r w:rsidR="009D704B" w:rsidRPr="00CC06A8">
        <w:rPr>
          <w:rFonts w:eastAsia="Times New Roman"/>
          <w:color w:val="000000"/>
          <w:lang w:val="es-MX"/>
        </w:rPr>
        <w:t xml:space="preserve"> y </w:t>
      </w:r>
      <w:r w:rsidR="00DD187D" w:rsidRPr="00E63FC2">
        <w:rPr>
          <w:b/>
          <w:bCs/>
          <w:color w:val="0000CC"/>
          <w:sz w:val="19"/>
          <w:szCs w:val="19"/>
        </w:rPr>
        <w:t>“CONFIDENCIAL POR LEY (1</w:t>
      </w:r>
      <w:r w:rsidR="0064641A">
        <w:rPr>
          <w:b/>
          <w:bCs/>
          <w:color w:val="0000CC"/>
          <w:sz w:val="19"/>
          <w:szCs w:val="19"/>
        </w:rPr>
        <w:t>29</w:t>
      </w:r>
      <w:r w:rsidR="00DD187D" w:rsidRPr="00E63FC2">
        <w:rPr>
          <w:b/>
          <w:bCs/>
          <w:color w:val="0000CC"/>
          <w:sz w:val="19"/>
          <w:szCs w:val="19"/>
        </w:rPr>
        <w:t>)”</w:t>
      </w:r>
      <w:r>
        <w:rPr>
          <w:rFonts w:eastAsia="Times New Roman"/>
          <w:color w:val="000000"/>
          <w:lang w:val="es-MX"/>
        </w:rPr>
        <w:t xml:space="preserve">. </w:t>
      </w:r>
    </w:p>
    <w:p w14:paraId="590C94C2" w14:textId="77777777" w:rsidR="00327869" w:rsidRDefault="00327869" w:rsidP="00383106">
      <w:pPr>
        <w:pStyle w:val="Prrafodelista"/>
        <w:spacing w:after="120" w:line="276" w:lineRule="auto"/>
        <w:ind w:left="0"/>
        <w:contextualSpacing w:val="0"/>
        <w:rPr>
          <w:rFonts w:eastAsia="Times New Roman"/>
          <w:color w:val="000000"/>
          <w:highlight w:val="yellow"/>
        </w:rPr>
      </w:pPr>
      <w:r w:rsidRPr="00383106">
        <w:rPr>
          <w:rFonts w:eastAsia="Times New Roman"/>
          <w:color w:val="000000"/>
          <w:lang w:val="es-MX"/>
        </w:rPr>
        <w:t xml:space="preserve">Con base en la información proporcionada por las Partes y el Registro Público de Concesiones, </w:t>
      </w:r>
      <w:r w:rsidR="00AF14C3">
        <w:rPr>
          <w:rFonts w:eastAsia="Times New Roman"/>
          <w:color w:val="000000"/>
          <w:lang w:val="es-MX"/>
        </w:rPr>
        <w:t xml:space="preserve">se identifica que </w:t>
      </w:r>
      <w:r w:rsidR="009D704B">
        <w:rPr>
          <w:rFonts w:eastAsia="Times New Roman"/>
          <w:color w:val="000000"/>
          <w:lang w:val="es-MX"/>
        </w:rPr>
        <w:t>la única</w:t>
      </w:r>
      <w:r w:rsidRPr="00383106">
        <w:rPr>
          <w:rFonts w:eastAsia="Times New Roman"/>
          <w:color w:val="000000"/>
          <w:lang w:val="es-MX"/>
        </w:rPr>
        <w:t xml:space="preserve"> concesi</w:t>
      </w:r>
      <w:r w:rsidR="009D704B">
        <w:rPr>
          <w:rFonts w:eastAsia="Times New Roman"/>
          <w:color w:val="000000"/>
          <w:lang w:val="es-MX"/>
        </w:rPr>
        <w:t>ón</w:t>
      </w:r>
      <w:r w:rsidRPr="00383106">
        <w:rPr>
          <w:rFonts w:eastAsia="Times New Roman"/>
          <w:color w:val="000000"/>
          <w:lang w:val="es-MX"/>
        </w:rPr>
        <w:t>, autorizaci</w:t>
      </w:r>
      <w:r w:rsidR="009D704B">
        <w:rPr>
          <w:rFonts w:eastAsia="Times New Roman"/>
          <w:color w:val="000000"/>
          <w:lang w:val="es-MX"/>
        </w:rPr>
        <w:t>ón</w:t>
      </w:r>
      <w:r w:rsidRPr="00383106">
        <w:rPr>
          <w:rFonts w:eastAsia="Times New Roman"/>
          <w:color w:val="000000"/>
          <w:lang w:val="es-MX"/>
        </w:rPr>
        <w:t xml:space="preserve"> y</w:t>
      </w:r>
      <w:r w:rsidR="009D704B">
        <w:rPr>
          <w:rFonts w:eastAsia="Times New Roman"/>
          <w:color w:val="000000"/>
          <w:lang w:val="es-MX"/>
        </w:rPr>
        <w:t>/o</w:t>
      </w:r>
      <w:r w:rsidRPr="00383106">
        <w:rPr>
          <w:rFonts w:eastAsia="Times New Roman"/>
          <w:color w:val="000000"/>
          <w:lang w:val="es-MX"/>
        </w:rPr>
        <w:t xml:space="preserve"> permiso otorgado al GIE </w:t>
      </w:r>
      <w:r w:rsidR="00383106" w:rsidRPr="00383106">
        <w:rPr>
          <w:rFonts w:eastAsia="Times New Roman"/>
          <w:color w:val="000000"/>
          <w:lang w:val="es-MX"/>
        </w:rPr>
        <w:t>Grupo KIO</w:t>
      </w:r>
      <w:r w:rsidRPr="00383106">
        <w:rPr>
          <w:rFonts w:eastAsia="Times New Roman"/>
          <w:color w:val="000000"/>
          <w:lang w:val="es-MX"/>
        </w:rPr>
        <w:t xml:space="preserve"> para proveer servicios </w:t>
      </w:r>
      <w:r w:rsidRPr="0010136E">
        <w:rPr>
          <w:rFonts w:eastAsia="Times New Roman"/>
          <w:color w:val="000000"/>
          <w:lang w:val="es-MX"/>
        </w:rPr>
        <w:t>de telecomunicaciones en México</w:t>
      </w:r>
      <w:r w:rsidR="009D704B" w:rsidRPr="0010136E">
        <w:rPr>
          <w:rFonts w:eastAsia="Times New Roman"/>
          <w:color w:val="000000"/>
          <w:lang w:val="es-MX"/>
        </w:rPr>
        <w:t xml:space="preserve"> es la Concesión Metro Net, </w:t>
      </w:r>
      <w:r w:rsidR="00EE1CBA" w:rsidRPr="0010136E">
        <w:rPr>
          <w:rFonts w:eastAsia="Times New Roman"/>
          <w:color w:val="000000"/>
          <w:lang w:val="es-MX"/>
        </w:rPr>
        <w:t xml:space="preserve">referida </w:t>
      </w:r>
      <w:r w:rsidR="009D704B" w:rsidRPr="0010136E">
        <w:rPr>
          <w:rFonts w:eastAsia="Times New Roman"/>
          <w:color w:val="000000"/>
          <w:lang w:val="es-MX"/>
        </w:rPr>
        <w:t>en el Cuadro 9</w:t>
      </w:r>
      <w:r w:rsidRPr="0010136E">
        <w:rPr>
          <w:rFonts w:eastAsia="Times New Roman"/>
          <w:color w:val="000000"/>
          <w:lang w:val="es-MX"/>
        </w:rPr>
        <w:t>.</w:t>
      </w:r>
    </w:p>
    <w:p w14:paraId="52B3C4FF" w14:textId="5EC99053" w:rsidR="00125707" w:rsidRPr="004B1E7C" w:rsidRDefault="00FC3993" w:rsidP="004B1E7C">
      <w:pPr>
        <w:rPr>
          <w:b/>
        </w:rPr>
      </w:pPr>
      <w:bookmarkStart w:id="28" w:name="_Toc511061410"/>
      <w:r w:rsidRPr="004B1E7C">
        <w:rPr>
          <w:b/>
        </w:rPr>
        <w:t xml:space="preserve">4.2. </w:t>
      </w:r>
      <w:r w:rsidR="00125707" w:rsidRPr="004B1E7C">
        <w:rPr>
          <w:b/>
        </w:rPr>
        <w:t>Sociedades Adquiridas</w:t>
      </w:r>
      <w:bookmarkEnd w:id="28"/>
    </w:p>
    <w:p w14:paraId="55994167" w14:textId="77777777" w:rsidR="00125707" w:rsidRPr="004B1E7C" w:rsidRDefault="00FC3993" w:rsidP="004B1E7C">
      <w:pPr>
        <w:rPr>
          <w:b/>
        </w:rPr>
      </w:pPr>
      <w:bookmarkStart w:id="29" w:name="_Toc510429535"/>
      <w:bookmarkStart w:id="30" w:name="_Toc510440054"/>
      <w:bookmarkStart w:id="31" w:name="_Toc511061411"/>
      <w:bookmarkEnd w:id="29"/>
      <w:bookmarkEnd w:id="30"/>
      <w:r w:rsidRPr="004B1E7C">
        <w:rPr>
          <w:b/>
        </w:rPr>
        <w:t xml:space="preserve">4.2.1. </w:t>
      </w:r>
      <w:bookmarkStart w:id="32" w:name="_Toc510429536"/>
      <w:bookmarkStart w:id="33" w:name="_Toc510440055"/>
      <w:bookmarkStart w:id="34" w:name="_Toc510429537"/>
      <w:bookmarkStart w:id="35" w:name="_Toc510440056"/>
      <w:bookmarkStart w:id="36" w:name="_Toc510429538"/>
      <w:bookmarkStart w:id="37" w:name="_Toc510440057"/>
      <w:bookmarkStart w:id="38" w:name="_Toc510429539"/>
      <w:bookmarkStart w:id="39" w:name="_Toc510440058"/>
      <w:bookmarkStart w:id="40" w:name="_Toc510429540"/>
      <w:bookmarkStart w:id="41" w:name="_Toc510440059"/>
      <w:bookmarkEnd w:id="32"/>
      <w:bookmarkEnd w:id="33"/>
      <w:bookmarkEnd w:id="34"/>
      <w:bookmarkEnd w:id="35"/>
      <w:bookmarkEnd w:id="36"/>
      <w:bookmarkEnd w:id="37"/>
      <w:bookmarkEnd w:id="38"/>
      <w:bookmarkEnd w:id="39"/>
      <w:bookmarkEnd w:id="40"/>
      <w:bookmarkEnd w:id="41"/>
      <w:r w:rsidR="00125707" w:rsidRPr="004B1E7C">
        <w:rPr>
          <w:b/>
        </w:rPr>
        <w:t>CFCA</w:t>
      </w:r>
      <w:bookmarkEnd w:id="31"/>
    </w:p>
    <w:p w14:paraId="736EF34B" w14:textId="7F6816A3" w:rsidR="004A6104" w:rsidRDefault="004A6104" w:rsidP="001C6B1E">
      <w:pPr>
        <w:pStyle w:val="Prrafodelista"/>
        <w:spacing w:after="120" w:line="276" w:lineRule="auto"/>
        <w:ind w:left="0"/>
        <w:contextualSpacing w:val="0"/>
        <w:rPr>
          <w:rFonts w:eastAsia="Times New Roman"/>
          <w:color w:val="000000"/>
          <w:lang w:val="es-MX"/>
        </w:rPr>
      </w:pPr>
      <w:r w:rsidRPr="004A6104">
        <w:rPr>
          <w:rFonts w:eastAsia="Times New Roman"/>
          <w:color w:val="000000"/>
          <w:lang w:val="es-MX"/>
        </w:rPr>
        <w:t>CFCA</w:t>
      </w:r>
      <w:r w:rsidR="00327869" w:rsidRPr="004A6104">
        <w:rPr>
          <w:rFonts w:eastAsia="Times New Roman"/>
          <w:color w:val="000000"/>
          <w:lang w:val="es-MX"/>
        </w:rPr>
        <w:t xml:space="preserve"> es una sociedad constituida </w:t>
      </w:r>
      <w:r w:rsidR="00DC599D">
        <w:rPr>
          <w:rFonts w:eastAsia="Times New Roman"/>
          <w:color w:val="000000"/>
          <w:lang w:val="es-MX"/>
        </w:rPr>
        <w:t>conforme a las leyes mexicanas</w:t>
      </w:r>
      <w:r w:rsidRPr="00DC599D">
        <w:rPr>
          <w:rFonts w:eastAsia="Times New Roman"/>
          <w:color w:val="000000"/>
          <w:lang w:val="es-MX"/>
        </w:rPr>
        <w:t xml:space="preserve">, </w:t>
      </w:r>
      <w:r w:rsidR="00327869" w:rsidRPr="00DC599D">
        <w:rPr>
          <w:rFonts w:eastAsia="Times New Roman"/>
          <w:color w:val="000000"/>
          <w:lang w:val="es-MX"/>
        </w:rPr>
        <w:t xml:space="preserve">según consta en la escritura pública de fecha </w:t>
      </w:r>
      <w:r w:rsidR="00C32F1C">
        <w:rPr>
          <w:rFonts w:eastAsia="Times New Roman"/>
          <w:color w:val="000000"/>
          <w:lang w:val="es-MX"/>
        </w:rPr>
        <w:t>catorce</w:t>
      </w:r>
      <w:r w:rsidRPr="00DC599D">
        <w:rPr>
          <w:rFonts w:eastAsia="Times New Roman"/>
          <w:color w:val="000000"/>
          <w:lang w:val="es-MX"/>
        </w:rPr>
        <w:t xml:space="preserve"> de agosto de </w:t>
      </w:r>
      <w:r w:rsidR="00C32F1C">
        <w:rPr>
          <w:rFonts w:eastAsia="Times New Roman"/>
          <w:color w:val="000000"/>
          <w:lang w:val="es-MX"/>
        </w:rPr>
        <w:t>dos mil diecisiete</w:t>
      </w:r>
      <w:r w:rsidRPr="00DC599D">
        <w:rPr>
          <w:rFonts w:eastAsia="Times New Roman"/>
          <w:color w:val="000000"/>
          <w:lang w:val="es-MX"/>
        </w:rPr>
        <w:t>.</w:t>
      </w:r>
      <w:r w:rsidR="00327869" w:rsidRPr="00DC599D">
        <w:rPr>
          <w:rFonts w:eastAsia="Times New Roman"/>
          <w:color w:val="000000"/>
          <w:vertAlign w:val="superscript"/>
          <w:lang w:val="es-MX"/>
        </w:rPr>
        <w:footnoteReference w:id="26"/>
      </w:r>
    </w:p>
    <w:p w14:paraId="02786D26" w14:textId="794498F1" w:rsidR="00DC599D" w:rsidRDefault="00DC599D" w:rsidP="00DC599D">
      <w:pPr>
        <w:pStyle w:val="Prrafodelista"/>
        <w:spacing w:after="120" w:line="276" w:lineRule="auto"/>
        <w:ind w:left="0"/>
        <w:contextualSpacing w:val="0"/>
        <w:rPr>
          <w:rFonts w:eastAsia="Times New Roman"/>
          <w:color w:val="000000"/>
          <w:lang w:val="es-MX"/>
        </w:rPr>
      </w:pPr>
      <w:r>
        <w:rPr>
          <w:rFonts w:eastAsia="Times New Roman"/>
          <w:color w:val="000000"/>
          <w:lang w:val="es-MX"/>
        </w:rPr>
        <w:t xml:space="preserve">CFCA se constituyó por </w:t>
      </w:r>
      <w:r w:rsidRPr="00DC599D">
        <w:rPr>
          <w:rFonts w:eastAsia="Times New Roman"/>
          <w:color w:val="000000"/>
          <w:lang w:val="es-MX"/>
        </w:rPr>
        <w:t>escisión de Metro Net</w:t>
      </w:r>
      <w:r>
        <w:rPr>
          <w:rFonts w:eastAsia="Times New Roman"/>
          <w:color w:val="000000"/>
          <w:lang w:val="es-MX"/>
        </w:rPr>
        <w:t xml:space="preserve">, quien le trasfirió parte de su activo, pasivo y capital, por lo que antes de la Operación </w:t>
      </w:r>
      <w:r w:rsidR="006C5E1A">
        <w:rPr>
          <w:rFonts w:eastAsia="Times New Roman"/>
          <w:color w:val="000000"/>
          <w:lang w:val="es-MX"/>
        </w:rPr>
        <w:t xml:space="preserve">— realizada el </w:t>
      </w:r>
      <w:r w:rsidR="006C5E1A">
        <w:t>diecisiete</w:t>
      </w:r>
      <w:r w:rsidR="006C5E1A" w:rsidRPr="00E5316B">
        <w:t xml:space="preserve"> de noviembre de </w:t>
      </w:r>
      <w:r w:rsidR="006C5E1A">
        <w:t xml:space="preserve">dos mil </w:t>
      </w:r>
      <w:r w:rsidR="006C5E1A" w:rsidRPr="009D3CF5">
        <w:t>diecisiete</w:t>
      </w:r>
      <w:r w:rsidR="006C5E1A">
        <w:t xml:space="preserve"> — </w:t>
      </w:r>
      <w:r w:rsidRPr="0010136E">
        <w:t>era</w:t>
      </w:r>
      <w:r>
        <w:rPr>
          <w:rFonts w:eastAsia="Times New Roman"/>
          <w:color w:val="000000"/>
          <w:lang w:val="es-MX"/>
        </w:rPr>
        <w:t xml:space="preserve"> una subsidiaria de KIO, </w:t>
      </w:r>
      <w:r w:rsidR="006C5E1A">
        <w:rPr>
          <w:rFonts w:eastAsia="Times New Roman"/>
          <w:color w:val="000000"/>
          <w:lang w:val="es-MX"/>
        </w:rPr>
        <w:t xml:space="preserve">cuyos accionistas antes de esa fecha </w:t>
      </w:r>
      <w:r>
        <w:rPr>
          <w:rFonts w:eastAsia="Times New Roman"/>
          <w:color w:val="000000"/>
          <w:lang w:val="es-MX"/>
        </w:rPr>
        <w:t xml:space="preserve">se </w:t>
      </w:r>
      <w:r w:rsidR="006C5E1A">
        <w:rPr>
          <w:rFonts w:eastAsia="Times New Roman"/>
          <w:color w:val="000000"/>
          <w:lang w:val="es-MX"/>
        </w:rPr>
        <w:t>listan</w:t>
      </w:r>
      <w:r w:rsidRPr="00856CAF">
        <w:rPr>
          <w:rFonts w:eastAsia="Times New Roman"/>
          <w:color w:val="000000"/>
          <w:lang w:val="es-MX"/>
        </w:rPr>
        <w:t xml:space="preserve"> en el siguiente cuadro.</w:t>
      </w:r>
    </w:p>
    <w:p w14:paraId="610009AB" w14:textId="79F69F86" w:rsidR="00DC599D" w:rsidRPr="00DC599D" w:rsidRDefault="00DC599D" w:rsidP="003D067E">
      <w:pPr>
        <w:pStyle w:val="Sinespaciado"/>
        <w:keepNext/>
        <w:numPr>
          <w:ilvl w:val="0"/>
          <w:numId w:val="24"/>
        </w:numPr>
        <w:spacing w:before="120" w:after="120" w:line="276" w:lineRule="auto"/>
        <w:ind w:left="2268" w:right="48" w:hanging="1275"/>
        <w:jc w:val="both"/>
        <w:rPr>
          <w:rFonts w:ascii="ITC Avant Garde" w:hAnsi="ITC Avant Garde"/>
          <w:b/>
        </w:rPr>
      </w:pPr>
      <w:r w:rsidRPr="00DC599D">
        <w:rPr>
          <w:rFonts w:ascii="ITC Avant Garde" w:hAnsi="ITC Avant Garde"/>
          <w:b/>
        </w:rPr>
        <w:t xml:space="preserve">Accionistas de </w:t>
      </w:r>
      <w:r>
        <w:rPr>
          <w:rFonts w:ascii="ITC Avant Garde" w:hAnsi="ITC Avant Garde"/>
          <w:b/>
        </w:rPr>
        <w:t>CFCA</w:t>
      </w:r>
      <w:r w:rsidRPr="00DC599D">
        <w:rPr>
          <w:rFonts w:ascii="ITC Avant Garde" w:hAnsi="ITC Avant Garde"/>
          <w:b/>
        </w:rPr>
        <w:t xml:space="preserve"> </w:t>
      </w:r>
      <w:r w:rsidRPr="003D067E">
        <w:rPr>
          <w:rFonts w:ascii="ITC Avant Garde" w:hAnsi="ITC Avant Garde"/>
          <w:b/>
          <w:u w:val="single"/>
        </w:rPr>
        <w:t>antes de la Operación</w:t>
      </w:r>
    </w:p>
    <w:tbl>
      <w:tblPr>
        <w:tblW w:w="7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Cuadro 10."/>
        <w:tblDescription w:val="Señala quienes son los accionistas de CFCA antes de la Operación"/>
      </w:tblPr>
      <w:tblGrid>
        <w:gridCol w:w="1061"/>
        <w:gridCol w:w="1642"/>
        <w:gridCol w:w="1642"/>
        <w:gridCol w:w="1642"/>
        <w:gridCol w:w="1642"/>
      </w:tblGrid>
      <w:tr w:rsidR="0067654D" w:rsidRPr="00303D82" w14:paraId="64EE9093" w14:textId="77777777" w:rsidTr="0067654D">
        <w:trPr>
          <w:trHeight w:val="255"/>
          <w:tblHeader/>
          <w:jc w:val="center"/>
        </w:trPr>
        <w:tc>
          <w:tcPr>
            <w:tcW w:w="1061" w:type="dxa"/>
            <w:shd w:val="clear" w:color="auto" w:fill="92D050"/>
            <w:vAlign w:val="center"/>
          </w:tcPr>
          <w:p w14:paraId="4D73C67D" w14:textId="4560C10D" w:rsidR="0067654D" w:rsidRPr="00303D82" w:rsidRDefault="0067654D" w:rsidP="0067654D">
            <w:pPr>
              <w:spacing w:before="0" w:after="0"/>
              <w:jc w:val="center"/>
              <w:rPr>
                <w:rFonts w:eastAsia="Times New Roman"/>
                <w:b/>
                <w:color w:val="000000"/>
                <w:sz w:val="18"/>
                <w:szCs w:val="20"/>
              </w:rPr>
            </w:pPr>
            <w:r w:rsidRPr="00303D82">
              <w:rPr>
                <w:rFonts w:eastAsia="Times New Roman"/>
                <w:b/>
                <w:color w:val="000000"/>
                <w:sz w:val="18"/>
                <w:szCs w:val="20"/>
              </w:rPr>
              <w:t>Accionista</w:t>
            </w:r>
          </w:p>
        </w:tc>
        <w:tc>
          <w:tcPr>
            <w:tcW w:w="1642" w:type="dxa"/>
            <w:shd w:val="clear" w:color="auto" w:fill="92D050"/>
            <w:vAlign w:val="center"/>
          </w:tcPr>
          <w:p w14:paraId="6D9291A2" w14:textId="24AABEFE" w:rsidR="0067654D" w:rsidRPr="00303D82" w:rsidRDefault="0067654D" w:rsidP="0067654D">
            <w:pPr>
              <w:spacing w:before="0" w:after="0"/>
              <w:jc w:val="center"/>
              <w:rPr>
                <w:rFonts w:eastAsia="Times New Roman"/>
                <w:b/>
                <w:color w:val="000000"/>
                <w:sz w:val="18"/>
                <w:szCs w:val="20"/>
              </w:rPr>
            </w:pPr>
            <w:r w:rsidRPr="00303D82">
              <w:rPr>
                <w:rFonts w:eastAsia="Times New Roman"/>
                <w:b/>
                <w:color w:val="000000"/>
                <w:sz w:val="18"/>
                <w:szCs w:val="20"/>
              </w:rPr>
              <w:t>Acciones Capital Fijo</w:t>
            </w:r>
          </w:p>
        </w:tc>
        <w:tc>
          <w:tcPr>
            <w:tcW w:w="1642" w:type="dxa"/>
            <w:shd w:val="clear" w:color="auto" w:fill="92D050"/>
            <w:vAlign w:val="center"/>
          </w:tcPr>
          <w:p w14:paraId="2AE9E718" w14:textId="695419CD" w:rsidR="0067654D" w:rsidRPr="00303D82" w:rsidRDefault="0067654D" w:rsidP="0067654D">
            <w:pPr>
              <w:spacing w:before="0" w:after="0"/>
              <w:jc w:val="center"/>
              <w:rPr>
                <w:rFonts w:eastAsia="Times New Roman"/>
                <w:b/>
                <w:color w:val="000000"/>
                <w:sz w:val="18"/>
                <w:szCs w:val="20"/>
              </w:rPr>
            </w:pPr>
            <w:r w:rsidRPr="00303D82">
              <w:rPr>
                <w:rFonts w:eastAsia="Times New Roman"/>
                <w:b/>
                <w:color w:val="000000"/>
                <w:sz w:val="18"/>
                <w:szCs w:val="20"/>
              </w:rPr>
              <w:t>Acciones Capital Variable</w:t>
            </w:r>
          </w:p>
        </w:tc>
        <w:tc>
          <w:tcPr>
            <w:tcW w:w="1642" w:type="dxa"/>
            <w:shd w:val="clear" w:color="auto" w:fill="92D050"/>
            <w:vAlign w:val="center"/>
          </w:tcPr>
          <w:p w14:paraId="6A534547" w14:textId="5C6D7FD2" w:rsidR="0067654D" w:rsidRPr="00303D82" w:rsidRDefault="0067654D" w:rsidP="0067654D">
            <w:pPr>
              <w:spacing w:before="0" w:after="0"/>
              <w:jc w:val="center"/>
              <w:rPr>
                <w:rFonts w:eastAsia="Times New Roman"/>
                <w:b/>
                <w:color w:val="000000"/>
                <w:sz w:val="18"/>
                <w:szCs w:val="20"/>
              </w:rPr>
            </w:pPr>
            <w:r w:rsidRPr="00303D82">
              <w:rPr>
                <w:rFonts w:eastAsia="Times New Roman"/>
                <w:b/>
                <w:color w:val="000000"/>
                <w:sz w:val="18"/>
                <w:szCs w:val="20"/>
              </w:rPr>
              <w:t>Acciones Total</w:t>
            </w:r>
          </w:p>
        </w:tc>
        <w:tc>
          <w:tcPr>
            <w:tcW w:w="1642" w:type="dxa"/>
            <w:shd w:val="clear" w:color="auto" w:fill="92D050"/>
            <w:vAlign w:val="center"/>
          </w:tcPr>
          <w:p w14:paraId="1795B287" w14:textId="38FD0567" w:rsidR="0067654D" w:rsidRPr="00303D82" w:rsidRDefault="0067654D" w:rsidP="0067654D">
            <w:pPr>
              <w:spacing w:before="0" w:after="0"/>
              <w:jc w:val="center"/>
              <w:rPr>
                <w:rFonts w:eastAsia="Times New Roman"/>
                <w:b/>
                <w:color w:val="000000"/>
                <w:sz w:val="18"/>
                <w:szCs w:val="20"/>
              </w:rPr>
            </w:pPr>
            <w:r w:rsidRPr="00303D82">
              <w:rPr>
                <w:rFonts w:eastAsia="Times New Roman"/>
                <w:b/>
                <w:color w:val="000000"/>
                <w:sz w:val="18"/>
                <w:szCs w:val="20"/>
              </w:rPr>
              <w:t>Participación (%)</w:t>
            </w:r>
          </w:p>
        </w:tc>
      </w:tr>
      <w:tr w:rsidR="0067654D" w:rsidRPr="00303D82" w14:paraId="0563ADCB" w14:textId="77777777" w:rsidTr="0067654D">
        <w:trPr>
          <w:trHeight w:val="255"/>
          <w:jc w:val="center"/>
        </w:trPr>
        <w:tc>
          <w:tcPr>
            <w:tcW w:w="1061" w:type="dxa"/>
            <w:vAlign w:val="center"/>
          </w:tcPr>
          <w:p w14:paraId="26A9E9EF" w14:textId="77777777" w:rsidR="0067654D" w:rsidRPr="00303D82" w:rsidRDefault="0067654D" w:rsidP="0067654D">
            <w:pPr>
              <w:spacing w:before="0" w:after="0"/>
              <w:rPr>
                <w:rFonts w:eastAsia="Times New Roman"/>
                <w:color w:val="000000"/>
                <w:sz w:val="18"/>
                <w:szCs w:val="20"/>
              </w:rPr>
            </w:pPr>
            <w:r w:rsidRPr="00303D82">
              <w:rPr>
                <w:rFonts w:eastAsia="Times New Roman"/>
                <w:color w:val="000000"/>
                <w:sz w:val="18"/>
                <w:szCs w:val="20"/>
              </w:rPr>
              <w:t>KIO</w:t>
            </w:r>
          </w:p>
        </w:tc>
        <w:tc>
          <w:tcPr>
            <w:tcW w:w="1642" w:type="dxa"/>
            <w:shd w:val="clear" w:color="auto" w:fill="auto"/>
          </w:tcPr>
          <w:p w14:paraId="5F804732" w14:textId="3F06400C" w:rsidR="0067654D" w:rsidRPr="00CF7754" w:rsidRDefault="0067654D" w:rsidP="0067654D">
            <w:pPr>
              <w:spacing w:before="0" w:after="0"/>
              <w:jc w:val="right"/>
              <w:rPr>
                <w:rFonts w:eastAsia="Times New Roman"/>
                <w:color w:val="000000"/>
                <w:sz w:val="18"/>
                <w:szCs w:val="20"/>
                <w:highlight w:val="cyan"/>
              </w:rPr>
            </w:pPr>
            <w:r w:rsidRPr="00C06CDC">
              <w:rPr>
                <w:b/>
                <w:bCs/>
                <w:color w:val="0000CC"/>
                <w:sz w:val="19"/>
                <w:szCs w:val="19"/>
              </w:rPr>
              <w:t>“CONFIDENCIAL POR LEY (1</w:t>
            </w:r>
            <w:r>
              <w:rPr>
                <w:b/>
                <w:bCs/>
                <w:color w:val="0000CC"/>
                <w:sz w:val="19"/>
                <w:szCs w:val="19"/>
              </w:rPr>
              <w:t>30</w:t>
            </w:r>
            <w:r w:rsidRPr="00C06CDC">
              <w:rPr>
                <w:b/>
                <w:bCs/>
                <w:color w:val="0000CC"/>
                <w:sz w:val="19"/>
                <w:szCs w:val="19"/>
              </w:rPr>
              <w:t>)”</w:t>
            </w:r>
          </w:p>
        </w:tc>
        <w:tc>
          <w:tcPr>
            <w:tcW w:w="1642" w:type="dxa"/>
            <w:shd w:val="clear" w:color="auto" w:fill="auto"/>
          </w:tcPr>
          <w:p w14:paraId="57382D0B" w14:textId="3219CFB4" w:rsidR="0067654D" w:rsidRPr="00CF7754" w:rsidRDefault="0067654D" w:rsidP="0067654D">
            <w:pPr>
              <w:spacing w:before="0" w:after="0"/>
              <w:jc w:val="right"/>
              <w:rPr>
                <w:rFonts w:eastAsia="Times New Roman"/>
                <w:color w:val="000000"/>
                <w:sz w:val="18"/>
                <w:szCs w:val="20"/>
                <w:highlight w:val="cyan"/>
              </w:rPr>
            </w:pPr>
            <w:r w:rsidRPr="00C06CDC">
              <w:rPr>
                <w:b/>
                <w:bCs/>
                <w:color w:val="0000CC"/>
                <w:sz w:val="19"/>
                <w:szCs w:val="19"/>
              </w:rPr>
              <w:t>“CONFIDENCIAL POR LEY (</w:t>
            </w:r>
            <w:r>
              <w:rPr>
                <w:b/>
                <w:bCs/>
                <w:color w:val="0000CC"/>
                <w:sz w:val="19"/>
                <w:szCs w:val="19"/>
              </w:rPr>
              <w:t>13</w:t>
            </w:r>
            <w:r w:rsidRPr="00C06CDC">
              <w:rPr>
                <w:b/>
                <w:bCs/>
                <w:color w:val="0000CC"/>
                <w:sz w:val="19"/>
                <w:szCs w:val="19"/>
              </w:rPr>
              <w:t>1)”</w:t>
            </w:r>
          </w:p>
        </w:tc>
        <w:tc>
          <w:tcPr>
            <w:tcW w:w="1642" w:type="dxa"/>
          </w:tcPr>
          <w:p w14:paraId="2124DDB5" w14:textId="190B76A0" w:rsidR="0067654D" w:rsidRPr="00CF7754" w:rsidRDefault="0067654D" w:rsidP="0067654D">
            <w:pPr>
              <w:spacing w:before="0" w:after="0"/>
              <w:jc w:val="right"/>
              <w:rPr>
                <w:rFonts w:eastAsia="Times New Roman"/>
                <w:color w:val="000000"/>
                <w:sz w:val="18"/>
                <w:szCs w:val="20"/>
                <w:highlight w:val="cyan"/>
              </w:rPr>
            </w:pPr>
            <w:r w:rsidRPr="00C06CDC">
              <w:rPr>
                <w:b/>
                <w:bCs/>
                <w:color w:val="0000CC"/>
                <w:sz w:val="19"/>
                <w:szCs w:val="19"/>
              </w:rPr>
              <w:t>“CONFIDENCIAL POR LEY (1</w:t>
            </w:r>
            <w:r>
              <w:rPr>
                <w:b/>
                <w:bCs/>
                <w:color w:val="0000CC"/>
                <w:sz w:val="19"/>
                <w:szCs w:val="19"/>
              </w:rPr>
              <w:t>32</w:t>
            </w:r>
            <w:r w:rsidRPr="00C06CDC">
              <w:rPr>
                <w:b/>
                <w:bCs/>
                <w:color w:val="0000CC"/>
                <w:sz w:val="19"/>
                <w:szCs w:val="19"/>
              </w:rPr>
              <w:t>)”</w:t>
            </w:r>
          </w:p>
        </w:tc>
        <w:tc>
          <w:tcPr>
            <w:tcW w:w="1642" w:type="dxa"/>
            <w:shd w:val="clear" w:color="auto" w:fill="auto"/>
            <w:hideMark/>
          </w:tcPr>
          <w:p w14:paraId="1E5A3303" w14:textId="7FF40AB0" w:rsidR="0067654D" w:rsidRPr="00CF7754" w:rsidRDefault="0067654D" w:rsidP="0067654D">
            <w:pPr>
              <w:spacing w:before="0" w:after="0"/>
              <w:jc w:val="right"/>
              <w:rPr>
                <w:rFonts w:eastAsia="Times New Roman"/>
                <w:color w:val="000000"/>
                <w:sz w:val="18"/>
                <w:szCs w:val="20"/>
                <w:highlight w:val="cyan"/>
              </w:rPr>
            </w:pPr>
            <w:r w:rsidRPr="00C06CDC">
              <w:rPr>
                <w:b/>
                <w:bCs/>
                <w:color w:val="0000CC"/>
                <w:sz w:val="19"/>
                <w:szCs w:val="19"/>
              </w:rPr>
              <w:t>“CONFIDENCIAL POR LEY (1</w:t>
            </w:r>
            <w:r>
              <w:rPr>
                <w:b/>
                <w:bCs/>
                <w:color w:val="0000CC"/>
                <w:sz w:val="19"/>
                <w:szCs w:val="19"/>
              </w:rPr>
              <w:t>33</w:t>
            </w:r>
            <w:r w:rsidRPr="00C06CDC">
              <w:rPr>
                <w:b/>
                <w:bCs/>
                <w:color w:val="0000CC"/>
                <w:sz w:val="19"/>
                <w:szCs w:val="19"/>
              </w:rPr>
              <w:t>)”</w:t>
            </w:r>
          </w:p>
        </w:tc>
      </w:tr>
      <w:tr w:rsidR="0067654D" w:rsidRPr="00303D82" w14:paraId="59280BDE" w14:textId="77777777" w:rsidTr="0067654D">
        <w:trPr>
          <w:trHeight w:val="255"/>
          <w:jc w:val="center"/>
        </w:trPr>
        <w:tc>
          <w:tcPr>
            <w:tcW w:w="1061" w:type="dxa"/>
            <w:vAlign w:val="center"/>
          </w:tcPr>
          <w:p w14:paraId="5C0F04F5" w14:textId="77777777" w:rsidR="0067654D" w:rsidRPr="00303D82" w:rsidRDefault="0067654D" w:rsidP="0067654D">
            <w:pPr>
              <w:spacing w:before="0" w:after="0"/>
              <w:rPr>
                <w:rFonts w:eastAsia="Times New Roman"/>
                <w:color w:val="000000"/>
                <w:sz w:val="18"/>
                <w:szCs w:val="20"/>
              </w:rPr>
            </w:pPr>
            <w:proofErr w:type="spellStart"/>
            <w:r w:rsidRPr="00303D82">
              <w:rPr>
                <w:rFonts w:eastAsia="Times New Roman"/>
                <w:color w:val="000000"/>
                <w:sz w:val="18"/>
                <w:szCs w:val="20"/>
              </w:rPr>
              <w:t>Wingu</w:t>
            </w:r>
            <w:proofErr w:type="spellEnd"/>
          </w:p>
        </w:tc>
        <w:tc>
          <w:tcPr>
            <w:tcW w:w="1642" w:type="dxa"/>
            <w:shd w:val="clear" w:color="auto" w:fill="auto"/>
            <w:vAlign w:val="bottom"/>
          </w:tcPr>
          <w:p w14:paraId="473E1E65" w14:textId="77777777" w:rsidR="0067654D" w:rsidRPr="00CF7754" w:rsidRDefault="0067654D" w:rsidP="0067654D">
            <w:pPr>
              <w:spacing w:before="0" w:after="0"/>
              <w:jc w:val="right"/>
              <w:rPr>
                <w:rFonts w:eastAsia="Times New Roman"/>
                <w:color w:val="000000"/>
                <w:sz w:val="18"/>
                <w:szCs w:val="20"/>
                <w:highlight w:val="cyan"/>
              </w:rPr>
            </w:pPr>
          </w:p>
        </w:tc>
        <w:tc>
          <w:tcPr>
            <w:tcW w:w="1642" w:type="dxa"/>
            <w:shd w:val="clear" w:color="auto" w:fill="auto"/>
          </w:tcPr>
          <w:p w14:paraId="3520D80B" w14:textId="1DDC2AE5" w:rsidR="0067654D" w:rsidRPr="00CF7754" w:rsidRDefault="0067654D" w:rsidP="0067654D">
            <w:pPr>
              <w:spacing w:before="0" w:after="0"/>
              <w:jc w:val="right"/>
              <w:rPr>
                <w:rFonts w:eastAsia="Times New Roman"/>
                <w:color w:val="000000"/>
                <w:sz w:val="18"/>
                <w:szCs w:val="20"/>
                <w:highlight w:val="cyan"/>
              </w:rPr>
            </w:pPr>
            <w:r w:rsidRPr="000D1A22">
              <w:rPr>
                <w:b/>
                <w:bCs/>
                <w:color w:val="0000CC"/>
                <w:sz w:val="19"/>
                <w:szCs w:val="19"/>
              </w:rPr>
              <w:t>“CONFIDENCIAL POR LEY (1</w:t>
            </w:r>
            <w:r>
              <w:rPr>
                <w:b/>
                <w:bCs/>
                <w:color w:val="0000CC"/>
                <w:sz w:val="19"/>
                <w:szCs w:val="19"/>
              </w:rPr>
              <w:t>34</w:t>
            </w:r>
            <w:r w:rsidRPr="000D1A22">
              <w:rPr>
                <w:b/>
                <w:bCs/>
                <w:color w:val="0000CC"/>
                <w:sz w:val="19"/>
                <w:szCs w:val="19"/>
              </w:rPr>
              <w:t>)”</w:t>
            </w:r>
          </w:p>
        </w:tc>
        <w:tc>
          <w:tcPr>
            <w:tcW w:w="1642" w:type="dxa"/>
          </w:tcPr>
          <w:p w14:paraId="480CDF2F" w14:textId="1A510E2D" w:rsidR="0067654D" w:rsidRPr="00CF7754" w:rsidRDefault="0067654D" w:rsidP="0067654D">
            <w:pPr>
              <w:spacing w:before="0" w:after="0"/>
              <w:jc w:val="right"/>
              <w:rPr>
                <w:rFonts w:eastAsia="Times New Roman"/>
                <w:color w:val="000000"/>
                <w:sz w:val="18"/>
                <w:szCs w:val="20"/>
                <w:highlight w:val="cyan"/>
              </w:rPr>
            </w:pPr>
            <w:r w:rsidRPr="000D1A22">
              <w:rPr>
                <w:b/>
                <w:bCs/>
                <w:color w:val="0000CC"/>
                <w:sz w:val="19"/>
                <w:szCs w:val="19"/>
              </w:rPr>
              <w:t>“CONFIDENCIAL POR LEY (1</w:t>
            </w:r>
            <w:r>
              <w:rPr>
                <w:b/>
                <w:bCs/>
                <w:color w:val="0000CC"/>
                <w:sz w:val="19"/>
                <w:szCs w:val="19"/>
              </w:rPr>
              <w:t>35</w:t>
            </w:r>
            <w:r w:rsidRPr="000D1A22">
              <w:rPr>
                <w:b/>
                <w:bCs/>
                <w:color w:val="0000CC"/>
                <w:sz w:val="19"/>
                <w:szCs w:val="19"/>
              </w:rPr>
              <w:t>)”</w:t>
            </w:r>
          </w:p>
        </w:tc>
        <w:tc>
          <w:tcPr>
            <w:tcW w:w="1642" w:type="dxa"/>
            <w:shd w:val="clear" w:color="auto" w:fill="auto"/>
            <w:hideMark/>
          </w:tcPr>
          <w:p w14:paraId="30DAE8F7" w14:textId="0116B67F" w:rsidR="0067654D" w:rsidRPr="00CF7754" w:rsidRDefault="0067654D" w:rsidP="0067654D">
            <w:pPr>
              <w:spacing w:before="0" w:after="0"/>
              <w:jc w:val="right"/>
              <w:rPr>
                <w:rFonts w:eastAsia="Times New Roman"/>
                <w:color w:val="000000"/>
                <w:sz w:val="18"/>
                <w:szCs w:val="20"/>
                <w:highlight w:val="cyan"/>
              </w:rPr>
            </w:pPr>
            <w:r w:rsidRPr="000D1A22">
              <w:rPr>
                <w:b/>
                <w:bCs/>
                <w:color w:val="0000CC"/>
                <w:sz w:val="19"/>
                <w:szCs w:val="19"/>
              </w:rPr>
              <w:t>“CONFIDENCIAL POR LEY (1</w:t>
            </w:r>
            <w:r>
              <w:rPr>
                <w:b/>
                <w:bCs/>
                <w:color w:val="0000CC"/>
                <w:sz w:val="19"/>
                <w:szCs w:val="19"/>
              </w:rPr>
              <w:t>36</w:t>
            </w:r>
            <w:r w:rsidRPr="000D1A22">
              <w:rPr>
                <w:b/>
                <w:bCs/>
                <w:color w:val="0000CC"/>
                <w:sz w:val="19"/>
                <w:szCs w:val="19"/>
              </w:rPr>
              <w:t>)”</w:t>
            </w:r>
          </w:p>
        </w:tc>
      </w:tr>
      <w:tr w:rsidR="0067654D" w:rsidRPr="006018EA" w14:paraId="79EA7EED" w14:textId="77777777" w:rsidTr="0067654D">
        <w:trPr>
          <w:trHeight w:val="255"/>
          <w:jc w:val="center"/>
        </w:trPr>
        <w:tc>
          <w:tcPr>
            <w:tcW w:w="1061" w:type="dxa"/>
            <w:vAlign w:val="center"/>
          </w:tcPr>
          <w:p w14:paraId="705C3011" w14:textId="77777777" w:rsidR="0067654D" w:rsidRPr="006018EA" w:rsidRDefault="0067654D" w:rsidP="0067654D">
            <w:pPr>
              <w:spacing w:before="0" w:after="0"/>
              <w:rPr>
                <w:rFonts w:eastAsia="Times New Roman"/>
                <w:b/>
                <w:color w:val="000000"/>
                <w:sz w:val="18"/>
                <w:szCs w:val="20"/>
              </w:rPr>
            </w:pPr>
            <w:r w:rsidRPr="006018EA">
              <w:rPr>
                <w:rFonts w:eastAsia="Times New Roman"/>
                <w:b/>
                <w:color w:val="000000"/>
                <w:sz w:val="18"/>
                <w:szCs w:val="20"/>
              </w:rPr>
              <w:t>TOTAL</w:t>
            </w:r>
          </w:p>
        </w:tc>
        <w:tc>
          <w:tcPr>
            <w:tcW w:w="1642" w:type="dxa"/>
            <w:shd w:val="clear" w:color="auto" w:fill="auto"/>
          </w:tcPr>
          <w:p w14:paraId="1BACF603" w14:textId="4645836C" w:rsidR="0067654D" w:rsidRPr="00CF7754" w:rsidRDefault="0067654D" w:rsidP="0067654D">
            <w:pPr>
              <w:spacing w:before="0" w:after="0"/>
              <w:jc w:val="right"/>
              <w:rPr>
                <w:rFonts w:eastAsia="Times New Roman"/>
                <w:b/>
                <w:color w:val="000000"/>
                <w:sz w:val="18"/>
                <w:szCs w:val="20"/>
                <w:highlight w:val="cyan"/>
              </w:rPr>
            </w:pPr>
            <w:r w:rsidRPr="00B4281B">
              <w:rPr>
                <w:b/>
                <w:bCs/>
                <w:color w:val="0000CC"/>
                <w:sz w:val="19"/>
                <w:szCs w:val="19"/>
              </w:rPr>
              <w:t>“CONFIDENCIAL POR LEY (1</w:t>
            </w:r>
            <w:r>
              <w:rPr>
                <w:b/>
                <w:bCs/>
                <w:color w:val="0000CC"/>
                <w:sz w:val="19"/>
                <w:szCs w:val="19"/>
              </w:rPr>
              <w:t>37</w:t>
            </w:r>
            <w:r w:rsidRPr="00B4281B">
              <w:rPr>
                <w:b/>
                <w:bCs/>
                <w:color w:val="0000CC"/>
                <w:sz w:val="19"/>
                <w:szCs w:val="19"/>
              </w:rPr>
              <w:t>)”</w:t>
            </w:r>
          </w:p>
        </w:tc>
        <w:tc>
          <w:tcPr>
            <w:tcW w:w="1642" w:type="dxa"/>
            <w:shd w:val="clear" w:color="auto" w:fill="auto"/>
          </w:tcPr>
          <w:p w14:paraId="5566920D" w14:textId="6BBC8B9D" w:rsidR="0067654D" w:rsidRPr="00CF7754" w:rsidRDefault="0067654D" w:rsidP="0067654D">
            <w:pPr>
              <w:spacing w:before="0" w:after="0"/>
              <w:jc w:val="right"/>
              <w:rPr>
                <w:rFonts w:eastAsia="Times New Roman"/>
                <w:b/>
                <w:color w:val="000000"/>
                <w:sz w:val="18"/>
                <w:szCs w:val="20"/>
                <w:highlight w:val="cyan"/>
              </w:rPr>
            </w:pPr>
            <w:r w:rsidRPr="00B4281B">
              <w:rPr>
                <w:b/>
                <w:bCs/>
                <w:color w:val="0000CC"/>
                <w:sz w:val="19"/>
                <w:szCs w:val="19"/>
              </w:rPr>
              <w:t>“CONFIDENCIAL POR LEY (1</w:t>
            </w:r>
            <w:r>
              <w:rPr>
                <w:b/>
                <w:bCs/>
                <w:color w:val="0000CC"/>
                <w:sz w:val="19"/>
                <w:szCs w:val="19"/>
              </w:rPr>
              <w:t>38</w:t>
            </w:r>
            <w:r w:rsidRPr="00B4281B">
              <w:rPr>
                <w:b/>
                <w:bCs/>
                <w:color w:val="0000CC"/>
                <w:sz w:val="19"/>
                <w:szCs w:val="19"/>
              </w:rPr>
              <w:t>)”</w:t>
            </w:r>
          </w:p>
        </w:tc>
        <w:tc>
          <w:tcPr>
            <w:tcW w:w="1642" w:type="dxa"/>
          </w:tcPr>
          <w:p w14:paraId="5AFDE911" w14:textId="48E6E528" w:rsidR="0067654D" w:rsidRPr="00CF7754" w:rsidRDefault="0067654D" w:rsidP="0067654D">
            <w:pPr>
              <w:spacing w:before="0" w:after="0"/>
              <w:jc w:val="right"/>
              <w:rPr>
                <w:rFonts w:eastAsia="Times New Roman"/>
                <w:b/>
                <w:color w:val="000000"/>
                <w:sz w:val="18"/>
                <w:szCs w:val="20"/>
                <w:highlight w:val="cyan"/>
              </w:rPr>
            </w:pPr>
            <w:r w:rsidRPr="00B4281B">
              <w:rPr>
                <w:b/>
                <w:bCs/>
                <w:color w:val="0000CC"/>
                <w:sz w:val="19"/>
                <w:szCs w:val="19"/>
              </w:rPr>
              <w:t>“CONFIDENCIAL POR LEY (1</w:t>
            </w:r>
            <w:r>
              <w:rPr>
                <w:b/>
                <w:bCs/>
                <w:color w:val="0000CC"/>
                <w:sz w:val="19"/>
                <w:szCs w:val="19"/>
              </w:rPr>
              <w:t>39</w:t>
            </w:r>
            <w:r w:rsidRPr="00B4281B">
              <w:rPr>
                <w:b/>
                <w:bCs/>
                <w:color w:val="0000CC"/>
                <w:sz w:val="19"/>
                <w:szCs w:val="19"/>
              </w:rPr>
              <w:t>)”</w:t>
            </w:r>
          </w:p>
        </w:tc>
        <w:tc>
          <w:tcPr>
            <w:tcW w:w="1642" w:type="dxa"/>
            <w:shd w:val="clear" w:color="auto" w:fill="auto"/>
          </w:tcPr>
          <w:p w14:paraId="59E3240A" w14:textId="4D9E5BBA" w:rsidR="0067654D" w:rsidRPr="001B6F22" w:rsidRDefault="0067654D" w:rsidP="0067654D">
            <w:pPr>
              <w:spacing w:before="0" w:after="0"/>
              <w:jc w:val="right"/>
              <w:rPr>
                <w:rFonts w:eastAsia="Times New Roman"/>
                <w:b/>
                <w:color w:val="000000"/>
                <w:sz w:val="18"/>
                <w:szCs w:val="20"/>
                <w:highlight w:val="cyan"/>
              </w:rPr>
            </w:pPr>
            <w:r w:rsidRPr="00B4281B">
              <w:rPr>
                <w:b/>
                <w:bCs/>
                <w:color w:val="0000CC"/>
                <w:sz w:val="19"/>
                <w:szCs w:val="19"/>
              </w:rPr>
              <w:t>“CONFIDENCIAL POR LEY (1</w:t>
            </w:r>
            <w:r>
              <w:rPr>
                <w:b/>
                <w:bCs/>
                <w:color w:val="0000CC"/>
                <w:sz w:val="19"/>
                <w:szCs w:val="19"/>
              </w:rPr>
              <w:t>40</w:t>
            </w:r>
            <w:r w:rsidRPr="00B4281B">
              <w:rPr>
                <w:b/>
                <w:bCs/>
                <w:color w:val="0000CC"/>
                <w:sz w:val="19"/>
                <w:szCs w:val="19"/>
              </w:rPr>
              <w:t>)”</w:t>
            </w:r>
          </w:p>
        </w:tc>
      </w:tr>
    </w:tbl>
    <w:p w14:paraId="34144E7F" w14:textId="77777777" w:rsidR="00DC599D" w:rsidRPr="00327869" w:rsidRDefault="00DC599D" w:rsidP="00DC599D">
      <w:pPr>
        <w:pStyle w:val="Notaalpie"/>
        <w:ind w:left="993" w:right="708"/>
        <w:rPr>
          <w:rFonts w:eastAsia="Calibri" w:cs="Times New Roman"/>
          <w:sz w:val="16"/>
          <w:highlight w:val="yellow"/>
        </w:rPr>
      </w:pPr>
      <w:r w:rsidRPr="00140276">
        <w:rPr>
          <w:rFonts w:eastAsia="Calibri" w:cs="Times New Roman"/>
          <w:sz w:val="16"/>
        </w:rPr>
        <w:t xml:space="preserve">Fuente: Elaboración propia con información contenida en Foja </w:t>
      </w:r>
      <w:r w:rsidRPr="007E0F8D">
        <w:rPr>
          <w:rFonts w:eastAsia="Calibri" w:cs="Times New Roman"/>
          <w:sz w:val="16"/>
        </w:rPr>
        <w:t>4</w:t>
      </w:r>
      <w:r w:rsidR="00140276" w:rsidRPr="007E0F8D">
        <w:rPr>
          <w:rFonts w:eastAsia="Calibri" w:cs="Times New Roman"/>
          <w:sz w:val="16"/>
        </w:rPr>
        <w:t>80</w:t>
      </w:r>
      <w:r w:rsidR="007E0F8D" w:rsidRPr="007E0F8D">
        <w:rPr>
          <w:rFonts w:eastAsia="Calibri" w:cs="Times New Roman"/>
          <w:sz w:val="16"/>
        </w:rPr>
        <w:t xml:space="preserve"> </w:t>
      </w:r>
      <w:r w:rsidRPr="007E0F8D">
        <w:rPr>
          <w:rFonts w:eastAsia="Calibri" w:cs="Times New Roman"/>
          <w:sz w:val="16"/>
        </w:rPr>
        <w:t>del Expediente.</w:t>
      </w:r>
    </w:p>
    <w:p w14:paraId="447AC614" w14:textId="4AC31A0F" w:rsidR="00327869" w:rsidRDefault="00327869" w:rsidP="001C6B1E">
      <w:pPr>
        <w:pStyle w:val="Prrafodelista"/>
        <w:spacing w:after="120" w:line="276" w:lineRule="auto"/>
        <w:ind w:left="0"/>
        <w:contextualSpacing w:val="0"/>
        <w:rPr>
          <w:rFonts w:eastAsia="Times New Roman"/>
          <w:color w:val="000000"/>
          <w:lang w:val="es-MX"/>
        </w:rPr>
      </w:pPr>
      <w:r w:rsidRPr="005874AB">
        <w:rPr>
          <w:rFonts w:eastAsia="Times New Roman"/>
          <w:color w:val="000000"/>
          <w:lang w:val="es-MX"/>
        </w:rPr>
        <w:t xml:space="preserve">La estructura accionaria de </w:t>
      </w:r>
      <w:r w:rsidR="005874AB" w:rsidRPr="005874AB">
        <w:rPr>
          <w:rFonts w:eastAsia="Times New Roman"/>
          <w:color w:val="000000"/>
          <w:lang w:val="es-MX"/>
        </w:rPr>
        <w:t>CFCA</w:t>
      </w:r>
      <w:r w:rsidRPr="005874AB">
        <w:rPr>
          <w:rFonts w:eastAsia="Times New Roman"/>
          <w:color w:val="000000"/>
          <w:lang w:val="es-MX"/>
        </w:rPr>
        <w:t xml:space="preserve"> se modific</w:t>
      </w:r>
      <w:r w:rsidR="005874AB" w:rsidRPr="005874AB">
        <w:rPr>
          <w:rFonts w:eastAsia="Times New Roman"/>
          <w:color w:val="000000"/>
          <w:lang w:val="es-MX"/>
        </w:rPr>
        <w:t>ó</w:t>
      </w:r>
      <w:r w:rsidRPr="005874AB">
        <w:rPr>
          <w:rFonts w:eastAsia="Times New Roman"/>
          <w:color w:val="000000"/>
          <w:lang w:val="es-MX"/>
        </w:rPr>
        <w:t xml:space="preserve"> en virtud de la Operación, pues </w:t>
      </w:r>
      <w:r w:rsidR="00D87FA8" w:rsidRPr="00E63FC2">
        <w:rPr>
          <w:b/>
          <w:bCs/>
          <w:color w:val="0000CC"/>
          <w:sz w:val="19"/>
          <w:szCs w:val="19"/>
        </w:rPr>
        <w:t>“CONFIDENCIAL POR LEY (1</w:t>
      </w:r>
      <w:r w:rsidR="00FA0986">
        <w:rPr>
          <w:b/>
          <w:bCs/>
          <w:color w:val="0000CC"/>
          <w:sz w:val="19"/>
          <w:szCs w:val="19"/>
        </w:rPr>
        <w:t>41</w:t>
      </w:r>
      <w:r w:rsidR="00D87FA8" w:rsidRPr="00E63FC2">
        <w:rPr>
          <w:b/>
          <w:bCs/>
          <w:color w:val="0000CC"/>
          <w:sz w:val="19"/>
          <w:szCs w:val="19"/>
        </w:rPr>
        <w:t>)”</w:t>
      </w:r>
      <w:r w:rsidR="00D87FA8">
        <w:rPr>
          <w:b/>
          <w:bCs/>
          <w:color w:val="0000CC"/>
          <w:sz w:val="19"/>
          <w:szCs w:val="19"/>
        </w:rPr>
        <w:t xml:space="preserve"> </w:t>
      </w:r>
      <w:r w:rsidRPr="005874AB">
        <w:rPr>
          <w:rFonts w:eastAsia="Times New Roman"/>
          <w:color w:val="000000"/>
          <w:lang w:val="es-MX"/>
        </w:rPr>
        <w:t xml:space="preserve">acciones </w:t>
      </w:r>
      <w:r w:rsidR="005874AB" w:rsidRPr="005874AB">
        <w:rPr>
          <w:rFonts w:eastAsia="Times New Roman"/>
          <w:color w:val="000000"/>
          <w:lang w:val="es-MX"/>
        </w:rPr>
        <w:t>fueron</w:t>
      </w:r>
      <w:r w:rsidRPr="005874AB">
        <w:rPr>
          <w:rFonts w:eastAsia="Times New Roman"/>
          <w:color w:val="000000"/>
          <w:lang w:val="es-MX"/>
        </w:rPr>
        <w:t xml:space="preserve"> adquiridas por </w:t>
      </w:r>
      <w:r w:rsidR="005874AB" w:rsidRPr="005874AB">
        <w:rPr>
          <w:rFonts w:eastAsia="Times New Roman"/>
          <w:color w:val="000000"/>
          <w:lang w:val="es-MX"/>
        </w:rPr>
        <w:t>los Compradores</w:t>
      </w:r>
      <w:r w:rsidRPr="005874AB">
        <w:rPr>
          <w:rFonts w:eastAsia="Times New Roman"/>
          <w:color w:val="000000"/>
          <w:lang w:val="es-MX"/>
        </w:rPr>
        <w:t>, como se indica en el siguiente cuadro.</w:t>
      </w:r>
    </w:p>
    <w:p w14:paraId="350DCC5A" w14:textId="77777777" w:rsidR="005874AB" w:rsidRPr="00E70056" w:rsidRDefault="005874AB" w:rsidP="003D067E">
      <w:pPr>
        <w:pStyle w:val="Sinespaciado"/>
        <w:keepNext/>
        <w:numPr>
          <w:ilvl w:val="0"/>
          <w:numId w:val="24"/>
        </w:numPr>
        <w:spacing w:before="120" w:after="120" w:line="276" w:lineRule="auto"/>
        <w:ind w:left="2268" w:right="48" w:hanging="1275"/>
        <w:jc w:val="both"/>
        <w:rPr>
          <w:rFonts w:ascii="ITC Avant Garde" w:hAnsi="ITC Avant Garde"/>
          <w:b/>
        </w:rPr>
      </w:pPr>
      <w:r w:rsidRPr="00E70056">
        <w:rPr>
          <w:rFonts w:ascii="ITC Avant Garde" w:hAnsi="ITC Avant Garde"/>
          <w:b/>
        </w:rPr>
        <w:t xml:space="preserve">Accionistas de CFCA </w:t>
      </w:r>
      <w:r w:rsidRPr="00E70056">
        <w:rPr>
          <w:rFonts w:ascii="ITC Avant Garde" w:hAnsi="ITC Avant Garde"/>
          <w:b/>
          <w:u w:val="single"/>
        </w:rPr>
        <w:t>después de la Operación</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Cuadro 11."/>
        <w:tblDescription w:val="Señala quienes son los accionistas de CFCA después de la Operación"/>
      </w:tblPr>
      <w:tblGrid>
        <w:gridCol w:w="1074"/>
        <w:gridCol w:w="1642"/>
        <w:gridCol w:w="1652"/>
        <w:gridCol w:w="1642"/>
        <w:gridCol w:w="1645"/>
      </w:tblGrid>
      <w:tr w:rsidR="0067654D" w:rsidRPr="00383106" w14:paraId="4F8C92B2" w14:textId="77777777" w:rsidTr="00DD187D">
        <w:trPr>
          <w:trHeight w:val="255"/>
          <w:tblHeader/>
          <w:jc w:val="center"/>
        </w:trPr>
        <w:tc>
          <w:tcPr>
            <w:tcW w:w="1074" w:type="dxa"/>
            <w:shd w:val="clear" w:color="auto" w:fill="92D050"/>
            <w:vAlign w:val="center"/>
          </w:tcPr>
          <w:p w14:paraId="6FD5A31D" w14:textId="2A0C024D" w:rsidR="0067654D" w:rsidRPr="00383106" w:rsidRDefault="0067654D" w:rsidP="0067654D">
            <w:pPr>
              <w:spacing w:before="0" w:after="0"/>
              <w:jc w:val="center"/>
              <w:rPr>
                <w:rFonts w:eastAsia="Times New Roman"/>
                <w:b/>
                <w:color w:val="000000"/>
                <w:sz w:val="18"/>
                <w:szCs w:val="20"/>
              </w:rPr>
            </w:pPr>
            <w:r w:rsidRPr="00303D82">
              <w:rPr>
                <w:rFonts w:eastAsia="Times New Roman"/>
                <w:b/>
                <w:color w:val="000000"/>
                <w:sz w:val="18"/>
                <w:szCs w:val="20"/>
              </w:rPr>
              <w:t>Accionista</w:t>
            </w:r>
          </w:p>
        </w:tc>
        <w:tc>
          <w:tcPr>
            <w:tcW w:w="1642" w:type="dxa"/>
            <w:shd w:val="clear" w:color="auto" w:fill="92D050"/>
            <w:vAlign w:val="center"/>
          </w:tcPr>
          <w:p w14:paraId="71DF8C37" w14:textId="29C11413" w:rsidR="0067654D" w:rsidRPr="00383106" w:rsidRDefault="0067654D" w:rsidP="0067654D">
            <w:pPr>
              <w:spacing w:before="0" w:after="0"/>
              <w:jc w:val="center"/>
              <w:rPr>
                <w:rFonts w:eastAsia="Times New Roman"/>
                <w:b/>
                <w:color w:val="000000"/>
                <w:sz w:val="18"/>
                <w:szCs w:val="20"/>
              </w:rPr>
            </w:pPr>
            <w:r w:rsidRPr="00303D82">
              <w:rPr>
                <w:rFonts w:eastAsia="Times New Roman"/>
                <w:b/>
                <w:color w:val="000000"/>
                <w:sz w:val="18"/>
                <w:szCs w:val="20"/>
              </w:rPr>
              <w:t>Acciones Capital Fijo</w:t>
            </w:r>
          </w:p>
        </w:tc>
        <w:tc>
          <w:tcPr>
            <w:tcW w:w="1652" w:type="dxa"/>
            <w:shd w:val="clear" w:color="auto" w:fill="92D050"/>
            <w:vAlign w:val="center"/>
          </w:tcPr>
          <w:p w14:paraId="2812FD69" w14:textId="6F2BD70B" w:rsidR="0067654D" w:rsidRPr="00383106" w:rsidRDefault="0067654D" w:rsidP="0067654D">
            <w:pPr>
              <w:spacing w:before="0" w:after="0"/>
              <w:jc w:val="center"/>
              <w:rPr>
                <w:rFonts w:eastAsia="Times New Roman"/>
                <w:b/>
                <w:color w:val="000000"/>
                <w:sz w:val="18"/>
                <w:szCs w:val="20"/>
              </w:rPr>
            </w:pPr>
            <w:r w:rsidRPr="00303D82">
              <w:rPr>
                <w:rFonts w:eastAsia="Times New Roman"/>
                <w:b/>
                <w:color w:val="000000"/>
                <w:sz w:val="18"/>
                <w:szCs w:val="20"/>
              </w:rPr>
              <w:t>Acciones Capital Variable</w:t>
            </w:r>
          </w:p>
        </w:tc>
        <w:tc>
          <w:tcPr>
            <w:tcW w:w="1642" w:type="dxa"/>
            <w:shd w:val="clear" w:color="auto" w:fill="92D050"/>
            <w:vAlign w:val="center"/>
          </w:tcPr>
          <w:p w14:paraId="7B90807B" w14:textId="7FE5BF66" w:rsidR="0067654D" w:rsidRPr="00383106" w:rsidRDefault="0067654D" w:rsidP="0067654D">
            <w:pPr>
              <w:spacing w:before="0" w:after="0"/>
              <w:jc w:val="center"/>
              <w:rPr>
                <w:rFonts w:eastAsia="Times New Roman"/>
                <w:b/>
                <w:color w:val="000000"/>
                <w:sz w:val="18"/>
                <w:szCs w:val="20"/>
              </w:rPr>
            </w:pPr>
            <w:r w:rsidRPr="00303D82">
              <w:rPr>
                <w:rFonts w:eastAsia="Times New Roman"/>
                <w:b/>
                <w:color w:val="000000"/>
                <w:sz w:val="18"/>
                <w:szCs w:val="20"/>
              </w:rPr>
              <w:t>Acciones Total</w:t>
            </w:r>
          </w:p>
        </w:tc>
        <w:tc>
          <w:tcPr>
            <w:tcW w:w="1645" w:type="dxa"/>
            <w:shd w:val="clear" w:color="auto" w:fill="92D050"/>
            <w:vAlign w:val="center"/>
          </w:tcPr>
          <w:p w14:paraId="719DD8A1" w14:textId="2BEC9661" w:rsidR="0067654D" w:rsidRPr="00383106" w:rsidRDefault="0067654D" w:rsidP="0067654D">
            <w:pPr>
              <w:spacing w:before="0" w:after="0"/>
              <w:jc w:val="center"/>
              <w:rPr>
                <w:rFonts w:eastAsia="Times New Roman"/>
                <w:b/>
                <w:color w:val="000000"/>
                <w:sz w:val="18"/>
                <w:szCs w:val="20"/>
              </w:rPr>
            </w:pPr>
            <w:r w:rsidRPr="00303D82">
              <w:rPr>
                <w:rFonts w:eastAsia="Times New Roman"/>
                <w:b/>
                <w:color w:val="000000"/>
                <w:sz w:val="18"/>
                <w:szCs w:val="20"/>
              </w:rPr>
              <w:t>Participación (%)</w:t>
            </w:r>
          </w:p>
        </w:tc>
      </w:tr>
      <w:tr w:rsidR="0067654D" w:rsidRPr="00383106" w14:paraId="41E4F601" w14:textId="77777777" w:rsidTr="00DD187D">
        <w:trPr>
          <w:trHeight w:val="255"/>
          <w:jc w:val="center"/>
        </w:trPr>
        <w:tc>
          <w:tcPr>
            <w:tcW w:w="1074" w:type="dxa"/>
            <w:vAlign w:val="center"/>
          </w:tcPr>
          <w:p w14:paraId="780ABB95" w14:textId="77777777" w:rsidR="0067654D" w:rsidRPr="00E70056" w:rsidRDefault="0067654D" w:rsidP="0067654D">
            <w:pPr>
              <w:spacing w:before="0" w:after="0"/>
              <w:rPr>
                <w:rFonts w:eastAsia="Times New Roman"/>
                <w:color w:val="000000"/>
                <w:sz w:val="18"/>
                <w:szCs w:val="20"/>
              </w:rPr>
            </w:pPr>
            <w:r w:rsidRPr="00E70056">
              <w:rPr>
                <w:rFonts w:eastAsia="Times New Roman"/>
                <w:color w:val="000000"/>
                <w:sz w:val="18"/>
                <w:szCs w:val="20"/>
              </w:rPr>
              <w:t>ATC HFM</w:t>
            </w:r>
          </w:p>
        </w:tc>
        <w:tc>
          <w:tcPr>
            <w:tcW w:w="1642" w:type="dxa"/>
            <w:shd w:val="clear" w:color="auto" w:fill="auto"/>
          </w:tcPr>
          <w:p w14:paraId="4ECB2EF3" w14:textId="4701D59E" w:rsidR="0067654D" w:rsidRPr="00CF7754" w:rsidRDefault="0067654D" w:rsidP="0067654D">
            <w:pPr>
              <w:spacing w:before="0" w:after="0"/>
              <w:jc w:val="right"/>
              <w:rPr>
                <w:rFonts w:eastAsia="Times New Roman"/>
                <w:color w:val="000000"/>
                <w:sz w:val="18"/>
                <w:szCs w:val="20"/>
                <w:highlight w:val="cyan"/>
              </w:rPr>
            </w:pPr>
            <w:r w:rsidRPr="00206C42">
              <w:rPr>
                <w:b/>
                <w:bCs/>
                <w:color w:val="0000CC"/>
                <w:sz w:val="19"/>
                <w:szCs w:val="19"/>
              </w:rPr>
              <w:t>“CONFIDENCIAL POR LEY (1</w:t>
            </w:r>
            <w:r>
              <w:rPr>
                <w:b/>
                <w:bCs/>
                <w:color w:val="0000CC"/>
                <w:sz w:val="19"/>
                <w:szCs w:val="19"/>
              </w:rPr>
              <w:t>42</w:t>
            </w:r>
            <w:r w:rsidRPr="00206C42">
              <w:rPr>
                <w:b/>
                <w:bCs/>
                <w:color w:val="0000CC"/>
                <w:sz w:val="19"/>
                <w:szCs w:val="19"/>
              </w:rPr>
              <w:t>)”</w:t>
            </w:r>
          </w:p>
        </w:tc>
        <w:tc>
          <w:tcPr>
            <w:tcW w:w="1652" w:type="dxa"/>
            <w:shd w:val="clear" w:color="auto" w:fill="auto"/>
          </w:tcPr>
          <w:p w14:paraId="63D508CD" w14:textId="50BC4783" w:rsidR="0067654D" w:rsidRPr="00CF7754" w:rsidRDefault="0067654D" w:rsidP="0067654D">
            <w:pPr>
              <w:spacing w:before="0" w:after="0"/>
              <w:jc w:val="right"/>
              <w:rPr>
                <w:rFonts w:eastAsia="Times New Roman"/>
                <w:color w:val="000000"/>
                <w:sz w:val="18"/>
                <w:szCs w:val="20"/>
                <w:highlight w:val="cyan"/>
              </w:rPr>
            </w:pPr>
            <w:r w:rsidRPr="00206C42">
              <w:rPr>
                <w:b/>
                <w:bCs/>
                <w:color w:val="0000CC"/>
                <w:sz w:val="19"/>
                <w:szCs w:val="19"/>
              </w:rPr>
              <w:t>“CONFIDENCIAL POR LEY (1</w:t>
            </w:r>
            <w:r>
              <w:rPr>
                <w:b/>
                <w:bCs/>
                <w:color w:val="0000CC"/>
                <w:sz w:val="19"/>
                <w:szCs w:val="19"/>
              </w:rPr>
              <w:t>43</w:t>
            </w:r>
            <w:r w:rsidRPr="00206C42">
              <w:rPr>
                <w:b/>
                <w:bCs/>
                <w:color w:val="0000CC"/>
                <w:sz w:val="19"/>
                <w:szCs w:val="19"/>
              </w:rPr>
              <w:t>)”</w:t>
            </w:r>
          </w:p>
        </w:tc>
        <w:tc>
          <w:tcPr>
            <w:tcW w:w="1642" w:type="dxa"/>
          </w:tcPr>
          <w:p w14:paraId="7EBF8938" w14:textId="03C73528" w:rsidR="0067654D" w:rsidRPr="00CF7754" w:rsidRDefault="0067654D" w:rsidP="0067654D">
            <w:pPr>
              <w:spacing w:before="0" w:after="0"/>
              <w:jc w:val="right"/>
              <w:rPr>
                <w:rFonts w:eastAsia="Times New Roman"/>
                <w:color w:val="000000"/>
                <w:sz w:val="18"/>
                <w:szCs w:val="20"/>
                <w:highlight w:val="cyan"/>
              </w:rPr>
            </w:pPr>
            <w:r w:rsidRPr="00206C42">
              <w:rPr>
                <w:b/>
                <w:bCs/>
                <w:color w:val="0000CC"/>
                <w:sz w:val="19"/>
                <w:szCs w:val="19"/>
              </w:rPr>
              <w:t>“CONFIDENCIAL POR LEY (1</w:t>
            </w:r>
            <w:r>
              <w:rPr>
                <w:b/>
                <w:bCs/>
                <w:color w:val="0000CC"/>
                <w:sz w:val="19"/>
                <w:szCs w:val="19"/>
              </w:rPr>
              <w:t>44</w:t>
            </w:r>
            <w:r w:rsidRPr="00206C42">
              <w:rPr>
                <w:b/>
                <w:bCs/>
                <w:color w:val="0000CC"/>
                <w:sz w:val="19"/>
                <w:szCs w:val="19"/>
              </w:rPr>
              <w:t>)”</w:t>
            </w:r>
          </w:p>
        </w:tc>
        <w:tc>
          <w:tcPr>
            <w:tcW w:w="1645" w:type="dxa"/>
            <w:shd w:val="clear" w:color="auto" w:fill="auto"/>
            <w:hideMark/>
          </w:tcPr>
          <w:p w14:paraId="15002700" w14:textId="6D244361" w:rsidR="0067654D" w:rsidRPr="00CF7754" w:rsidRDefault="0067654D" w:rsidP="0067654D">
            <w:pPr>
              <w:spacing w:before="0" w:after="0"/>
              <w:jc w:val="right"/>
              <w:rPr>
                <w:rFonts w:eastAsia="Times New Roman"/>
                <w:color w:val="000000"/>
                <w:sz w:val="18"/>
                <w:szCs w:val="20"/>
                <w:highlight w:val="cyan"/>
              </w:rPr>
            </w:pPr>
            <w:r w:rsidRPr="00206C42">
              <w:rPr>
                <w:b/>
                <w:bCs/>
                <w:color w:val="0000CC"/>
                <w:sz w:val="19"/>
                <w:szCs w:val="19"/>
              </w:rPr>
              <w:t>“CONFIDENCIAL POR LEY (1</w:t>
            </w:r>
            <w:r>
              <w:rPr>
                <w:b/>
                <w:bCs/>
                <w:color w:val="0000CC"/>
                <w:sz w:val="19"/>
                <w:szCs w:val="19"/>
              </w:rPr>
              <w:t>45</w:t>
            </w:r>
            <w:r w:rsidRPr="00206C42">
              <w:rPr>
                <w:b/>
                <w:bCs/>
                <w:color w:val="0000CC"/>
                <w:sz w:val="19"/>
                <w:szCs w:val="19"/>
              </w:rPr>
              <w:t>)”</w:t>
            </w:r>
          </w:p>
        </w:tc>
      </w:tr>
      <w:tr w:rsidR="0067654D" w:rsidRPr="00383106" w14:paraId="54C592A9" w14:textId="77777777" w:rsidTr="00DD187D">
        <w:trPr>
          <w:trHeight w:val="255"/>
          <w:jc w:val="center"/>
        </w:trPr>
        <w:tc>
          <w:tcPr>
            <w:tcW w:w="1074" w:type="dxa"/>
            <w:vAlign w:val="center"/>
          </w:tcPr>
          <w:p w14:paraId="07BE5763" w14:textId="77777777" w:rsidR="0067654D" w:rsidRPr="00E70056" w:rsidRDefault="0067654D" w:rsidP="0067654D">
            <w:pPr>
              <w:spacing w:before="0" w:after="0"/>
              <w:rPr>
                <w:rFonts w:eastAsia="Times New Roman"/>
                <w:color w:val="000000"/>
                <w:sz w:val="18"/>
                <w:szCs w:val="20"/>
              </w:rPr>
            </w:pPr>
            <w:r w:rsidRPr="00E70056">
              <w:rPr>
                <w:rFonts w:eastAsia="Times New Roman"/>
                <w:color w:val="000000"/>
                <w:sz w:val="18"/>
                <w:szCs w:val="20"/>
              </w:rPr>
              <w:lastRenderedPageBreak/>
              <w:t xml:space="preserve">ATC </w:t>
            </w:r>
            <w:proofErr w:type="spellStart"/>
            <w:r w:rsidRPr="00E70056">
              <w:rPr>
                <w:rFonts w:eastAsia="Times New Roman"/>
                <w:color w:val="000000"/>
                <w:sz w:val="18"/>
                <w:szCs w:val="20"/>
              </w:rPr>
              <w:t>MexHold</w:t>
            </w:r>
            <w:proofErr w:type="spellEnd"/>
          </w:p>
        </w:tc>
        <w:tc>
          <w:tcPr>
            <w:tcW w:w="1642" w:type="dxa"/>
            <w:shd w:val="clear" w:color="auto" w:fill="auto"/>
            <w:vAlign w:val="bottom"/>
          </w:tcPr>
          <w:p w14:paraId="2C2B2E55" w14:textId="77777777" w:rsidR="0067654D" w:rsidRPr="00CF7754" w:rsidRDefault="0067654D" w:rsidP="0067654D">
            <w:pPr>
              <w:spacing w:before="0" w:after="0"/>
              <w:jc w:val="right"/>
              <w:rPr>
                <w:rFonts w:eastAsia="Times New Roman"/>
                <w:color w:val="000000"/>
                <w:sz w:val="18"/>
                <w:szCs w:val="20"/>
                <w:highlight w:val="cyan"/>
              </w:rPr>
            </w:pPr>
          </w:p>
        </w:tc>
        <w:tc>
          <w:tcPr>
            <w:tcW w:w="1652" w:type="dxa"/>
            <w:shd w:val="clear" w:color="auto" w:fill="auto"/>
          </w:tcPr>
          <w:p w14:paraId="0F9D43A8" w14:textId="5AF700F8" w:rsidR="0067654D" w:rsidRPr="00CF7754" w:rsidRDefault="0067654D" w:rsidP="0067654D">
            <w:pPr>
              <w:spacing w:before="0" w:after="0"/>
              <w:jc w:val="right"/>
              <w:rPr>
                <w:rFonts w:eastAsia="Times New Roman"/>
                <w:color w:val="000000"/>
                <w:sz w:val="18"/>
                <w:szCs w:val="20"/>
                <w:highlight w:val="cyan"/>
              </w:rPr>
            </w:pPr>
            <w:r w:rsidRPr="00B71E3F">
              <w:rPr>
                <w:b/>
                <w:bCs/>
                <w:color w:val="0000CC"/>
                <w:sz w:val="19"/>
                <w:szCs w:val="19"/>
              </w:rPr>
              <w:t>“CONFIDENCIAL POR LEY (1</w:t>
            </w:r>
            <w:r>
              <w:rPr>
                <w:b/>
                <w:bCs/>
                <w:color w:val="0000CC"/>
                <w:sz w:val="19"/>
                <w:szCs w:val="19"/>
              </w:rPr>
              <w:t>46</w:t>
            </w:r>
            <w:r w:rsidRPr="00B71E3F">
              <w:rPr>
                <w:b/>
                <w:bCs/>
                <w:color w:val="0000CC"/>
                <w:sz w:val="19"/>
                <w:szCs w:val="19"/>
              </w:rPr>
              <w:t>)”</w:t>
            </w:r>
          </w:p>
        </w:tc>
        <w:tc>
          <w:tcPr>
            <w:tcW w:w="1642" w:type="dxa"/>
          </w:tcPr>
          <w:p w14:paraId="1F39302B" w14:textId="0DF2C14D" w:rsidR="0067654D" w:rsidRPr="00CF7754" w:rsidRDefault="0067654D" w:rsidP="0067654D">
            <w:pPr>
              <w:spacing w:before="0" w:after="0"/>
              <w:jc w:val="right"/>
              <w:rPr>
                <w:rFonts w:eastAsia="Times New Roman"/>
                <w:color w:val="000000"/>
                <w:sz w:val="18"/>
                <w:szCs w:val="20"/>
                <w:highlight w:val="cyan"/>
              </w:rPr>
            </w:pPr>
            <w:r w:rsidRPr="00B71E3F">
              <w:rPr>
                <w:b/>
                <w:bCs/>
                <w:color w:val="0000CC"/>
                <w:sz w:val="19"/>
                <w:szCs w:val="19"/>
              </w:rPr>
              <w:t>“CONFIDENCIAL POR LEY (1</w:t>
            </w:r>
            <w:r>
              <w:rPr>
                <w:b/>
                <w:bCs/>
                <w:color w:val="0000CC"/>
                <w:sz w:val="19"/>
                <w:szCs w:val="19"/>
              </w:rPr>
              <w:t>47</w:t>
            </w:r>
            <w:r w:rsidRPr="00B71E3F">
              <w:rPr>
                <w:b/>
                <w:bCs/>
                <w:color w:val="0000CC"/>
                <w:sz w:val="19"/>
                <w:szCs w:val="19"/>
              </w:rPr>
              <w:t>)”</w:t>
            </w:r>
          </w:p>
        </w:tc>
        <w:tc>
          <w:tcPr>
            <w:tcW w:w="1645" w:type="dxa"/>
            <w:shd w:val="clear" w:color="auto" w:fill="auto"/>
            <w:hideMark/>
          </w:tcPr>
          <w:p w14:paraId="6FF99492" w14:textId="7BF2AAFA" w:rsidR="0067654D" w:rsidRPr="00CF7754" w:rsidRDefault="0067654D" w:rsidP="0067654D">
            <w:pPr>
              <w:spacing w:before="0" w:after="0"/>
              <w:jc w:val="right"/>
              <w:rPr>
                <w:rFonts w:eastAsia="Times New Roman"/>
                <w:color w:val="000000"/>
                <w:sz w:val="18"/>
                <w:szCs w:val="20"/>
                <w:highlight w:val="cyan"/>
              </w:rPr>
            </w:pPr>
            <w:r w:rsidRPr="00B71E3F">
              <w:rPr>
                <w:b/>
                <w:bCs/>
                <w:color w:val="0000CC"/>
                <w:sz w:val="19"/>
                <w:szCs w:val="19"/>
              </w:rPr>
              <w:t>“CONFIDENCIAL POR LEY (1</w:t>
            </w:r>
            <w:r>
              <w:rPr>
                <w:b/>
                <w:bCs/>
                <w:color w:val="0000CC"/>
                <w:sz w:val="19"/>
                <w:szCs w:val="19"/>
              </w:rPr>
              <w:t>48</w:t>
            </w:r>
            <w:r w:rsidRPr="00B71E3F">
              <w:rPr>
                <w:b/>
                <w:bCs/>
                <w:color w:val="0000CC"/>
                <w:sz w:val="19"/>
                <w:szCs w:val="19"/>
              </w:rPr>
              <w:t>)”</w:t>
            </w:r>
          </w:p>
        </w:tc>
      </w:tr>
      <w:tr w:rsidR="0067654D" w:rsidRPr="006018EA" w14:paraId="452B11CB" w14:textId="77777777" w:rsidTr="00EB4B7C">
        <w:trPr>
          <w:trHeight w:val="255"/>
          <w:jc w:val="center"/>
        </w:trPr>
        <w:tc>
          <w:tcPr>
            <w:tcW w:w="1074" w:type="dxa"/>
            <w:vAlign w:val="center"/>
          </w:tcPr>
          <w:p w14:paraId="3A982D58" w14:textId="77777777" w:rsidR="0067654D" w:rsidRPr="00E70056" w:rsidRDefault="0067654D" w:rsidP="0067654D">
            <w:pPr>
              <w:spacing w:before="0" w:after="0"/>
              <w:rPr>
                <w:rFonts w:eastAsia="Times New Roman"/>
                <w:b/>
                <w:color w:val="000000"/>
                <w:sz w:val="18"/>
                <w:szCs w:val="20"/>
              </w:rPr>
            </w:pPr>
            <w:r w:rsidRPr="00E70056">
              <w:rPr>
                <w:rFonts w:eastAsia="Times New Roman"/>
                <w:b/>
                <w:color w:val="000000"/>
                <w:sz w:val="18"/>
                <w:szCs w:val="20"/>
              </w:rPr>
              <w:t>TOTAL</w:t>
            </w:r>
          </w:p>
        </w:tc>
        <w:tc>
          <w:tcPr>
            <w:tcW w:w="1642" w:type="dxa"/>
            <w:shd w:val="clear" w:color="auto" w:fill="auto"/>
          </w:tcPr>
          <w:p w14:paraId="7B105B89" w14:textId="35760935" w:rsidR="0067654D" w:rsidRPr="00CF7754" w:rsidRDefault="0067654D" w:rsidP="0067654D">
            <w:pPr>
              <w:spacing w:before="0" w:after="0"/>
              <w:jc w:val="right"/>
              <w:rPr>
                <w:rFonts w:eastAsia="Times New Roman"/>
                <w:b/>
                <w:color w:val="000000"/>
                <w:sz w:val="18"/>
                <w:szCs w:val="20"/>
                <w:highlight w:val="cyan"/>
              </w:rPr>
            </w:pPr>
            <w:r w:rsidRPr="007220FA">
              <w:rPr>
                <w:b/>
                <w:bCs/>
                <w:color w:val="0000CC"/>
                <w:sz w:val="19"/>
                <w:szCs w:val="19"/>
              </w:rPr>
              <w:t>“CONFIDENCIAL POR LEY (1</w:t>
            </w:r>
            <w:r>
              <w:rPr>
                <w:b/>
                <w:bCs/>
                <w:color w:val="0000CC"/>
                <w:sz w:val="19"/>
                <w:szCs w:val="19"/>
              </w:rPr>
              <w:t>49</w:t>
            </w:r>
            <w:r w:rsidRPr="007220FA">
              <w:rPr>
                <w:b/>
                <w:bCs/>
                <w:color w:val="0000CC"/>
                <w:sz w:val="19"/>
                <w:szCs w:val="19"/>
              </w:rPr>
              <w:t>)”</w:t>
            </w:r>
          </w:p>
        </w:tc>
        <w:tc>
          <w:tcPr>
            <w:tcW w:w="1652" w:type="dxa"/>
            <w:shd w:val="clear" w:color="auto" w:fill="auto"/>
          </w:tcPr>
          <w:p w14:paraId="3D949D6B" w14:textId="6AC2CF2F" w:rsidR="0067654D" w:rsidRPr="00CF7754" w:rsidRDefault="0067654D" w:rsidP="0067654D">
            <w:pPr>
              <w:spacing w:before="0" w:after="0"/>
              <w:jc w:val="right"/>
              <w:rPr>
                <w:rFonts w:eastAsia="Times New Roman"/>
                <w:b/>
                <w:color w:val="000000"/>
                <w:sz w:val="18"/>
                <w:szCs w:val="20"/>
                <w:highlight w:val="cyan"/>
              </w:rPr>
            </w:pPr>
            <w:r w:rsidRPr="007220FA">
              <w:rPr>
                <w:b/>
                <w:bCs/>
                <w:color w:val="0000CC"/>
                <w:sz w:val="19"/>
                <w:szCs w:val="19"/>
              </w:rPr>
              <w:t>“CONFIDENCIAL POR LEY (1</w:t>
            </w:r>
            <w:r>
              <w:rPr>
                <w:b/>
                <w:bCs/>
                <w:color w:val="0000CC"/>
                <w:sz w:val="19"/>
                <w:szCs w:val="19"/>
              </w:rPr>
              <w:t>50</w:t>
            </w:r>
            <w:r w:rsidRPr="007220FA">
              <w:rPr>
                <w:b/>
                <w:bCs/>
                <w:color w:val="0000CC"/>
                <w:sz w:val="19"/>
                <w:szCs w:val="19"/>
              </w:rPr>
              <w:t>)”</w:t>
            </w:r>
          </w:p>
        </w:tc>
        <w:tc>
          <w:tcPr>
            <w:tcW w:w="1642" w:type="dxa"/>
          </w:tcPr>
          <w:p w14:paraId="0967D516" w14:textId="7A553C0A" w:rsidR="0067654D" w:rsidRPr="00CF7754" w:rsidRDefault="0067654D" w:rsidP="0067654D">
            <w:pPr>
              <w:spacing w:before="0" w:after="0"/>
              <w:jc w:val="right"/>
              <w:rPr>
                <w:rFonts w:eastAsia="Times New Roman"/>
                <w:b/>
                <w:color w:val="000000"/>
                <w:sz w:val="18"/>
                <w:szCs w:val="20"/>
                <w:highlight w:val="cyan"/>
              </w:rPr>
            </w:pPr>
            <w:r w:rsidRPr="007220FA">
              <w:rPr>
                <w:b/>
                <w:bCs/>
                <w:color w:val="0000CC"/>
                <w:sz w:val="19"/>
                <w:szCs w:val="19"/>
              </w:rPr>
              <w:t>“CONFIDENCIAL POR LEY (1</w:t>
            </w:r>
            <w:r>
              <w:rPr>
                <w:b/>
                <w:bCs/>
                <w:color w:val="0000CC"/>
                <w:sz w:val="19"/>
                <w:szCs w:val="19"/>
              </w:rPr>
              <w:t>51</w:t>
            </w:r>
            <w:r w:rsidRPr="007220FA">
              <w:rPr>
                <w:b/>
                <w:bCs/>
                <w:color w:val="0000CC"/>
                <w:sz w:val="19"/>
                <w:szCs w:val="19"/>
              </w:rPr>
              <w:t>)”</w:t>
            </w:r>
          </w:p>
        </w:tc>
        <w:tc>
          <w:tcPr>
            <w:tcW w:w="1645" w:type="dxa"/>
            <w:shd w:val="clear" w:color="auto" w:fill="auto"/>
          </w:tcPr>
          <w:p w14:paraId="6F665DD8" w14:textId="59DA5CB3" w:rsidR="0067654D" w:rsidRPr="00383106" w:rsidRDefault="0067654D" w:rsidP="0067654D">
            <w:pPr>
              <w:spacing w:before="0" w:after="0"/>
              <w:jc w:val="right"/>
              <w:rPr>
                <w:rFonts w:eastAsia="Times New Roman"/>
                <w:b/>
                <w:color w:val="000000"/>
                <w:sz w:val="18"/>
                <w:szCs w:val="20"/>
              </w:rPr>
            </w:pPr>
            <w:r w:rsidRPr="007220FA">
              <w:rPr>
                <w:b/>
                <w:bCs/>
                <w:color w:val="0000CC"/>
                <w:sz w:val="19"/>
                <w:szCs w:val="19"/>
              </w:rPr>
              <w:t>“CONFIDENCIAL POR LEY (1</w:t>
            </w:r>
            <w:r>
              <w:rPr>
                <w:b/>
                <w:bCs/>
                <w:color w:val="0000CC"/>
                <w:sz w:val="19"/>
                <w:szCs w:val="19"/>
              </w:rPr>
              <w:t>52</w:t>
            </w:r>
            <w:r w:rsidRPr="007220FA">
              <w:rPr>
                <w:b/>
                <w:bCs/>
                <w:color w:val="0000CC"/>
                <w:sz w:val="19"/>
                <w:szCs w:val="19"/>
              </w:rPr>
              <w:t>)”</w:t>
            </w:r>
          </w:p>
        </w:tc>
      </w:tr>
    </w:tbl>
    <w:p w14:paraId="205668FF" w14:textId="52A98358" w:rsidR="005874AB" w:rsidRPr="007E0F8D" w:rsidRDefault="005874AB" w:rsidP="005874AB">
      <w:pPr>
        <w:pStyle w:val="Notaalpie"/>
        <w:ind w:left="993" w:right="708"/>
        <w:rPr>
          <w:rFonts w:eastAsia="Calibri" w:cs="Times New Roman"/>
          <w:sz w:val="16"/>
        </w:rPr>
      </w:pPr>
      <w:r w:rsidRPr="007E0F8D">
        <w:rPr>
          <w:rFonts w:eastAsia="Calibri" w:cs="Times New Roman"/>
          <w:sz w:val="16"/>
        </w:rPr>
        <w:t>Fuente: Elaboración propia con información contenida en Foja</w:t>
      </w:r>
      <w:r w:rsidR="007E0F8D" w:rsidRPr="007E0F8D">
        <w:rPr>
          <w:rFonts w:eastAsia="Calibri" w:cs="Times New Roman"/>
          <w:sz w:val="16"/>
        </w:rPr>
        <w:t xml:space="preserve"> 290</w:t>
      </w:r>
      <w:r w:rsidRPr="007E0F8D">
        <w:rPr>
          <w:rFonts w:eastAsia="Calibri" w:cs="Times New Roman"/>
          <w:sz w:val="16"/>
        </w:rPr>
        <w:t xml:space="preserve"> del Expediente.</w:t>
      </w:r>
    </w:p>
    <w:p w14:paraId="550250A4" w14:textId="06AB4ACF" w:rsidR="001B6F22" w:rsidRPr="001B6F22" w:rsidRDefault="001B6F22" w:rsidP="001B6F22">
      <w:pPr>
        <w:pStyle w:val="Prrafodelista"/>
        <w:spacing w:after="120" w:line="276" w:lineRule="auto"/>
        <w:ind w:left="0"/>
        <w:contextualSpacing w:val="0"/>
        <w:rPr>
          <w:rFonts w:eastAsia="Times New Roman"/>
          <w:color w:val="000000"/>
          <w:lang w:val="es-MX"/>
        </w:rPr>
      </w:pPr>
      <w:r w:rsidRPr="001B6F22">
        <w:rPr>
          <w:rFonts w:eastAsia="Times New Roman"/>
          <w:color w:val="000000"/>
          <w:lang w:val="es-MX"/>
        </w:rPr>
        <w:t xml:space="preserve">Como se mencionó anteriormente, las Partes manifestaron que CFCA no cuenta con subsidiarias ni participaciones accionarias en otras sociedades, salvo su participación en </w:t>
      </w:r>
      <w:proofErr w:type="spellStart"/>
      <w:r w:rsidRPr="001B6F22">
        <w:rPr>
          <w:rFonts w:eastAsia="Times New Roman"/>
          <w:color w:val="000000"/>
          <w:lang w:val="es-MX"/>
        </w:rPr>
        <w:t>Telco</w:t>
      </w:r>
      <w:proofErr w:type="spellEnd"/>
      <w:r w:rsidRPr="001B6F22">
        <w:rPr>
          <w:rFonts w:eastAsia="Times New Roman"/>
          <w:color w:val="000000"/>
          <w:lang w:val="es-MX"/>
        </w:rPr>
        <w:t>.</w:t>
      </w:r>
    </w:p>
    <w:p w14:paraId="54DC8E93" w14:textId="77777777" w:rsidR="005874AB" w:rsidRPr="005874AB" w:rsidRDefault="005874AB" w:rsidP="005874AB">
      <w:pPr>
        <w:pStyle w:val="Prrafodelista"/>
        <w:spacing w:after="120" w:line="276" w:lineRule="auto"/>
        <w:ind w:left="0"/>
        <w:contextualSpacing w:val="0"/>
        <w:rPr>
          <w:rFonts w:eastAsia="Times New Roman"/>
          <w:color w:val="000000"/>
          <w:lang w:val="es-MX"/>
        </w:rPr>
      </w:pPr>
      <w:r w:rsidRPr="005874AB">
        <w:rPr>
          <w:rFonts w:eastAsia="Times New Roman"/>
          <w:color w:val="000000"/>
          <w:lang w:val="es-MX"/>
        </w:rPr>
        <w:t xml:space="preserve">Con base en la información proporcionada por las Partes, </w:t>
      </w:r>
      <w:r w:rsidR="00AE5BE4">
        <w:rPr>
          <w:rFonts w:eastAsia="Times New Roman"/>
          <w:color w:val="000000"/>
          <w:lang w:val="es-MX"/>
        </w:rPr>
        <w:t xml:space="preserve">los activos transferidos a CFCA con base en </w:t>
      </w:r>
      <w:r w:rsidRPr="005874AB">
        <w:rPr>
          <w:rFonts w:eastAsia="Times New Roman"/>
          <w:color w:val="000000"/>
          <w:lang w:val="es-MX"/>
        </w:rPr>
        <w:t xml:space="preserve">el balance general proforma </w:t>
      </w:r>
      <w:r w:rsidR="00AE5BE4">
        <w:rPr>
          <w:rFonts w:eastAsia="Times New Roman"/>
          <w:color w:val="000000"/>
          <w:lang w:val="es-MX"/>
        </w:rPr>
        <w:t xml:space="preserve">de Metro Net </w:t>
      </w:r>
      <w:r w:rsidRPr="005874AB">
        <w:rPr>
          <w:rFonts w:eastAsia="Times New Roman"/>
          <w:color w:val="000000"/>
          <w:lang w:val="es-MX"/>
        </w:rPr>
        <w:t xml:space="preserve">al </w:t>
      </w:r>
      <w:r w:rsidR="006C5E1A">
        <w:rPr>
          <w:rFonts w:eastAsia="Times New Roman"/>
          <w:color w:val="000000"/>
          <w:lang w:val="es-MX"/>
        </w:rPr>
        <w:t>treinta</w:t>
      </w:r>
      <w:r w:rsidRPr="005874AB">
        <w:rPr>
          <w:rFonts w:eastAsia="Times New Roman"/>
          <w:color w:val="000000"/>
          <w:lang w:val="es-MX"/>
        </w:rPr>
        <w:t xml:space="preserve"> de junio de </w:t>
      </w:r>
      <w:r w:rsidR="006C5E1A">
        <w:rPr>
          <w:rFonts w:eastAsia="Times New Roman"/>
          <w:color w:val="000000"/>
          <w:lang w:val="es-MX"/>
        </w:rPr>
        <w:t>dos mil diecisiete</w:t>
      </w:r>
      <w:r w:rsidR="00AE5BE4">
        <w:rPr>
          <w:rFonts w:eastAsia="Times New Roman"/>
          <w:color w:val="000000"/>
          <w:lang w:val="es-MX"/>
        </w:rPr>
        <w:t xml:space="preserve">, son los que se </w:t>
      </w:r>
      <w:r w:rsidRPr="005874AB">
        <w:rPr>
          <w:rFonts w:eastAsia="Times New Roman"/>
          <w:color w:val="000000"/>
          <w:lang w:val="es-MX"/>
        </w:rPr>
        <w:t>presenta</w:t>
      </w:r>
      <w:r w:rsidR="00AE5BE4">
        <w:rPr>
          <w:rFonts w:eastAsia="Times New Roman"/>
          <w:color w:val="000000"/>
          <w:lang w:val="es-MX"/>
        </w:rPr>
        <w:t>n</w:t>
      </w:r>
      <w:r w:rsidRPr="005874AB">
        <w:rPr>
          <w:rFonts w:eastAsia="Times New Roman"/>
          <w:color w:val="000000"/>
          <w:lang w:val="es-MX"/>
        </w:rPr>
        <w:t xml:space="preserve"> en el siguiente cuadro.</w:t>
      </w:r>
    </w:p>
    <w:p w14:paraId="2C5685EE" w14:textId="74400EB3" w:rsidR="005874AB" w:rsidRPr="005874AB" w:rsidRDefault="00AE5BE4" w:rsidP="00CF7754">
      <w:pPr>
        <w:pStyle w:val="Sinespaciado"/>
        <w:keepNext/>
        <w:numPr>
          <w:ilvl w:val="0"/>
          <w:numId w:val="24"/>
        </w:numPr>
        <w:spacing w:before="120" w:after="120" w:line="276" w:lineRule="auto"/>
        <w:ind w:left="2552" w:right="48" w:hanging="1275"/>
        <w:jc w:val="both"/>
        <w:rPr>
          <w:rFonts w:ascii="ITC Avant Garde" w:hAnsi="ITC Avant Garde"/>
          <w:b/>
        </w:rPr>
      </w:pPr>
      <w:r>
        <w:rPr>
          <w:rFonts w:ascii="ITC Avant Garde" w:hAnsi="ITC Avant Garde"/>
          <w:b/>
        </w:rPr>
        <w:t>Cifras financieras</w:t>
      </w:r>
      <w:r w:rsidR="005874AB" w:rsidRPr="005874AB">
        <w:rPr>
          <w:rFonts w:ascii="ITC Avant Garde" w:hAnsi="ITC Avant Garde"/>
          <w:b/>
        </w:rPr>
        <w:t xml:space="preserve"> de </w:t>
      </w:r>
      <w:r w:rsidR="005874AB">
        <w:rPr>
          <w:rFonts w:ascii="ITC Avant Garde" w:hAnsi="ITC Avant Garde"/>
          <w:b/>
        </w:rPr>
        <w:t>CFCA (junio, 2017)</w:t>
      </w:r>
    </w:p>
    <w:tbl>
      <w:tblPr>
        <w:tblW w:w="5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Cuadro 12."/>
        <w:tblDescription w:val="Indica cuales son las cifras financieras de CFCA (junio, 2017)"/>
      </w:tblPr>
      <w:tblGrid>
        <w:gridCol w:w="2315"/>
        <w:gridCol w:w="3334"/>
      </w:tblGrid>
      <w:tr w:rsidR="005874AB" w:rsidRPr="005108C5" w14:paraId="778D678D" w14:textId="77777777" w:rsidTr="00FA0986">
        <w:trPr>
          <w:trHeight w:val="20"/>
          <w:tblHeader/>
          <w:jc w:val="center"/>
        </w:trPr>
        <w:tc>
          <w:tcPr>
            <w:tcW w:w="2315" w:type="dxa"/>
            <w:shd w:val="clear" w:color="auto" w:fill="92D050"/>
            <w:vAlign w:val="center"/>
            <w:hideMark/>
          </w:tcPr>
          <w:p w14:paraId="0E5CBDDA" w14:textId="1AADBD75" w:rsidR="005874AB" w:rsidRPr="005108C5" w:rsidRDefault="005874AB" w:rsidP="005108C5">
            <w:pPr>
              <w:keepNext/>
              <w:spacing w:before="0" w:after="0"/>
              <w:jc w:val="center"/>
              <w:rPr>
                <w:rFonts w:eastAsia="Times New Roman"/>
                <w:b/>
                <w:bCs/>
                <w:sz w:val="18"/>
                <w:szCs w:val="18"/>
              </w:rPr>
            </w:pPr>
            <w:r w:rsidRPr="005108C5">
              <w:rPr>
                <w:rFonts w:eastAsia="Times New Roman"/>
                <w:b/>
                <w:bCs/>
                <w:sz w:val="18"/>
                <w:szCs w:val="18"/>
              </w:rPr>
              <w:t xml:space="preserve">Concepto </w:t>
            </w:r>
          </w:p>
        </w:tc>
        <w:tc>
          <w:tcPr>
            <w:tcW w:w="3334" w:type="dxa"/>
            <w:shd w:val="clear" w:color="auto" w:fill="92D050"/>
            <w:vAlign w:val="center"/>
          </w:tcPr>
          <w:p w14:paraId="16EC0520" w14:textId="42DC33AC" w:rsidR="005874AB" w:rsidRPr="005108C5" w:rsidRDefault="005874AB" w:rsidP="005108C5">
            <w:pPr>
              <w:keepNext/>
              <w:spacing w:before="0" w:after="0"/>
              <w:jc w:val="center"/>
              <w:rPr>
                <w:rFonts w:eastAsia="Times New Roman"/>
                <w:b/>
                <w:bCs/>
                <w:sz w:val="18"/>
                <w:szCs w:val="18"/>
              </w:rPr>
            </w:pPr>
            <w:r w:rsidRPr="005108C5">
              <w:rPr>
                <w:rFonts w:eastAsia="Times New Roman"/>
                <w:b/>
                <w:bCs/>
                <w:sz w:val="18"/>
                <w:szCs w:val="18"/>
              </w:rPr>
              <w:t>(pesos nominales)</w:t>
            </w:r>
          </w:p>
        </w:tc>
      </w:tr>
      <w:tr w:rsidR="00DD187D" w:rsidRPr="005108C5" w14:paraId="58430B71" w14:textId="77777777" w:rsidTr="00FA0986">
        <w:trPr>
          <w:trHeight w:val="20"/>
          <w:jc w:val="center"/>
        </w:trPr>
        <w:tc>
          <w:tcPr>
            <w:tcW w:w="2315" w:type="dxa"/>
            <w:shd w:val="clear" w:color="auto" w:fill="auto"/>
            <w:vAlign w:val="center"/>
            <w:hideMark/>
          </w:tcPr>
          <w:p w14:paraId="06CA7EA4" w14:textId="448D98F5" w:rsidR="00DD187D" w:rsidRPr="005108C5" w:rsidRDefault="00DD187D" w:rsidP="00DD187D">
            <w:pPr>
              <w:keepNext/>
              <w:spacing w:before="0" w:after="0"/>
              <w:rPr>
                <w:rFonts w:eastAsia="Times New Roman"/>
                <w:color w:val="000000"/>
                <w:sz w:val="18"/>
                <w:szCs w:val="18"/>
              </w:rPr>
            </w:pPr>
            <w:r w:rsidRPr="005108C5">
              <w:rPr>
                <w:rFonts w:eastAsia="Times New Roman"/>
                <w:color w:val="000000"/>
                <w:sz w:val="18"/>
                <w:szCs w:val="18"/>
              </w:rPr>
              <w:t>Capital Contable</w:t>
            </w:r>
          </w:p>
        </w:tc>
        <w:tc>
          <w:tcPr>
            <w:tcW w:w="3334" w:type="dxa"/>
            <w:shd w:val="clear" w:color="auto" w:fill="auto"/>
          </w:tcPr>
          <w:p w14:paraId="21691B24" w14:textId="7A57A610" w:rsidR="00DD187D" w:rsidRPr="00CF7754" w:rsidRDefault="00DD187D" w:rsidP="00DD187D">
            <w:pPr>
              <w:keepNext/>
              <w:spacing w:before="0" w:after="0"/>
              <w:ind w:right="190"/>
              <w:rPr>
                <w:rFonts w:eastAsia="Times New Roman"/>
                <w:color w:val="000000"/>
                <w:sz w:val="18"/>
                <w:szCs w:val="18"/>
                <w:highlight w:val="cyan"/>
              </w:rPr>
            </w:pPr>
            <w:r w:rsidRPr="00A23FF6">
              <w:rPr>
                <w:b/>
                <w:bCs/>
                <w:color w:val="0000CC"/>
                <w:sz w:val="19"/>
                <w:szCs w:val="19"/>
              </w:rPr>
              <w:t>“CONFIDENCIAL POR LEY (1</w:t>
            </w:r>
            <w:r w:rsidR="00FA0986">
              <w:rPr>
                <w:b/>
                <w:bCs/>
                <w:color w:val="0000CC"/>
                <w:sz w:val="19"/>
                <w:szCs w:val="19"/>
              </w:rPr>
              <w:t>53</w:t>
            </w:r>
            <w:r w:rsidRPr="00A23FF6">
              <w:rPr>
                <w:b/>
                <w:bCs/>
                <w:color w:val="0000CC"/>
                <w:sz w:val="19"/>
                <w:szCs w:val="19"/>
              </w:rPr>
              <w:t>)”</w:t>
            </w:r>
          </w:p>
        </w:tc>
      </w:tr>
      <w:tr w:rsidR="00DD187D" w:rsidRPr="005108C5" w14:paraId="0236C281" w14:textId="77777777" w:rsidTr="00FA0986">
        <w:trPr>
          <w:trHeight w:val="20"/>
          <w:jc w:val="center"/>
        </w:trPr>
        <w:tc>
          <w:tcPr>
            <w:tcW w:w="2315" w:type="dxa"/>
            <w:shd w:val="clear" w:color="auto" w:fill="auto"/>
            <w:vAlign w:val="center"/>
            <w:hideMark/>
          </w:tcPr>
          <w:p w14:paraId="1F1AE650" w14:textId="6D3787FC" w:rsidR="00DD187D" w:rsidRPr="005108C5" w:rsidRDefault="00DD187D" w:rsidP="00DD187D">
            <w:pPr>
              <w:keepNext/>
              <w:spacing w:before="0" w:after="0"/>
              <w:rPr>
                <w:rFonts w:eastAsia="Times New Roman"/>
                <w:color w:val="000000"/>
                <w:sz w:val="18"/>
                <w:szCs w:val="18"/>
              </w:rPr>
            </w:pPr>
            <w:r w:rsidRPr="005108C5">
              <w:rPr>
                <w:rFonts w:eastAsia="Times New Roman"/>
                <w:color w:val="000000"/>
                <w:sz w:val="18"/>
                <w:szCs w:val="18"/>
              </w:rPr>
              <w:t xml:space="preserve">Pasivo </w:t>
            </w:r>
          </w:p>
        </w:tc>
        <w:tc>
          <w:tcPr>
            <w:tcW w:w="3334" w:type="dxa"/>
            <w:shd w:val="clear" w:color="auto" w:fill="auto"/>
          </w:tcPr>
          <w:p w14:paraId="660252FE" w14:textId="2E7A8062" w:rsidR="00DD187D" w:rsidRPr="00CF7754" w:rsidRDefault="00DD187D" w:rsidP="00DD187D">
            <w:pPr>
              <w:keepNext/>
              <w:spacing w:before="0" w:after="0"/>
              <w:ind w:right="190"/>
              <w:rPr>
                <w:rFonts w:eastAsia="Times New Roman"/>
                <w:color w:val="000000"/>
                <w:sz w:val="18"/>
                <w:szCs w:val="18"/>
                <w:highlight w:val="cyan"/>
              </w:rPr>
            </w:pPr>
            <w:r w:rsidRPr="00A23FF6">
              <w:rPr>
                <w:b/>
                <w:bCs/>
                <w:color w:val="0000CC"/>
                <w:sz w:val="19"/>
                <w:szCs w:val="19"/>
              </w:rPr>
              <w:t>“CONFIDENCIAL POR LEY (1</w:t>
            </w:r>
            <w:r w:rsidR="00FA0986">
              <w:rPr>
                <w:b/>
                <w:bCs/>
                <w:color w:val="0000CC"/>
                <w:sz w:val="19"/>
                <w:szCs w:val="19"/>
              </w:rPr>
              <w:t>54</w:t>
            </w:r>
            <w:r w:rsidRPr="00A23FF6">
              <w:rPr>
                <w:b/>
                <w:bCs/>
                <w:color w:val="0000CC"/>
                <w:sz w:val="19"/>
                <w:szCs w:val="19"/>
              </w:rPr>
              <w:t>)”</w:t>
            </w:r>
          </w:p>
        </w:tc>
      </w:tr>
      <w:tr w:rsidR="00DD187D" w:rsidRPr="005108C5" w14:paraId="6718A617" w14:textId="77777777" w:rsidTr="00FA0986">
        <w:trPr>
          <w:trHeight w:val="20"/>
          <w:jc w:val="center"/>
        </w:trPr>
        <w:tc>
          <w:tcPr>
            <w:tcW w:w="2315" w:type="dxa"/>
            <w:shd w:val="clear" w:color="auto" w:fill="auto"/>
            <w:vAlign w:val="center"/>
          </w:tcPr>
          <w:p w14:paraId="09D07561" w14:textId="302EE21B" w:rsidR="00DD187D" w:rsidRPr="005108C5" w:rsidRDefault="00DD187D" w:rsidP="00DD187D">
            <w:pPr>
              <w:keepNext/>
              <w:spacing w:before="0" w:after="0"/>
              <w:rPr>
                <w:rFonts w:eastAsia="Times New Roman"/>
                <w:color w:val="000000"/>
                <w:sz w:val="18"/>
                <w:szCs w:val="18"/>
              </w:rPr>
            </w:pPr>
            <w:r w:rsidRPr="005108C5">
              <w:rPr>
                <w:rFonts w:eastAsia="Times New Roman"/>
                <w:color w:val="000000"/>
                <w:sz w:val="18"/>
                <w:szCs w:val="18"/>
              </w:rPr>
              <w:t>Inversiones en acciones</w:t>
            </w:r>
          </w:p>
        </w:tc>
        <w:tc>
          <w:tcPr>
            <w:tcW w:w="3334" w:type="dxa"/>
            <w:shd w:val="clear" w:color="auto" w:fill="auto"/>
          </w:tcPr>
          <w:p w14:paraId="1D33CBA8" w14:textId="519C5749" w:rsidR="00DD187D" w:rsidRPr="00CF7754" w:rsidRDefault="00DD187D" w:rsidP="00DD187D">
            <w:pPr>
              <w:keepNext/>
              <w:spacing w:before="0" w:after="0"/>
              <w:ind w:right="190"/>
              <w:rPr>
                <w:rFonts w:eastAsia="Times New Roman"/>
                <w:color w:val="000000"/>
                <w:sz w:val="18"/>
                <w:szCs w:val="18"/>
                <w:highlight w:val="cyan"/>
              </w:rPr>
            </w:pPr>
            <w:r w:rsidRPr="00A23FF6">
              <w:rPr>
                <w:b/>
                <w:bCs/>
                <w:color w:val="0000CC"/>
                <w:sz w:val="19"/>
                <w:szCs w:val="19"/>
              </w:rPr>
              <w:t>“CONFIDENCIAL POR LEY (1</w:t>
            </w:r>
            <w:r w:rsidR="00FA0986">
              <w:rPr>
                <w:b/>
                <w:bCs/>
                <w:color w:val="0000CC"/>
                <w:sz w:val="19"/>
                <w:szCs w:val="19"/>
              </w:rPr>
              <w:t>55</w:t>
            </w:r>
            <w:r w:rsidRPr="00A23FF6">
              <w:rPr>
                <w:b/>
                <w:bCs/>
                <w:color w:val="0000CC"/>
                <w:sz w:val="19"/>
                <w:szCs w:val="19"/>
              </w:rPr>
              <w:t>)”</w:t>
            </w:r>
          </w:p>
        </w:tc>
      </w:tr>
      <w:tr w:rsidR="00DD187D" w:rsidRPr="006018EA" w14:paraId="06082E22" w14:textId="77777777" w:rsidTr="00FA0986">
        <w:trPr>
          <w:trHeight w:val="20"/>
          <w:jc w:val="center"/>
        </w:trPr>
        <w:tc>
          <w:tcPr>
            <w:tcW w:w="2315" w:type="dxa"/>
            <w:shd w:val="clear" w:color="auto" w:fill="auto"/>
            <w:vAlign w:val="center"/>
            <w:hideMark/>
          </w:tcPr>
          <w:p w14:paraId="37A8A88B" w14:textId="5A14321B" w:rsidR="00DD187D" w:rsidRPr="006018EA" w:rsidRDefault="00DD187D" w:rsidP="00DD187D">
            <w:pPr>
              <w:keepNext/>
              <w:spacing w:before="0" w:after="0"/>
              <w:rPr>
                <w:rFonts w:eastAsia="Times New Roman"/>
                <w:b/>
                <w:color w:val="000000"/>
                <w:sz w:val="18"/>
                <w:szCs w:val="18"/>
              </w:rPr>
            </w:pPr>
            <w:r w:rsidRPr="006018EA">
              <w:rPr>
                <w:rFonts w:eastAsia="Times New Roman"/>
                <w:b/>
                <w:color w:val="000000"/>
                <w:sz w:val="18"/>
                <w:szCs w:val="18"/>
              </w:rPr>
              <w:t>Activos</w:t>
            </w:r>
          </w:p>
        </w:tc>
        <w:tc>
          <w:tcPr>
            <w:tcW w:w="3334" w:type="dxa"/>
            <w:shd w:val="clear" w:color="auto" w:fill="auto"/>
          </w:tcPr>
          <w:p w14:paraId="5C56B91B" w14:textId="4E6D92CC" w:rsidR="00DD187D" w:rsidRPr="00CF7754" w:rsidRDefault="00DD187D" w:rsidP="00DD187D">
            <w:pPr>
              <w:keepNext/>
              <w:spacing w:before="0" w:after="0"/>
              <w:ind w:right="190"/>
              <w:rPr>
                <w:rFonts w:eastAsia="Times New Roman"/>
                <w:b/>
                <w:color w:val="000000"/>
                <w:sz w:val="18"/>
                <w:szCs w:val="18"/>
                <w:highlight w:val="cyan"/>
              </w:rPr>
            </w:pPr>
            <w:r w:rsidRPr="00A23FF6">
              <w:rPr>
                <w:b/>
                <w:bCs/>
                <w:color w:val="0000CC"/>
                <w:sz w:val="19"/>
                <w:szCs w:val="19"/>
              </w:rPr>
              <w:t>“CONFIDENCIAL POR LEY (1</w:t>
            </w:r>
            <w:r w:rsidR="00FA0986">
              <w:rPr>
                <w:b/>
                <w:bCs/>
                <w:color w:val="0000CC"/>
                <w:sz w:val="19"/>
                <w:szCs w:val="19"/>
              </w:rPr>
              <w:t>56</w:t>
            </w:r>
            <w:r w:rsidRPr="00A23FF6">
              <w:rPr>
                <w:b/>
                <w:bCs/>
                <w:color w:val="0000CC"/>
                <w:sz w:val="19"/>
                <w:szCs w:val="19"/>
              </w:rPr>
              <w:t>)”</w:t>
            </w:r>
          </w:p>
        </w:tc>
      </w:tr>
    </w:tbl>
    <w:p w14:paraId="02DE825B" w14:textId="11A76109" w:rsidR="005874AB" w:rsidRDefault="005874AB" w:rsidP="005108C5">
      <w:pPr>
        <w:pStyle w:val="Notaalpie"/>
        <w:ind w:left="1276" w:right="708"/>
        <w:rPr>
          <w:rFonts w:eastAsia="Calibri" w:cs="Times New Roman"/>
          <w:sz w:val="16"/>
        </w:rPr>
      </w:pPr>
      <w:r w:rsidRPr="00EF3C6C">
        <w:rPr>
          <w:rFonts w:eastAsia="Calibri" w:cs="Times New Roman"/>
          <w:sz w:val="16"/>
        </w:rPr>
        <w:t>Fuente: Elaboración propia con información contenida en Foja</w:t>
      </w:r>
      <w:r w:rsidR="00EF3C6C" w:rsidRPr="00EF3C6C">
        <w:rPr>
          <w:rFonts w:eastAsia="Calibri" w:cs="Times New Roman"/>
          <w:sz w:val="16"/>
        </w:rPr>
        <w:t xml:space="preserve"> 612</w:t>
      </w:r>
      <w:r w:rsidRPr="00EF3C6C">
        <w:rPr>
          <w:rFonts w:eastAsia="Calibri" w:cs="Times New Roman"/>
          <w:sz w:val="16"/>
        </w:rPr>
        <w:t xml:space="preserve"> del Expediente.</w:t>
      </w:r>
    </w:p>
    <w:p w14:paraId="617AE590" w14:textId="7E7DD220" w:rsidR="006C5E1A" w:rsidRPr="004B1E7C" w:rsidRDefault="007447C7" w:rsidP="004B1E7C">
      <w:pPr>
        <w:rPr>
          <w:b/>
        </w:rPr>
      </w:pPr>
      <w:bookmarkStart w:id="42" w:name="_Toc511061412"/>
      <w:r w:rsidRPr="004B1E7C">
        <w:rPr>
          <w:b/>
        </w:rPr>
        <w:t>Autorización otorgada a CFCA</w:t>
      </w:r>
      <w:bookmarkEnd w:id="42"/>
    </w:p>
    <w:p w14:paraId="42C5AD2A" w14:textId="789116E6" w:rsidR="00F7403E" w:rsidRPr="001C6B1E" w:rsidRDefault="00F7403E" w:rsidP="00F7403E">
      <w:pPr>
        <w:pStyle w:val="Prrafodelista"/>
        <w:spacing w:after="120" w:line="276" w:lineRule="auto"/>
        <w:ind w:left="0"/>
        <w:contextualSpacing w:val="0"/>
        <w:rPr>
          <w:rFonts w:eastAsia="Times New Roman"/>
          <w:color w:val="000000"/>
          <w:lang w:val="es-MX"/>
        </w:rPr>
      </w:pPr>
      <w:r w:rsidRPr="001C6B1E">
        <w:rPr>
          <w:rFonts w:eastAsia="Times New Roman"/>
          <w:color w:val="000000"/>
          <w:lang w:val="es-MX"/>
        </w:rPr>
        <w:t xml:space="preserve">Las Partes señalaron que la autorización mencionada fue transferida </w:t>
      </w:r>
      <w:r>
        <w:rPr>
          <w:rFonts w:eastAsia="Times New Roman"/>
          <w:color w:val="000000"/>
          <w:lang w:val="es-MX"/>
        </w:rPr>
        <w:t xml:space="preserve">de </w:t>
      </w:r>
      <w:proofErr w:type="spellStart"/>
      <w:r>
        <w:rPr>
          <w:rFonts w:eastAsia="Times New Roman"/>
          <w:color w:val="000000"/>
          <w:lang w:val="es-MX"/>
        </w:rPr>
        <w:t>Telco</w:t>
      </w:r>
      <w:proofErr w:type="spellEnd"/>
      <w:r>
        <w:rPr>
          <w:rFonts w:eastAsia="Times New Roman"/>
          <w:color w:val="000000"/>
          <w:lang w:val="es-MX"/>
        </w:rPr>
        <w:t xml:space="preserve"> </w:t>
      </w:r>
      <w:r w:rsidRPr="001C6B1E">
        <w:rPr>
          <w:rFonts w:eastAsia="Times New Roman"/>
          <w:color w:val="000000"/>
          <w:lang w:val="es-MX"/>
        </w:rPr>
        <w:t xml:space="preserve">a CFCA el </w:t>
      </w:r>
      <w:r w:rsidR="0012118E">
        <w:rPr>
          <w:rFonts w:eastAsia="Times New Roman"/>
          <w:color w:val="000000"/>
          <w:lang w:val="es-MX"/>
        </w:rPr>
        <w:t>veinticinco</w:t>
      </w:r>
      <w:r w:rsidRPr="001C6B1E">
        <w:rPr>
          <w:rFonts w:eastAsia="Times New Roman"/>
          <w:color w:val="000000"/>
          <w:lang w:val="es-MX"/>
        </w:rPr>
        <w:t xml:space="preserve"> de octubre de </w:t>
      </w:r>
      <w:r w:rsidR="0012118E">
        <w:rPr>
          <w:rFonts w:eastAsia="Times New Roman"/>
          <w:color w:val="000000"/>
          <w:lang w:val="es-MX"/>
        </w:rPr>
        <w:t>dos mil diecisiete,</w:t>
      </w:r>
      <w:r w:rsidR="00E86751" w:rsidRPr="001C6B1E">
        <w:rPr>
          <w:rFonts w:eastAsia="Times New Roman"/>
          <w:color w:val="000000"/>
          <w:vertAlign w:val="superscript"/>
          <w:lang w:val="es-MX"/>
        </w:rPr>
        <w:footnoteReference w:id="27"/>
      </w:r>
      <w:r>
        <w:rPr>
          <w:rFonts w:eastAsia="Times New Roman"/>
          <w:color w:val="000000"/>
          <w:lang w:val="es-MX"/>
        </w:rPr>
        <w:t xml:space="preserve"> en términos de la Regla 29 de las “</w:t>
      </w:r>
      <w:r w:rsidRPr="00771764">
        <w:rPr>
          <w:rFonts w:eastAsia="Times New Roman"/>
          <w:i/>
          <w:color w:val="000000"/>
          <w:lang w:val="es-MX"/>
        </w:rPr>
        <w:t>Reglas de carácter general que establecen los plazos y requisitos para el otorgamiento de autorizaciones en materia de telecomunicaciones establecidas en la Ley Federal de Telecomunicaciones y Radiodifusión</w:t>
      </w:r>
      <w:r>
        <w:rPr>
          <w:rFonts w:eastAsia="Times New Roman"/>
          <w:i/>
          <w:color w:val="000000"/>
          <w:lang w:val="es-MX"/>
        </w:rPr>
        <w:t>”</w:t>
      </w:r>
      <w:r w:rsidR="0012118E">
        <w:rPr>
          <w:rFonts w:eastAsia="Times New Roman"/>
          <w:i/>
          <w:color w:val="000000"/>
          <w:lang w:val="es-MX"/>
        </w:rPr>
        <w:t>.</w:t>
      </w:r>
      <w:r w:rsidRPr="001C6B1E">
        <w:rPr>
          <w:rFonts w:eastAsia="Times New Roman"/>
          <w:color w:val="000000"/>
          <w:vertAlign w:val="superscript"/>
          <w:lang w:val="es-MX"/>
        </w:rPr>
        <w:footnoteReference w:id="28"/>
      </w:r>
      <w:r>
        <w:rPr>
          <w:rFonts w:eastAsia="Times New Roman"/>
          <w:color w:val="000000"/>
          <w:lang w:val="es-MX"/>
        </w:rPr>
        <w:t xml:space="preserve"> </w:t>
      </w:r>
      <w:r w:rsidR="0012118E">
        <w:rPr>
          <w:rFonts w:eastAsia="Times New Roman"/>
          <w:color w:val="000000"/>
          <w:lang w:val="es-MX"/>
        </w:rPr>
        <w:t xml:space="preserve">Este acto </w:t>
      </w:r>
      <w:r>
        <w:rPr>
          <w:rFonts w:eastAsia="Times New Roman"/>
          <w:color w:val="000000"/>
          <w:lang w:val="es-MX"/>
        </w:rPr>
        <w:t xml:space="preserve">fue notificado al Instituto el </w:t>
      </w:r>
      <w:r w:rsidR="0012118E">
        <w:rPr>
          <w:rFonts w:eastAsia="Times New Roman"/>
          <w:color w:val="000000"/>
          <w:lang w:val="es-MX"/>
        </w:rPr>
        <w:t>veintitrés</w:t>
      </w:r>
      <w:r>
        <w:rPr>
          <w:rFonts w:eastAsia="Times New Roman"/>
          <w:color w:val="000000"/>
          <w:lang w:val="es-MX"/>
        </w:rPr>
        <w:t xml:space="preserve"> de noviembre de </w:t>
      </w:r>
      <w:r w:rsidR="0012118E">
        <w:rPr>
          <w:rFonts w:eastAsia="Times New Roman"/>
          <w:color w:val="000000"/>
          <w:lang w:val="es-MX"/>
        </w:rPr>
        <w:t>dos mil diecisiete, el cual fue</w:t>
      </w:r>
      <w:r w:rsidR="00E86751">
        <w:rPr>
          <w:rFonts w:eastAsia="Times New Roman"/>
          <w:color w:val="000000"/>
          <w:lang w:val="es-MX"/>
        </w:rPr>
        <w:t xml:space="preserve"> inscrito en el Registro Público de Concesiones el </w:t>
      </w:r>
      <w:r w:rsidR="0012118E">
        <w:rPr>
          <w:rFonts w:eastAsia="Times New Roman"/>
          <w:color w:val="000000"/>
          <w:lang w:val="es-MX"/>
        </w:rPr>
        <w:t>diecinueve</w:t>
      </w:r>
      <w:r w:rsidR="00E86751">
        <w:rPr>
          <w:rFonts w:eastAsia="Times New Roman"/>
          <w:color w:val="000000"/>
          <w:lang w:val="es-MX"/>
        </w:rPr>
        <w:t xml:space="preserve"> de enero de </w:t>
      </w:r>
      <w:r w:rsidR="0012118E">
        <w:rPr>
          <w:rFonts w:eastAsia="Times New Roman"/>
          <w:color w:val="000000"/>
          <w:lang w:val="es-MX"/>
        </w:rPr>
        <w:t>dos mil dieciocho</w:t>
      </w:r>
      <w:r w:rsidRPr="001C6B1E">
        <w:rPr>
          <w:rFonts w:eastAsia="Times New Roman"/>
          <w:color w:val="000000"/>
          <w:lang w:val="es-MX"/>
        </w:rPr>
        <w:t>.</w:t>
      </w:r>
      <w:r w:rsidRPr="001C6B1E">
        <w:rPr>
          <w:rFonts w:eastAsia="Times New Roman"/>
          <w:color w:val="000000"/>
          <w:vertAlign w:val="superscript"/>
          <w:lang w:val="es-MX"/>
        </w:rPr>
        <w:footnoteReference w:id="29"/>
      </w:r>
    </w:p>
    <w:p w14:paraId="3490F4A8" w14:textId="166B29B1" w:rsidR="00F7403E" w:rsidRPr="0027363F" w:rsidRDefault="00F7403E" w:rsidP="00CF7754">
      <w:pPr>
        <w:pStyle w:val="Sinespaciado"/>
        <w:keepNext/>
        <w:numPr>
          <w:ilvl w:val="0"/>
          <w:numId w:val="24"/>
        </w:numPr>
        <w:spacing w:before="120" w:after="120" w:line="276" w:lineRule="auto"/>
        <w:ind w:left="2268" w:right="48" w:hanging="1275"/>
        <w:jc w:val="both"/>
        <w:rPr>
          <w:rFonts w:ascii="ITC Avant Garde" w:hAnsi="ITC Avant Garde"/>
          <w:b/>
        </w:rPr>
      </w:pPr>
      <w:r w:rsidRPr="0027363F">
        <w:rPr>
          <w:rFonts w:ascii="ITC Avant Garde" w:hAnsi="ITC Avant Garde"/>
          <w:b/>
        </w:rPr>
        <w:lastRenderedPageBreak/>
        <w:t xml:space="preserve">Concesiones, permisos o autorizaciones de </w:t>
      </w:r>
      <w:r>
        <w:rPr>
          <w:rFonts w:ascii="ITC Avant Garde" w:hAnsi="ITC Avant Garde"/>
          <w:b/>
        </w:rPr>
        <w:t>CFCA</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Cuadro 13."/>
        <w:tblDescription w:val="Menciona cuales son las concesiones, permisos o autorizaciones de CFCA"/>
      </w:tblPr>
      <w:tblGrid>
        <w:gridCol w:w="442"/>
        <w:gridCol w:w="1538"/>
        <w:gridCol w:w="2835"/>
        <w:gridCol w:w="1134"/>
        <w:gridCol w:w="2337"/>
        <w:gridCol w:w="1108"/>
      </w:tblGrid>
      <w:tr w:rsidR="00F7403E" w:rsidRPr="0027363F" w14:paraId="57808AAF" w14:textId="77777777" w:rsidTr="00424CCF">
        <w:trPr>
          <w:trHeight w:val="20"/>
          <w:tblHeader/>
        </w:trPr>
        <w:tc>
          <w:tcPr>
            <w:tcW w:w="442" w:type="dxa"/>
            <w:shd w:val="clear" w:color="auto" w:fill="92D050"/>
            <w:noWrap/>
            <w:vAlign w:val="center"/>
            <w:hideMark/>
          </w:tcPr>
          <w:p w14:paraId="3806A70D" w14:textId="77777777" w:rsidR="00F7403E" w:rsidRPr="00D06515" w:rsidRDefault="00F7403E" w:rsidP="00217B47">
            <w:pPr>
              <w:spacing w:before="0" w:after="0" w:line="240" w:lineRule="auto"/>
              <w:jc w:val="center"/>
              <w:rPr>
                <w:rFonts w:eastAsia="Times New Roman"/>
                <w:b/>
                <w:color w:val="000000"/>
                <w:sz w:val="18"/>
                <w:szCs w:val="18"/>
              </w:rPr>
            </w:pPr>
            <w:r w:rsidRPr="00D06515">
              <w:rPr>
                <w:rFonts w:eastAsia="Times New Roman"/>
                <w:b/>
                <w:color w:val="000000"/>
                <w:sz w:val="18"/>
                <w:szCs w:val="18"/>
              </w:rPr>
              <w:t>No.</w:t>
            </w:r>
          </w:p>
        </w:tc>
        <w:tc>
          <w:tcPr>
            <w:tcW w:w="1538" w:type="dxa"/>
            <w:shd w:val="clear" w:color="auto" w:fill="92D050"/>
            <w:noWrap/>
            <w:vAlign w:val="center"/>
            <w:hideMark/>
          </w:tcPr>
          <w:p w14:paraId="72436547" w14:textId="77777777" w:rsidR="00F7403E" w:rsidRPr="00D06515" w:rsidRDefault="00F7403E" w:rsidP="00217B47">
            <w:pPr>
              <w:spacing w:before="0" w:after="0" w:line="240" w:lineRule="auto"/>
              <w:jc w:val="center"/>
              <w:rPr>
                <w:rFonts w:eastAsia="Times New Roman"/>
                <w:b/>
                <w:color w:val="000000"/>
                <w:sz w:val="18"/>
                <w:szCs w:val="18"/>
              </w:rPr>
            </w:pPr>
            <w:r w:rsidRPr="00D06515">
              <w:rPr>
                <w:rFonts w:eastAsia="Times New Roman"/>
                <w:b/>
                <w:color w:val="000000"/>
                <w:sz w:val="18"/>
                <w:szCs w:val="18"/>
              </w:rPr>
              <w:t>Folio electrónico</w:t>
            </w:r>
          </w:p>
        </w:tc>
        <w:tc>
          <w:tcPr>
            <w:tcW w:w="2835" w:type="dxa"/>
            <w:shd w:val="clear" w:color="auto" w:fill="92D050"/>
            <w:vAlign w:val="center"/>
          </w:tcPr>
          <w:p w14:paraId="1E91408B" w14:textId="77777777" w:rsidR="00F7403E" w:rsidRDefault="00F7403E" w:rsidP="00217B47">
            <w:pPr>
              <w:spacing w:before="0" w:after="0" w:line="240" w:lineRule="auto"/>
              <w:ind w:right="-1"/>
              <w:jc w:val="center"/>
              <w:rPr>
                <w:b/>
                <w:sz w:val="18"/>
                <w:szCs w:val="18"/>
              </w:rPr>
            </w:pPr>
            <w:r w:rsidRPr="00D06515">
              <w:rPr>
                <w:b/>
                <w:sz w:val="18"/>
                <w:szCs w:val="18"/>
              </w:rPr>
              <w:t>Concesión/</w:t>
            </w:r>
          </w:p>
          <w:p w14:paraId="4565CFC4" w14:textId="77777777" w:rsidR="00F7403E" w:rsidRDefault="00F7403E" w:rsidP="00217B47">
            <w:pPr>
              <w:spacing w:before="0" w:after="0" w:line="240" w:lineRule="auto"/>
              <w:ind w:right="-1"/>
              <w:jc w:val="center"/>
              <w:rPr>
                <w:b/>
                <w:sz w:val="18"/>
                <w:szCs w:val="18"/>
              </w:rPr>
            </w:pPr>
            <w:r>
              <w:rPr>
                <w:b/>
                <w:sz w:val="18"/>
                <w:szCs w:val="18"/>
              </w:rPr>
              <w:t>A</w:t>
            </w:r>
            <w:r w:rsidRPr="00D06515">
              <w:rPr>
                <w:b/>
                <w:sz w:val="18"/>
                <w:szCs w:val="18"/>
              </w:rPr>
              <w:t>utorización/</w:t>
            </w:r>
          </w:p>
          <w:p w14:paraId="6DE05FAD" w14:textId="77777777" w:rsidR="00F7403E" w:rsidRPr="00D06515" w:rsidRDefault="00F7403E" w:rsidP="00217B47">
            <w:pPr>
              <w:spacing w:before="0" w:after="0" w:line="240" w:lineRule="auto"/>
              <w:ind w:right="-1"/>
              <w:jc w:val="center"/>
              <w:rPr>
                <w:rFonts w:eastAsia="Times New Roman"/>
                <w:b/>
                <w:bCs/>
                <w:color w:val="000000"/>
                <w:sz w:val="18"/>
                <w:szCs w:val="18"/>
              </w:rPr>
            </w:pPr>
            <w:r w:rsidRPr="00D06515">
              <w:rPr>
                <w:b/>
                <w:sz w:val="18"/>
                <w:szCs w:val="18"/>
              </w:rPr>
              <w:t>Permiso</w:t>
            </w:r>
          </w:p>
        </w:tc>
        <w:tc>
          <w:tcPr>
            <w:tcW w:w="1134" w:type="dxa"/>
            <w:shd w:val="clear" w:color="auto" w:fill="92D050"/>
            <w:vAlign w:val="center"/>
            <w:hideMark/>
          </w:tcPr>
          <w:p w14:paraId="53C36901" w14:textId="77777777" w:rsidR="00F7403E" w:rsidRPr="00D06515" w:rsidRDefault="00F7403E" w:rsidP="00217B47">
            <w:pPr>
              <w:spacing w:before="0" w:after="0" w:line="240" w:lineRule="auto"/>
              <w:jc w:val="center"/>
              <w:rPr>
                <w:rFonts w:eastAsia="Times New Roman"/>
                <w:b/>
                <w:bCs/>
                <w:color w:val="000000"/>
                <w:sz w:val="18"/>
                <w:szCs w:val="18"/>
              </w:rPr>
            </w:pPr>
            <w:r w:rsidRPr="00D06515">
              <w:rPr>
                <w:rFonts w:eastAsia="Times New Roman"/>
                <w:b/>
                <w:bCs/>
                <w:color w:val="000000"/>
                <w:sz w:val="18"/>
                <w:szCs w:val="18"/>
              </w:rPr>
              <w:t>Cobertura</w:t>
            </w:r>
          </w:p>
        </w:tc>
        <w:tc>
          <w:tcPr>
            <w:tcW w:w="2337" w:type="dxa"/>
            <w:shd w:val="clear" w:color="auto" w:fill="92D050"/>
            <w:vAlign w:val="center"/>
            <w:hideMark/>
          </w:tcPr>
          <w:p w14:paraId="0AA040A1" w14:textId="77777777" w:rsidR="00F7403E" w:rsidRPr="00D06515" w:rsidRDefault="00F7403E" w:rsidP="00217B47">
            <w:pPr>
              <w:spacing w:before="0" w:after="0" w:line="240" w:lineRule="auto"/>
              <w:jc w:val="center"/>
              <w:rPr>
                <w:rFonts w:eastAsia="Times New Roman"/>
                <w:b/>
                <w:bCs/>
                <w:color w:val="000000"/>
                <w:sz w:val="18"/>
                <w:szCs w:val="18"/>
              </w:rPr>
            </w:pPr>
            <w:r w:rsidRPr="00D06515">
              <w:rPr>
                <w:rFonts w:eastAsia="Times New Roman"/>
                <w:b/>
                <w:bCs/>
                <w:color w:val="000000"/>
                <w:sz w:val="18"/>
                <w:szCs w:val="18"/>
              </w:rPr>
              <w:t>Servicios autorizados</w:t>
            </w:r>
          </w:p>
        </w:tc>
        <w:tc>
          <w:tcPr>
            <w:tcW w:w="1108" w:type="dxa"/>
            <w:shd w:val="clear" w:color="auto" w:fill="92D050"/>
            <w:vAlign w:val="center"/>
          </w:tcPr>
          <w:p w14:paraId="40DC1E3B" w14:textId="77777777" w:rsidR="00F7403E" w:rsidRPr="0027363F" w:rsidRDefault="00F7403E" w:rsidP="00217B47">
            <w:pPr>
              <w:spacing w:before="0" w:after="0" w:line="240" w:lineRule="auto"/>
              <w:jc w:val="center"/>
              <w:rPr>
                <w:rFonts w:eastAsia="Times New Roman"/>
                <w:b/>
                <w:bCs/>
                <w:color w:val="000000"/>
                <w:sz w:val="18"/>
                <w:szCs w:val="18"/>
              </w:rPr>
            </w:pPr>
            <w:r w:rsidRPr="00D06515">
              <w:rPr>
                <w:rFonts w:eastAsia="Times New Roman"/>
                <w:b/>
                <w:bCs/>
                <w:color w:val="000000"/>
                <w:sz w:val="18"/>
                <w:szCs w:val="18"/>
              </w:rPr>
              <w:t>Vigencia</w:t>
            </w:r>
          </w:p>
        </w:tc>
      </w:tr>
      <w:tr w:rsidR="00F7403E" w:rsidRPr="0027363F" w14:paraId="78497D3E" w14:textId="77777777" w:rsidTr="00424CCF">
        <w:trPr>
          <w:trHeight w:val="20"/>
        </w:trPr>
        <w:tc>
          <w:tcPr>
            <w:tcW w:w="442" w:type="dxa"/>
            <w:shd w:val="clear" w:color="auto" w:fill="auto"/>
            <w:noWrap/>
            <w:vAlign w:val="center"/>
            <w:hideMark/>
          </w:tcPr>
          <w:p w14:paraId="79553FD3" w14:textId="77777777" w:rsidR="00F7403E" w:rsidRPr="0027363F" w:rsidRDefault="00F7403E" w:rsidP="00217B47">
            <w:pPr>
              <w:spacing w:before="0" w:after="0" w:line="240" w:lineRule="auto"/>
              <w:jc w:val="center"/>
              <w:rPr>
                <w:rFonts w:eastAsia="Times New Roman"/>
                <w:color w:val="000000"/>
                <w:sz w:val="18"/>
                <w:szCs w:val="18"/>
              </w:rPr>
            </w:pPr>
            <w:r w:rsidRPr="0027363F">
              <w:rPr>
                <w:rFonts w:eastAsia="Times New Roman"/>
                <w:color w:val="000000"/>
                <w:sz w:val="18"/>
                <w:szCs w:val="18"/>
              </w:rPr>
              <w:t>1</w:t>
            </w:r>
          </w:p>
        </w:tc>
        <w:tc>
          <w:tcPr>
            <w:tcW w:w="1538" w:type="dxa"/>
            <w:shd w:val="clear" w:color="auto" w:fill="auto"/>
            <w:noWrap/>
            <w:vAlign w:val="center"/>
            <w:hideMark/>
          </w:tcPr>
          <w:p w14:paraId="567E8334" w14:textId="77777777" w:rsidR="00F7403E" w:rsidRPr="0027363F" w:rsidRDefault="00F7403E" w:rsidP="00E86751">
            <w:pPr>
              <w:spacing w:before="0" w:after="0" w:line="240" w:lineRule="auto"/>
              <w:jc w:val="left"/>
              <w:rPr>
                <w:rFonts w:eastAsia="Times New Roman"/>
                <w:color w:val="000000"/>
                <w:sz w:val="18"/>
                <w:szCs w:val="18"/>
              </w:rPr>
            </w:pPr>
            <w:r w:rsidRPr="0027363F">
              <w:rPr>
                <w:rFonts w:eastAsia="Times New Roman"/>
                <w:color w:val="000000"/>
                <w:sz w:val="18"/>
                <w:szCs w:val="18"/>
              </w:rPr>
              <w:t>FET096234AU-516</w:t>
            </w:r>
            <w:r w:rsidR="00E86751">
              <w:rPr>
                <w:rFonts w:eastAsia="Times New Roman"/>
                <w:color w:val="000000"/>
                <w:sz w:val="18"/>
                <w:szCs w:val="18"/>
              </w:rPr>
              <w:t>879</w:t>
            </w:r>
          </w:p>
        </w:tc>
        <w:tc>
          <w:tcPr>
            <w:tcW w:w="2835" w:type="dxa"/>
            <w:vAlign w:val="center"/>
          </w:tcPr>
          <w:p w14:paraId="4E7C3DFA" w14:textId="77777777" w:rsidR="00F7403E" w:rsidRDefault="00F7403E" w:rsidP="00217B47">
            <w:pPr>
              <w:spacing w:before="0" w:after="0" w:line="240" w:lineRule="auto"/>
              <w:jc w:val="center"/>
              <w:rPr>
                <w:rFonts w:eastAsia="Times New Roman"/>
                <w:b/>
                <w:color w:val="000000"/>
                <w:sz w:val="18"/>
                <w:szCs w:val="18"/>
              </w:rPr>
            </w:pPr>
            <w:r w:rsidRPr="00383106">
              <w:rPr>
                <w:rFonts w:eastAsia="Times New Roman"/>
                <w:b/>
                <w:color w:val="000000"/>
                <w:sz w:val="18"/>
                <w:szCs w:val="18"/>
              </w:rPr>
              <w:t>Autorización</w:t>
            </w:r>
            <w:r w:rsidRPr="0027363F">
              <w:rPr>
                <w:rFonts w:eastAsia="Times New Roman"/>
                <w:color w:val="000000"/>
                <w:sz w:val="18"/>
                <w:szCs w:val="18"/>
              </w:rPr>
              <w:t xml:space="preserve"> para establecer, operar o explotar una </w:t>
            </w:r>
            <w:r w:rsidRPr="0027363F">
              <w:rPr>
                <w:rFonts w:eastAsia="Times New Roman"/>
                <w:b/>
                <w:color w:val="000000"/>
                <w:sz w:val="18"/>
                <w:szCs w:val="18"/>
              </w:rPr>
              <w:t>comercializadora</w:t>
            </w:r>
          </w:p>
          <w:p w14:paraId="0F6282BB" w14:textId="77777777" w:rsidR="0058242B" w:rsidRPr="0027363F" w:rsidRDefault="0058242B" w:rsidP="00217B47">
            <w:pPr>
              <w:spacing w:before="0" w:after="0" w:line="240" w:lineRule="auto"/>
              <w:jc w:val="center"/>
              <w:rPr>
                <w:rFonts w:eastAsia="Times New Roman"/>
                <w:color w:val="000000"/>
                <w:sz w:val="18"/>
                <w:szCs w:val="18"/>
              </w:rPr>
            </w:pPr>
            <w:r>
              <w:rPr>
                <w:rFonts w:eastAsia="Times New Roman"/>
                <w:b/>
                <w:color w:val="000000"/>
                <w:sz w:val="18"/>
                <w:szCs w:val="18"/>
              </w:rPr>
              <w:t>(Autorización de Comercializadora)</w:t>
            </w:r>
          </w:p>
        </w:tc>
        <w:tc>
          <w:tcPr>
            <w:tcW w:w="1134" w:type="dxa"/>
            <w:shd w:val="clear" w:color="auto" w:fill="auto"/>
            <w:noWrap/>
            <w:vAlign w:val="center"/>
            <w:hideMark/>
          </w:tcPr>
          <w:p w14:paraId="513DEA6B" w14:textId="77777777" w:rsidR="00F7403E" w:rsidRPr="0027363F" w:rsidRDefault="00F7403E" w:rsidP="00217B47">
            <w:pPr>
              <w:spacing w:before="0" w:after="0" w:line="240" w:lineRule="auto"/>
              <w:jc w:val="center"/>
              <w:rPr>
                <w:rFonts w:eastAsia="Times New Roman"/>
                <w:color w:val="000000"/>
                <w:sz w:val="18"/>
                <w:szCs w:val="18"/>
              </w:rPr>
            </w:pPr>
            <w:r w:rsidRPr="0027363F">
              <w:rPr>
                <w:rFonts w:eastAsia="Times New Roman"/>
                <w:color w:val="000000"/>
                <w:sz w:val="18"/>
                <w:szCs w:val="18"/>
              </w:rPr>
              <w:t>Nacional</w:t>
            </w:r>
          </w:p>
        </w:tc>
        <w:tc>
          <w:tcPr>
            <w:tcW w:w="2337" w:type="dxa"/>
            <w:shd w:val="clear" w:color="auto" w:fill="auto"/>
            <w:noWrap/>
            <w:vAlign w:val="center"/>
            <w:hideMark/>
          </w:tcPr>
          <w:p w14:paraId="4F56E456" w14:textId="77777777" w:rsidR="00F7403E" w:rsidRPr="0027363F" w:rsidRDefault="00F7403E" w:rsidP="00217B47">
            <w:pPr>
              <w:spacing w:before="0" w:after="0" w:line="240" w:lineRule="auto"/>
              <w:jc w:val="left"/>
              <w:rPr>
                <w:rFonts w:eastAsia="Times New Roman"/>
                <w:color w:val="000000"/>
                <w:sz w:val="18"/>
                <w:szCs w:val="18"/>
              </w:rPr>
            </w:pPr>
            <w:r w:rsidRPr="0027363F">
              <w:rPr>
                <w:rFonts w:eastAsia="Times New Roman"/>
                <w:color w:val="000000"/>
                <w:sz w:val="18"/>
                <w:szCs w:val="18"/>
              </w:rPr>
              <w:t>Comercializar:</w:t>
            </w:r>
          </w:p>
          <w:p w14:paraId="53828C6F" w14:textId="77777777" w:rsidR="00F7403E" w:rsidRPr="0027363F" w:rsidRDefault="00F7403E" w:rsidP="00217B47">
            <w:pPr>
              <w:spacing w:before="0" w:after="0" w:line="240" w:lineRule="auto"/>
              <w:ind w:left="212"/>
              <w:jc w:val="left"/>
              <w:rPr>
                <w:rFonts w:eastAsia="Times New Roman"/>
                <w:color w:val="000000"/>
                <w:sz w:val="18"/>
                <w:szCs w:val="18"/>
              </w:rPr>
            </w:pPr>
            <w:r>
              <w:rPr>
                <w:rFonts w:eastAsia="Times New Roman"/>
                <w:color w:val="000000"/>
                <w:sz w:val="18"/>
                <w:szCs w:val="18"/>
              </w:rPr>
              <w:t>Acceso a Internet</w:t>
            </w:r>
          </w:p>
          <w:p w14:paraId="52526C51" w14:textId="77777777" w:rsidR="00F7403E" w:rsidRPr="0027363F" w:rsidRDefault="00F7403E" w:rsidP="00217B47">
            <w:pPr>
              <w:spacing w:before="0" w:after="0" w:line="240" w:lineRule="auto"/>
              <w:ind w:left="212"/>
              <w:jc w:val="left"/>
              <w:rPr>
                <w:rFonts w:eastAsia="Times New Roman"/>
                <w:color w:val="000000"/>
                <w:sz w:val="18"/>
                <w:szCs w:val="18"/>
              </w:rPr>
            </w:pPr>
            <w:r>
              <w:rPr>
                <w:rFonts w:eastAsia="Times New Roman"/>
                <w:color w:val="000000"/>
                <w:sz w:val="18"/>
                <w:szCs w:val="18"/>
              </w:rPr>
              <w:t>Enlaces dedicados</w:t>
            </w:r>
          </w:p>
          <w:p w14:paraId="3F125224" w14:textId="77777777" w:rsidR="00F7403E" w:rsidRPr="0027363F" w:rsidRDefault="00F7403E" w:rsidP="00217B47">
            <w:pPr>
              <w:spacing w:before="0" w:after="0" w:line="240" w:lineRule="auto"/>
              <w:ind w:left="212"/>
              <w:jc w:val="left"/>
              <w:rPr>
                <w:rFonts w:eastAsia="Times New Roman"/>
                <w:color w:val="000000"/>
                <w:sz w:val="18"/>
                <w:szCs w:val="18"/>
              </w:rPr>
            </w:pPr>
            <w:r w:rsidRPr="0027363F">
              <w:rPr>
                <w:rFonts w:eastAsia="Times New Roman"/>
                <w:color w:val="000000"/>
                <w:sz w:val="18"/>
                <w:szCs w:val="18"/>
              </w:rPr>
              <w:t>Transmisión de datos</w:t>
            </w:r>
          </w:p>
        </w:tc>
        <w:tc>
          <w:tcPr>
            <w:tcW w:w="1108" w:type="dxa"/>
            <w:vAlign w:val="center"/>
          </w:tcPr>
          <w:p w14:paraId="3CE60C70" w14:textId="77777777" w:rsidR="00F7403E" w:rsidRPr="0027363F" w:rsidRDefault="00F7403E" w:rsidP="00217B47">
            <w:pPr>
              <w:spacing w:before="0" w:after="0" w:line="240" w:lineRule="auto"/>
              <w:jc w:val="center"/>
              <w:rPr>
                <w:rFonts w:eastAsia="Times New Roman"/>
                <w:color w:val="000000"/>
                <w:sz w:val="18"/>
                <w:szCs w:val="18"/>
              </w:rPr>
            </w:pPr>
            <w:r w:rsidRPr="0027363F">
              <w:rPr>
                <w:rFonts w:eastAsia="Times New Roman"/>
                <w:color w:val="000000"/>
                <w:sz w:val="18"/>
                <w:szCs w:val="18"/>
              </w:rPr>
              <w:t>18-10-2017</w:t>
            </w:r>
          </w:p>
          <w:p w14:paraId="60780AF7" w14:textId="77777777" w:rsidR="00F7403E" w:rsidRPr="0027363F" w:rsidRDefault="00F7403E" w:rsidP="00217B47">
            <w:pPr>
              <w:spacing w:before="0" w:after="0" w:line="240" w:lineRule="auto"/>
              <w:jc w:val="center"/>
              <w:rPr>
                <w:rFonts w:eastAsia="Times New Roman"/>
                <w:color w:val="000000"/>
                <w:sz w:val="18"/>
                <w:szCs w:val="18"/>
              </w:rPr>
            </w:pPr>
            <w:r w:rsidRPr="0027363F">
              <w:rPr>
                <w:rFonts w:eastAsia="Times New Roman"/>
                <w:color w:val="000000"/>
                <w:sz w:val="18"/>
                <w:szCs w:val="18"/>
              </w:rPr>
              <w:t>18-10-2027</w:t>
            </w:r>
          </w:p>
        </w:tc>
      </w:tr>
    </w:tbl>
    <w:p w14:paraId="3656B9B9" w14:textId="77777777" w:rsidR="00F7403E" w:rsidRPr="0027363F" w:rsidRDefault="00F7403E" w:rsidP="005754BE">
      <w:pPr>
        <w:pStyle w:val="Notaalpie"/>
        <w:ind w:right="48"/>
        <w:rPr>
          <w:rFonts w:eastAsia="Calibri" w:cs="Times New Roman"/>
          <w:sz w:val="16"/>
        </w:rPr>
      </w:pPr>
      <w:r w:rsidRPr="0027363F">
        <w:rPr>
          <w:rFonts w:eastAsia="Calibri" w:cs="Times New Roman"/>
          <w:sz w:val="16"/>
        </w:rPr>
        <w:t xml:space="preserve">Fuente: Elaboración propia con </w:t>
      </w:r>
      <w:r w:rsidRPr="005754BE">
        <w:rPr>
          <w:rFonts w:eastAsia="Calibri" w:cs="Times New Roman"/>
          <w:sz w:val="16"/>
        </w:rPr>
        <w:t xml:space="preserve">información contenida en Fojas </w:t>
      </w:r>
      <w:r w:rsidR="005754BE" w:rsidRPr="005754BE">
        <w:rPr>
          <w:rFonts w:eastAsia="Calibri" w:cs="Times New Roman"/>
          <w:sz w:val="16"/>
        </w:rPr>
        <w:t>271-274</w:t>
      </w:r>
      <w:r w:rsidRPr="005754BE">
        <w:rPr>
          <w:rFonts w:eastAsia="Calibri" w:cs="Times New Roman"/>
          <w:sz w:val="16"/>
        </w:rPr>
        <w:t xml:space="preserve"> del Expediente y del Registro Público de Concesiones del Instituto.</w:t>
      </w:r>
    </w:p>
    <w:p w14:paraId="3261F30A" w14:textId="6F139C8D" w:rsidR="0012118E" w:rsidRDefault="00C476FD" w:rsidP="00C476FD">
      <w:r w:rsidRPr="00853B03">
        <w:rPr>
          <w:rFonts w:eastAsia="Times New Roman"/>
          <w:color w:val="000000"/>
          <w:lang w:val="es-MX"/>
        </w:rPr>
        <w:t>Como se mencion</w:t>
      </w:r>
      <w:r w:rsidR="0012118E">
        <w:rPr>
          <w:rFonts w:eastAsia="Times New Roman"/>
          <w:color w:val="000000"/>
          <w:lang w:val="es-MX"/>
        </w:rPr>
        <w:t>a</w:t>
      </w:r>
      <w:r w:rsidRPr="00853B03">
        <w:rPr>
          <w:rFonts w:eastAsia="Times New Roman"/>
          <w:color w:val="000000"/>
          <w:lang w:val="es-MX"/>
        </w:rPr>
        <w:t xml:space="preserve"> </w:t>
      </w:r>
      <w:r w:rsidR="0012118E" w:rsidRPr="0010136E">
        <w:rPr>
          <w:rFonts w:eastAsia="Times New Roman"/>
          <w:color w:val="000000"/>
          <w:lang w:val="es-MX"/>
        </w:rPr>
        <w:t>en la sección 4.1.3 de esta resolución</w:t>
      </w:r>
      <w:r w:rsidRPr="0010136E">
        <w:rPr>
          <w:rFonts w:eastAsia="Times New Roman"/>
          <w:color w:val="000000"/>
          <w:lang w:val="es-MX"/>
        </w:rPr>
        <w:t xml:space="preserve">, </w:t>
      </w:r>
      <w:r w:rsidRPr="0010136E">
        <w:t>Me</w:t>
      </w:r>
      <w:r w:rsidRPr="00853B03">
        <w:t>tro Net transf</w:t>
      </w:r>
      <w:r>
        <w:t>irió</w:t>
      </w:r>
      <w:r w:rsidRPr="00853B03">
        <w:t xml:space="preserve"> a CFCA </w:t>
      </w:r>
      <w:r w:rsidRPr="00853B03">
        <w:rPr>
          <w:rFonts w:eastAsia="Times New Roman"/>
          <w:color w:val="000000"/>
          <w:lang w:val="es-MX"/>
        </w:rPr>
        <w:t>l</w:t>
      </w:r>
      <w:r w:rsidRPr="00853B03">
        <w:t xml:space="preserve">a red de fibra óptica que </w:t>
      </w:r>
      <w:r>
        <w:t xml:space="preserve">tenía y </w:t>
      </w:r>
      <w:r w:rsidR="00DD187D" w:rsidRPr="00E63FC2">
        <w:rPr>
          <w:b/>
          <w:bCs/>
          <w:color w:val="0000CC"/>
          <w:sz w:val="19"/>
          <w:szCs w:val="19"/>
        </w:rPr>
        <w:t>“CONFIDENCIAL POR LEY (1</w:t>
      </w:r>
      <w:r w:rsidR="00FA0986">
        <w:rPr>
          <w:b/>
          <w:bCs/>
          <w:color w:val="0000CC"/>
          <w:sz w:val="19"/>
          <w:szCs w:val="19"/>
        </w:rPr>
        <w:t>57</w:t>
      </w:r>
      <w:r w:rsidR="00DD187D" w:rsidRPr="00E63FC2">
        <w:rPr>
          <w:b/>
          <w:bCs/>
          <w:color w:val="0000CC"/>
          <w:sz w:val="19"/>
          <w:szCs w:val="19"/>
        </w:rPr>
        <w:t>)”</w:t>
      </w:r>
      <w:r w:rsidR="00DD187D">
        <w:rPr>
          <w:b/>
          <w:bCs/>
          <w:color w:val="0000CC"/>
          <w:sz w:val="19"/>
          <w:szCs w:val="19"/>
        </w:rPr>
        <w:t xml:space="preserve"> </w:t>
      </w:r>
      <w:r>
        <w:t>usuarios</w:t>
      </w:r>
      <w:r w:rsidR="00AF14C3">
        <w:t xml:space="preserve"> –salvo </w:t>
      </w:r>
      <w:r w:rsidR="00DD187D" w:rsidRPr="00E63FC2">
        <w:rPr>
          <w:b/>
          <w:bCs/>
          <w:color w:val="0000CC"/>
          <w:sz w:val="19"/>
          <w:szCs w:val="19"/>
        </w:rPr>
        <w:t>“CONFIDENCIAL POR LEY (1</w:t>
      </w:r>
      <w:r w:rsidR="00FA0986">
        <w:rPr>
          <w:b/>
          <w:bCs/>
          <w:color w:val="0000CC"/>
          <w:sz w:val="19"/>
          <w:szCs w:val="19"/>
        </w:rPr>
        <w:t>58</w:t>
      </w:r>
      <w:r w:rsidR="00DD187D" w:rsidRPr="00E63FC2">
        <w:rPr>
          <w:b/>
          <w:bCs/>
          <w:color w:val="0000CC"/>
          <w:sz w:val="19"/>
          <w:szCs w:val="19"/>
        </w:rPr>
        <w:t>)”</w:t>
      </w:r>
      <w:r w:rsidR="00AF14C3">
        <w:t xml:space="preserve"> de ellos-</w:t>
      </w:r>
      <w:r>
        <w:t xml:space="preserve"> que atendía a través de la misma. </w:t>
      </w:r>
      <w:r w:rsidR="0058242B">
        <w:t xml:space="preserve">Enseguida se resume de manera cronológica </w:t>
      </w:r>
      <w:r w:rsidR="00582686">
        <w:t xml:space="preserve">e informativa </w:t>
      </w:r>
      <w:r w:rsidR="0058242B">
        <w:t>la trans</w:t>
      </w:r>
      <w:r w:rsidR="00DF28D5">
        <w:t>ferencia</w:t>
      </w:r>
      <w:r w:rsidR="0058242B">
        <w:t xml:space="preserve"> de usuarios y de la red de fibra óptica de Metro Net a CFCA</w:t>
      </w:r>
      <w:r w:rsidR="0012118E">
        <w:t>.</w:t>
      </w:r>
    </w:p>
    <w:p w14:paraId="5E69CCE6" w14:textId="60E12474" w:rsidR="0067654D" w:rsidRDefault="0067654D" w:rsidP="00C476FD">
      <w:pPr>
        <w:rPr>
          <w:b/>
        </w:rPr>
      </w:pPr>
      <w:r w:rsidRPr="0067654D">
        <w:rPr>
          <w:b/>
        </w:rPr>
        <w:t>Evolución de la relación entre Metro Net y CFCA</w:t>
      </w:r>
    </w:p>
    <w:p w14:paraId="122ED8CE" w14:textId="77777777" w:rsidR="0067654D" w:rsidRDefault="0067654D" w:rsidP="0067654D">
      <w:pPr>
        <w:ind w:left="567"/>
      </w:pPr>
      <w:r>
        <w:rPr>
          <w:b/>
        </w:rPr>
        <w:t>14 de agosto de 2017</w:t>
      </w:r>
      <w:r w:rsidRPr="0058242B">
        <w:t>.</w:t>
      </w:r>
      <w:r>
        <w:t xml:space="preserve"> Metro Net se escinde parcialmente, se constituye CFCA y Metro Net transfiere a CFCA la red de fibra óptica de la que era propietario, así como </w:t>
      </w:r>
      <w:r w:rsidRPr="00E63FC2">
        <w:rPr>
          <w:b/>
          <w:bCs/>
          <w:color w:val="0000CC"/>
          <w:sz w:val="19"/>
          <w:szCs w:val="19"/>
        </w:rPr>
        <w:t>“CONFIDENCIAL POR LEY (1</w:t>
      </w:r>
      <w:r>
        <w:rPr>
          <w:b/>
          <w:bCs/>
          <w:color w:val="0000CC"/>
          <w:sz w:val="19"/>
          <w:szCs w:val="19"/>
        </w:rPr>
        <w:t>59</w:t>
      </w:r>
      <w:r w:rsidRPr="00E63FC2">
        <w:rPr>
          <w:b/>
          <w:bCs/>
          <w:color w:val="0000CC"/>
          <w:sz w:val="19"/>
          <w:szCs w:val="19"/>
        </w:rPr>
        <w:t>)”</w:t>
      </w:r>
      <w:r>
        <w:rPr>
          <w:b/>
          <w:bCs/>
          <w:color w:val="0000CC"/>
          <w:sz w:val="19"/>
          <w:szCs w:val="19"/>
        </w:rPr>
        <w:t xml:space="preserve"> </w:t>
      </w:r>
      <w:r>
        <w:t xml:space="preserve">usuarios que atendía a través de la misma, con excepción de </w:t>
      </w:r>
      <w:r w:rsidRPr="00E63FC2">
        <w:rPr>
          <w:b/>
          <w:bCs/>
          <w:color w:val="0000CC"/>
          <w:sz w:val="19"/>
          <w:szCs w:val="19"/>
        </w:rPr>
        <w:t>“CONFIDENCIAL POR LEY (1</w:t>
      </w:r>
      <w:r>
        <w:rPr>
          <w:b/>
          <w:bCs/>
          <w:color w:val="0000CC"/>
          <w:sz w:val="19"/>
          <w:szCs w:val="19"/>
        </w:rPr>
        <w:t>60</w:t>
      </w:r>
      <w:r w:rsidRPr="00E63FC2">
        <w:rPr>
          <w:b/>
          <w:bCs/>
          <w:color w:val="0000CC"/>
          <w:sz w:val="19"/>
          <w:szCs w:val="19"/>
        </w:rPr>
        <w:t>)”</w:t>
      </w:r>
      <w:r>
        <w:t>. Metro Net mantiene la Concesión Metro Net.</w:t>
      </w:r>
    </w:p>
    <w:p w14:paraId="2A40237D" w14:textId="77777777" w:rsidR="0067654D" w:rsidRDefault="0067654D" w:rsidP="0067654D">
      <w:pPr>
        <w:ind w:left="567"/>
      </w:pPr>
      <w:r>
        <w:rPr>
          <w:b/>
        </w:rPr>
        <w:t xml:space="preserve">03 de octubre de 2017. </w:t>
      </w:r>
      <w:r w:rsidRPr="00A564FF">
        <w:t>Surte efectos</w:t>
      </w:r>
      <w:r>
        <w:t xml:space="preserve"> plenos</w:t>
      </w:r>
      <w:r w:rsidRPr="00A564FF">
        <w:t xml:space="preserve"> la Escisión Metro Net.</w:t>
      </w:r>
    </w:p>
    <w:p w14:paraId="799E4547" w14:textId="77777777" w:rsidR="0067654D" w:rsidRDefault="0067654D" w:rsidP="0067654D">
      <w:pPr>
        <w:ind w:left="567"/>
      </w:pPr>
      <w:r>
        <w:rPr>
          <w:b/>
        </w:rPr>
        <w:t>18 de octubre de 2017</w:t>
      </w:r>
      <w:r w:rsidRPr="00DF28D5">
        <w:t>.</w:t>
      </w:r>
      <w:r>
        <w:t xml:space="preserve"> </w:t>
      </w:r>
      <w:proofErr w:type="spellStart"/>
      <w:r>
        <w:t>Telco</w:t>
      </w:r>
      <w:proofErr w:type="spellEnd"/>
      <w:r>
        <w:t xml:space="preserve"> obtiene la Autorización de Comercializadora.</w:t>
      </w:r>
    </w:p>
    <w:p w14:paraId="47D4B0F3" w14:textId="77777777" w:rsidR="0067654D" w:rsidRDefault="0067654D" w:rsidP="0067654D">
      <w:pPr>
        <w:ind w:left="567"/>
      </w:pPr>
      <w:r w:rsidRPr="0058242B">
        <w:rPr>
          <w:b/>
        </w:rPr>
        <w:t>25 de octubre de 2017</w:t>
      </w:r>
      <w:r>
        <w:t xml:space="preserve">. </w:t>
      </w:r>
      <w:proofErr w:type="spellStart"/>
      <w:r>
        <w:t>Telco</w:t>
      </w:r>
      <w:proofErr w:type="spellEnd"/>
      <w:r>
        <w:t xml:space="preserve"> transfiere a CFCA la Autorización de Comercializadora.</w:t>
      </w:r>
    </w:p>
    <w:p w14:paraId="4595335E" w14:textId="77777777" w:rsidR="0067654D" w:rsidRDefault="0067654D" w:rsidP="0067654D">
      <w:pPr>
        <w:ind w:left="567"/>
      </w:pPr>
      <w:r>
        <w:t>Las Partes señalaron que:</w:t>
      </w:r>
    </w:p>
    <w:p w14:paraId="07E075DE" w14:textId="77777777" w:rsidR="0067654D" w:rsidRPr="00CF7754" w:rsidRDefault="0067654D" w:rsidP="0067654D">
      <w:pPr>
        <w:ind w:left="1134"/>
        <w:rPr>
          <w:i/>
        </w:rPr>
      </w:pPr>
      <w:r w:rsidRPr="00CF7754">
        <w:rPr>
          <w:i/>
        </w:rPr>
        <w:t>“</w:t>
      </w:r>
      <w:r w:rsidRPr="00CF7754">
        <w:rPr>
          <w:i/>
          <w:u w:val="single"/>
        </w:rPr>
        <w:t>Metro Net</w:t>
      </w:r>
      <w:r w:rsidRPr="00CF7754">
        <w:rPr>
          <w:i/>
        </w:rPr>
        <w:t xml:space="preserve">, en su calidad de concesionario, </w:t>
      </w:r>
      <w:r w:rsidRPr="00CF7754">
        <w:rPr>
          <w:i/>
          <w:u w:val="single"/>
        </w:rPr>
        <w:t xml:space="preserve">proporcionó servicios de capacidad originalmente a </w:t>
      </w:r>
      <w:proofErr w:type="spellStart"/>
      <w:r w:rsidRPr="00CF7754">
        <w:rPr>
          <w:i/>
          <w:u w:val="single"/>
        </w:rPr>
        <w:t>Telco</w:t>
      </w:r>
      <w:proofErr w:type="spellEnd"/>
      <w:r w:rsidRPr="00CF7754">
        <w:rPr>
          <w:i/>
          <w:u w:val="single"/>
        </w:rPr>
        <w:t xml:space="preserve"> y posteriormente a CFCA para la reventa</w:t>
      </w:r>
      <w:r w:rsidRPr="00CF7754">
        <w:rPr>
          <w:i/>
        </w:rPr>
        <w:t xml:space="preserve"> de servicios de telecomunicaciones a los usuarios finales de estos últimos.”</w:t>
      </w:r>
      <w:r w:rsidRPr="00CF7754">
        <w:rPr>
          <w:rFonts w:eastAsia="Times New Roman"/>
          <w:i/>
          <w:color w:val="000000"/>
          <w:vertAlign w:val="superscript"/>
          <w:lang w:val="es-MX"/>
        </w:rPr>
        <w:footnoteReference w:id="30"/>
      </w:r>
    </w:p>
    <w:p w14:paraId="49167B86" w14:textId="77777777" w:rsidR="0067654D" w:rsidRPr="00CF7754" w:rsidRDefault="0067654D" w:rsidP="0067654D">
      <w:pPr>
        <w:ind w:left="1134"/>
        <w:rPr>
          <w:i/>
        </w:rPr>
      </w:pPr>
      <w:r w:rsidRPr="00CF7754">
        <w:rPr>
          <w:i/>
        </w:rPr>
        <w:t>“</w:t>
      </w:r>
      <w:r w:rsidRPr="00CF7754">
        <w:rPr>
          <w:i/>
          <w:u w:val="single"/>
        </w:rPr>
        <w:t>CFCA no explota la red pública de telecomunicaciones de Metro Net</w:t>
      </w:r>
      <w:r w:rsidRPr="00CF7754">
        <w:rPr>
          <w:i/>
        </w:rPr>
        <w:t xml:space="preserve">, [quien] (…), en su calidad de concesionario, ha operado y explotado la red pública de telecomunicaciones de la que es propietaria (…) CFCA, quien a su vez </w:t>
      </w:r>
      <w:r w:rsidRPr="00CF7754">
        <w:rPr>
          <w:i/>
          <w:u w:val="single"/>
        </w:rPr>
        <w:t xml:space="preserve">adquirió los servicios de telecomunicaciones [de Metro Net] al amparo </w:t>
      </w:r>
      <w:r w:rsidRPr="00CF7754">
        <w:rPr>
          <w:i/>
          <w:u w:val="single"/>
        </w:rPr>
        <w:lastRenderedPageBreak/>
        <w:t>de la [Autorización de Comercializadora] para su reventa a los clientes finales</w:t>
      </w:r>
      <w:r w:rsidRPr="00CF7754">
        <w:rPr>
          <w:i/>
        </w:rPr>
        <w:t>.”</w:t>
      </w:r>
      <w:r w:rsidRPr="00CF7754">
        <w:rPr>
          <w:rFonts w:eastAsia="Times New Roman"/>
          <w:i/>
          <w:color w:val="000000"/>
          <w:vertAlign w:val="superscript"/>
          <w:lang w:val="es-MX"/>
        </w:rPr>
        <w:footnoteReference w:id="31"/>
      </w:r>
    </w:p>
    <w:p w14:paraId="7E8D8E28" w14:textId="77777777" w:rsidR="0067654D" w:rsidRPr="00CF7754" w:rsidRDefault="0067654D" w:rsidP="0067654D">
      <w:pPr>
        <w:ind w:left="1134"/>
      </w:pPr>
      <w:r w:rsidRPr="00CF7754">
        <w:t xml:space="preserve"> “</w:t>
      </w:r>
      <w:r w:rsidRPr="00CF7754">
        <w:rPr>
          <w:i/>
          <w:u w:val="single"/>
        </w:rPr>
        <w:t>Los servicios que prestaba Metro Net fueron prestados por CFCA i) al amparo de la [Autorización de Comercializadora]</w:t>
      </w:r>
      <w:r w:rsidRPr="00CF7754">
        <w:rPr>
          <w:i/>
        </w:rPr>
        <w:t xml:space="preserve"> (…) y ii) de conformidad con lo dispuesto en el artículo 170 de la [LFTR].</w:t>
      </w:r>
      <w:r w:rsidRPr="00CF7754">
        <w:t>”</w:t>
      </w:r>
      <w:r w:rsidRPr="00CF7754">
        <w:rPr>
          <w:rFonts w:eastAsia="Times New Roman"/>
          <w:color w:val="000000"/>
          <w:vertAlign w:val="superscript"/>
          <w:lang w:val="es-MX"/>
        </w:rPr>
        <w:footnoteReference w:id="32"/>
      </w:r>
      <w:r>
        <w:t xml:space="preserve"> </w:t>
      </w:r>
      <w:r w:rsidRPr="00CF7754">
        <w:t>[Énfasis añadido]</w:t>
      </w:r>
    </w:p>
    <w:p w14:paraId="17938381" w14:textId="77777777" w:rsidR="0067654D" w:rsidRPr="00393A29" w:rsidRDefault="0067654D" w:rsidP="0067654D">
      <w:pPr>
        <w:ind w:left="567"/>
      </w:pPr>
      <w:r w:rsidRPr="00E63FC2">
        <w:rPr>
          <w:b/>
          <w:bCs/>
          <w:color w:val="0000CC"/>
          <w:sz w:val="19"/>
          <w:szCs w:val="19"/>
        </w:rPr>
        <w:t>“CONFIDENCIAL POR LEY (1</w:t>
      </w:r>
      <w:r>
        <w:rPr>
          <w:b/>
          <w:bCs/>
          <w:color w:val="0000CC"/>
          <w:sz w:val="19"/>
          <w:szCs w:val="19"/>
        </w:rPr>
        <w:t>61</w:t>
      </w:r>
      <w:r w:rsidRPr="00E63FC2">
        <w:rPr>
          <w:b/>
          <w:bCs/>
          <w:color w:val="0000CC"/>
          <w:sz w:val="19"/>
          <w:szCs w:val="19"/>
        </w:rPr>
        <w:t>)”</w:t>
      </w:r>
    </w:p>
    <w:p w14:paraId="11289FCB" w14:textId="77777777" w:rsidR="0067654D" w:rsidRDefault="0067654D" w:rsidP="0067654D">
      <w:pPr>
        <w:ind w:left="567"/>
      </w:pPr>
      <w:r w:rsidRPr="002249CA">
        <w:rPr>
          <w:b/>
        </w:rPr>
        <w:t>1 de enero de 2018.</w:t>
      </w:r>
      <w:r>
        <w:t xml:space="preserve"> Las Partes señalaron que:</w:t>
      </w:r>
    </w:p>
    <w:p w14:paraId="5E86DD80" w14:textId="77777777" w:rsidR="0067654D" w:rsidRDefault="0067654D" w:rsidP="0067654D">
      <w:pPr>
        <w:ind w:left="1134"/>
      </w:pPr>
      <w:r w:rsidRPr="007D7655">
        <w:t>“</w:t>
      </w:r>
      <w:r w:rsidRPr="007D7655">
        <w:rPr>
          <w:i/>
        </w:rPr>
        <w:t xml:space="preserve">(…) </w:t>
      </w:r>
      <w:r w:rsidRPr="00582686">
        <w:rPr>
          <w:i/>
          <w:u w:val="single"/>
        </w:rPr>
        <w:t>a partir del 1 de enero de 2018</w:t>
      </w:r>
      <w:r>
        <w:rPr>
          <w:i/>
          <w:u w:val="single"/>
        </w:rPr>
        <w:t xml:space="preserve"> </w:t>
      </w:r>
      <w:r w:rsidRPr="00E63FC2">
        <w:rPr>
          <w:b/>
          <w:bCs/>
          <w:color w:val="0000CC"/>
          <w:sz w:val="19"/>
          <w:szCs w:val="19"/>
        </w:rPr>
        <w:t>“CONFIDENCIAL POR LEY (1</w:t>
      </w:r>
      <w:r>
        <w:rPr>
          <w:b/>
          <w:bCs/>
          <w:color w:val="0000CC"/>
          <w:sz w:val="19"/>
          <w:szCs w:val="19"/>
        </w:rPr>
        <w:t>62</w:t>
      </w:r>
      <w:r w:rsidRPr="00E63FC2">
        <w:rPr>
          <w:b/>
          <w:bCs/>
          <w:color w:val="0000CC"/>
          <w:sz w:val="19"/>
          <w:szCs w:val="19"/>
        </w:rPr>
        <w:t>)”</w:t>
      </w:r>
      <w:r w:rsidRPr="007D7655">
        <w:rPr>
          <w:i/>
        </w:rPr>
        <w:t xml:space="preserve">. Lo anterior en virtud de que </w:t>
      </w:r>
      <w:r w:rsidRPr="000818B2">
        <w:rPr>
          <w:i/>
          <w:u w:val="single"/>
        </w:rPr>
        <w:t xml:space="preserve">MATC </w:t>
      </w:r>
      <w:proofErr w:type="spellStart"/>
      <w:r w:rsidRPr="000818B2">
        <w:rPr>
          <w:i/>
          <w:u w:val="single"/>
        </w:rPr>
        <w:t>Fibraoptica</w:t>
      </w:r>
      <w:proofErr w:type="spellEnd"/>
      <w:r w:rsidRPr="000818B2">
        <w:rPr>
          <w:i/>
          <w:u w:val="single"/>
        </w:rPr>
        <w:t>, S. de R.L. de C.V., cedió la concesión única de la que era titular a favor de ATC HFM</w:t>
      </w:r>
      <w:r w:rsidRPr="007D7655">
        <w:rPr>
          <w:i/>
        </w:rPr>
        <w:t xml:space="preserve">, la cual forma parte del mismo grupo de interés económico y </w:t>
      </w:r>
      <w:r w:rsidRPr="00582686">
        <w:rPr>
          <w:i/>
          <w:u w:val="single"/>
        </w:rPr>
        <w:t>cuyo aviso a ese Instituto está por presentarse</w:t>
      </w:r>
      <w:r w:rsidRPr="007D7655">
        <w:rPr>
          <w:i/>
        </w:rPr>
        <w:t xml:space="preserve"> en términos del quinto párrafo del artículo 110 de la Ley Federal de Telecomunicaciones y </w:t>
      </w:r>
      <w:r w:rsidRPr="001D512B">
        <w:rPr>
          <w:i/>
        </w:rPr>
        <w:t xml:space="preserve">Radiodifusión (…) </w:t>
      </w:r>
      <w:r w:rsidRPr="001B6F22">
        <w:rPr>
          <w:i/>
          <w:u w:val="single"/>
        </w:rPr>
        <w:t>a partir de dicha cesión, [AT</w:t>
      </w:r>
      <w:r w:rsidRPr="001D512B">
        <w:rPr>
          <w:i/>
          <w:u w:val="single"/>
        </w:rPr>
        <w:t>C HFM] en su calidad de concesionaria (…) ha operado</w:t>
      </w:r>
      <w:r w:rsidRPr="00582686">
        <w:rPr>
          <w:i/>
          <w:u w:val="single"/>
        </w:rPr>
        <w:t xml:space="preserve"> y explotado la red pública de telecomunicaciones de la que es propietaria [CFCA].</w:t>
      </w:r>
      <w:r w:rsidRPr="007D7655">
        <w:t>”</w:t>
      </w:r>
      <w:r w:rsidRPr="007D7655">
        <w:rPr>
          <w:rFonts w:eastAsia="Times New Roman"/>
          <w:color w:val="000000"/>
          <w:vertAlign w:val="superscript"/>
          <w:lang w:val="es-MX"/>
        </w:rPr>
        <w:footnoteReference w:id="33"/>
      </w:r>
      <w:r>
        <w:t xml:space="preserve"> [Énfasis añadido]</w:t>
      </w:r>
    </w:p>
    <w:p w14:paraId="76EC5E86" w14:textId="77777777" w:rsidR="0067654D" w:rsidRDefault="0067654D" w:rsidP="0067654D">
      <w:pPr>
        <w:ind w:left="567"/>
      </w:pPr>
      <w:r w:rsidRPr="00B10971">
        <w:rPr>
          <w:b/>
        </w:rPr>
        <w:t>30 de enero de 2018.</w:t>
      </w:r>
      <w:r>
        <w:t xml:space="preserve"> Las Partes señalaron (y adjuntaron copia del aviso) que el 30 de enero de 2018 MATC </w:t>
      </w:r>
      <w:proofErr w:type="spellStart"/>
      <w:r>
        <w:t>Fibraoptica</w:t>
      </w:r>
      <w:proofErr w:type="spellEnd"/>
      <w:r>
        <w:t>, S. de R.L. de C.V. (MATC) presentó escrito al Instituto mediante el cual avisó que:</w:t>
      </w:r>
      <w:r w:rsidRPr="007D7655">
        <w:rPr>
          <w:rFonts w:eastAsia="Times New Roman"/>
          <w:color w:val="000000"/>
          <w:vertAlign w:val="superscript"/>
          <w:lang w:val="es-MX"/>
        </w:rPr>
        <w:footnoteReference w:id="34"/>
      </w:r>
    </w:p>
    <w:p w14:paraId="64F33184" w14:textId="77777777" w:rsidR="0067654D" w:rsidRDefault="0067654D" w:rsidP="0067654D">
      <w:pPr>
        <w:ind w:left="1158"/>
        <w:rPr>
          <w:i/>
        </w:rPr>
      </w:pPr>
      <w:r w:rsidRPr="00E63FC2">
        <w:rPr>
          <w:b/>
          <w:bCs/>
          <w:color w:val="0000CC"/>
          <w:sz w:val="19"/>
          <w:szCs w:val="19"/>
        </w:rPr>
        <w:t>“CONFIDENCIAL POR LEY (1</w:t>
      </w:r>
      <w:r>
        <w:rPr>
          <w:b/>
          <w:bCs/>
          <w:color w:val="0000CC"/>
          <w:sz w:val="19"/>
          <w:szCs w:val="19"/>
        </w:rPr>
        <w:t>63</w:t>
      </w:r>
      <w:r w:rsidRPr="00E63FC2">
        <w:rPr>
          <w:b/>
          <w:bCs/>
          <w:color w:val="0000CC"/>
          <w:sz w:val="19"/>
          <w:szCs w:val="19"/>
        </w:rPr>
        <w:t>)”</w:t>
      </w:r>
    </w:p>
    <w:p w14:paraId="378EE0AA" w14:textId="77777777" w:rsidR="0067654D" w:rsidRDefault="0067654D" w:rsidP="0067654D">
      <w:pPr>
        <w:ind w:left="1158"/>
        <w:rPr>
          <w:i/>
        </w:rPr>
      </w:pPr>
      <w:r>
        <w:rPr>
          <w:i/>
        </w:rPr>
        <w:t xml:space="preserve">En virtud de lo anterior, </w:t>
      </w:r>
      <w:r w:rsidRPr="00B10971">
        <w:rPr>
          <w:i/>
        </w:rPr>
        <w:t xml:space="preserve">MATC </w:t>
      </w:r>
      <w:proofErr w:type="spellStart"/>
      <w:r w:rsidRPr="00B10971">
        <w:rPr>
          <w:i/>
        </w:rPr>
        <w:t>Fibraoptica</w:t>
      </w:r>
      <w:proofErr w:type="spellEnd"/>
      <w:r w:rsidRPr="00B10971">
        <w:rPr>
          <w:i/>
        </w:rPr>
        <w:t xml:space="preserve"> cedió con efectos al 1 de enero de 2018, la [concesión única</w:t>
      </w:r>
      <w:r>
        <w:rPr>
          <w:i/>
        </w:rPr>
        <w:t xml:space="preserve"> de la que es titular</w:t>
      </w:r>
      <w:r w:rsidRPr="00B10971">
        <w:rPr>
          <w:i/>
        </w:rPr>
        <w:t>] a favor de [ATC HFM]</w:t>
      </w:r>
      <w:r>
        <w:rPr>
          <w:i/>
        </w:rPr>
        <w:t xml:space="preserve"> (…)</w:t>
      </w:r>
    </w:p>
    <w:p w14:paraId="38404F9B" w14:textId="4506F918" w:rsidR="0067654D" w:rsidRDefault="0067654D" w:rsidP="0067654D">
      <w:pPr>
        <w:ind w:left="1158"/>
        <w:rPr>
          <w:i/>
        </w:rPr>
      </w:pPr>
      <w:r w:rsidRPr="00B10971">
        <w:rPr>
          <w:i/>
        </w:rPr>
        <w:t>La Cesión se l</w:t>
      </w:r>
      <w:r>
        <w:rPr>
          <w:i/>
        </w:rPr>
        <w:t>levó a cabo e</w:t>
      </w:r>
      <w:r w:rsidRPr="00B10971">
        <w:rPr>
          <w:i/>
        </w:rPr>
        <w:t>n términos del párrafo cuarto del artículo 110 de la</w:t>
      </w:r>
      <w:r>
        <w:rPr>
          <w:i/>
        </w:rPr>
        <w:t xml:space="preserve"> </w:t>
      </w:r>
      <w:r w:rsidRPr="00B10971">
        <w:rPr>
          <w:i/>
        </w:rPr>
        <w:t>LFTR, toda vez que no se requiere autorización por</w:t>
      </w:r>
      <w:r>
        <w:rPr>
          <w:i/>
        </w:rPr>
        <w:t xml:space="preserve"> parte del IFT en los casos de </w:t>
      </w:r>
      <w:r w:rsidRPr="00B10971">
        <w:rPr>
          <w:i/>
        </w:rPr>
        <w:t>cesión de una concesión para uso comercial, como es el caso de la CONCESIÓN,</w:t>
      </w:r>
      <w:r>
        <w:rPr>
          <w:i/>
        </w:rPr>
        <w:t xml:space="preserve"> </w:t>
      </w:r>
      <w:r w:rsidRPr="00B10971">
        <w:rPr>
          <w:i/>
        </w:rPr>
        <w:t>por (entre otras causas) reestructuras corporativas, siempre que dicho acto sea</w:t>
      </w:r>
      <w:r>
        <w:rPr>
          <w:i/>
        </w:rPr>
        <w:t xml:space="preserve"> </w:t>
      </w:r>
      <w:r w:rsidRPr="00B10971">
        <w:rPr>
          <w:i/>
        </w:rPr>
        <w:t>dentro del mismo grupo de control o agente económico, como ocurre precisamente</w:t>
      </w:r>
      <w:r>
        <w:rPr>
          <w:i/>
        </w:rPr>
        <w:t xml:space="preserve"> </w:t>
      </w:r>
      <w:r w:rsidRPr="00B10971">
        <w:rPr>
          <w:i/>
        </w:rPr>
        <w:t>en el presente caso</w:t>
      </w:r>
      <w:r>
        <w:rPr>
          <w:i/>
        </w:rPr>
        <w:t>.</w:t>
      </w:r>
    </w:p>
    <w:p w14:paraId="6DEF096A" w14:textId="6DD48278" w:rsidR="00125707" w:rsidRPr="004B1E7C" w:rsidRDefault="0012118E" w:rsidP="004B1E7C">
      <w:pPr>
        <w:rPr>
          <w:b/>
        </w:rPr>
      </w:pPr>
      <w:bookmarkStart w:id="43" w:name="_Toc511061414"/>
      <w:r w:rsidRPr="004B1E7C">
        <w:rPr>
          <w:b/>
        </w:rPr>
        <w:t xml:space="preserve">4.2.2. </w:t>
      </w:r>
      <w:proofErr w:type="spellStart"/>
      <w:r w:rsidR="00125707" w:rsidRPr="004B1E7C">
        <w:rPr>
          <w:b/>
        </w:rPr>
        <w:t>Telco</w:t>
      </w:r>
      <w:bookmarkEnd w:id="43"/>
      <w:proofErr w:type="spellEnd"/>
    </w:p>
    <w:p w14:paraId="0649204C" w14:textId="0401229C" w:rsidR="006018EA" w:rsidRDefault="00303D82" w:rsidP="001C6B1E">
      <w:pPr>
        <w:pStyle w:val="Prrafodelista"/>
        <w:spacing w:after="120" w:line="276" w:lineRule="auto"/>
        <w:ind w:left="0"/>
        <w:contextualSpacing w:val="0"/>
        <w:rPr>
          <w:rFonts w:eastAsia="Times New Roman"/>
          <w:color w:val="000000"/>
          <w:lang w:val="es-MX"/>
        </w:rPr>
      </w:pPr>
      <w:proofErr w:type="spellStart"/>
      <w:r w:rsidRPr="00303D82">
        <w:rPr>
          <w:rFonts w:eastAsia="Times New Roman"/>
          <w:color w:val="000000"/>
          <w:lang w:val="es-MX"/>
        </w:rPr>
        <w:t>Telco</w:t>
      </w:r>
      <w:proofErr w:type="spellEnd"/>
      <w:r w:rsidR="00327869" w:rsidRPr="00303D82">
        <w:rPr>
          <w:rFonts w:eastAsia="Times New Roman"/>
          <w:color w:val="000000"/>
          <w:lang w:val="es-MX"/>
        </w:rPr>
        <w:t xml:space="preserve"> es una sociedad constituida </w:t>
      </w:r>
      <w:r w:rsidR="00CE2B2E">
        <w:rPr>
          <w:rFonts w:eastAsia="Times New Roman"/>
          <w:color w:val="000000"/>
          <w:lang w:val="es-MX"/>
        </w:rPr>
        <w:t xml:space="preserve">recientemente </w:t>
      </w:r>
      <w:r w:rsidR="00327869" w:rsidRPr="00303D82">
        <w:rPr>
          <w:rFonts w:eastAsia="Times New Roman"/>
          <w:color w:val="000000"/>
          <w:lang w:val="es-MX"/>
        </w:rPr>
        <w:t>conforme a l</w:t>
      </w:r>
      <w:r w:rsidR="00327869" w:rsidRPr="006018EA">
        <w:rPr>
          <w:rFonts w:eastAsia="Times New Roman"/>
          <w:color w:val="000000"/>
          <w:lang w:val="es-MX"/>
        </w:rPr>
        <w:t xml:space="preserve">as leyes mexicanas, según consta en la escritura pública de fecha </w:t>
      </w:r>
      <w:r w:rsidR="00383A0C">
        <w:rPr>
          <w:rFonts w:eastAsia="Times New Roman"/>
          <w:color w:val="000000"/>
          <w:lang w:val="es-MX"/>
        </w:rPr>
        <w:t>veintidós</w:t>
      </w:r>
      <w:r w:rsidRPr="006018EA">
        <w:rPr>
          <w:rFonts w:eastAsia="Times New Roman"/>
          <w:color w:val="000000"/>
          <w:lang w:val="es-MX"/>
        </w:rPr>
        <w:t xml:space="preserve"> de junio de </w:t>
      </w:r>
      <w:r w:rsidR="00383A0C">
        <w:rPr>
          <w:rFonts w:eastAsia="Times New Roman"/>
          <w:color w:val="000000"/>
          <w:lang w:val="es-MX"/>
        </w:rPr>
        <w:t>dos mil diecisiete</w:t>
      </w:r>
      <w:r w:rsidRPr="006018EA">
        <w:rPr>
          <w:rFonts w:eastAsia="Times New Roman"/>
          <w:color w:val="000000"/>
          <w:lang w:val="es-MX"/>
        </w:rPr>
        <w:t>.</w:t>
      </w:r>
      <w:r w:rsidRPr="006018EA">
        <w:rPr>
          <w:rFonts w:eastAsia="Times New Roman"/>
          <w:color w:val="000000"/>
          <w:vertAlign w:val="superscript"/>
          <w:lang w:val="es-MX"/>
        </w:rPr>
        <w:t xml:space="preserve"> </w:t>
      </w:r>
      <w:r w:rsidRPr="006018EA">
        <w:rPr>
          <w:rFonts w:eastAsia="Times New Roman"/>
          <w:color w:val="000000"/>
          <w:vertAlign w:val="superscript"/>
          <w:lang w:val="es-MX"/>
        </w:rPr>
        <w:footnoteReference w:id="35"/>
      </w:r>
    </w:p>
    <w:p w14:paraId="3E68AF98" w14:textId="66743E39" w:rsidR="006018EA" w:rsidRDefault="006018EA" w:rsidP="001C6B1E">
      <w:pPr>
        <w:pStyle w:val="Prrafodelista"/>
        <w:spacing w:after="120" w:line="276" w:lineRule="auto"/>
        <w:ind w:left="0"/>
        <w:contextualSpacing w:val="0"/>
        <w:rPr>
          <w:rFonts w:eastAsia="Times New Roman"/>
          <w:color w:val="000000"/>
          <w:lang w:val="es-MX"/>
        </w:rPr>
      </w:pPr>
      <w:r>
        <w:rPr>
          <w:rFonts w:eastAsia="Times New Roman"/>
          <w:color w:val="000000"/>
          <w:lang w:val="es-MX"/>
        </w:rPr>
        <w:lastRenderedPageBreak/>
        <w:t xml:space="preserve">Antes de la Operación, </w:t>
      </w:r>
      <w:proofErr w:type="spellStart"/>
      <w:r>
        <w:rPr>
          <w:rFonts w:eastAsia="Times New Roman"/>
          <w:color w:val="000000"/>
          <w:lang w:val="es-MX"/>
        </w:rPr>
        <w:t>Telco</w:t>
      </w:r>
      <w:proofErr w:type="spellEnd"/>
      <w:r w:rsidRPr="00856CAF">
        <w:rPr>
          <w:rFonts w:eastAsia="Times New Roman"/>
          <w:color w:val="000000"/>
          <w:lang w:val="es-MX"/>
        </w:rPr>
        <w:t xml:space="preserve"> e</w:t>
      </w:r>
      <w:r>
        <w:rPr>
          <w:rFonts w:eastAsia="Times New Roman"/>
          <w:color w:val="000000"/>
          <w:lang w:val="es-MX"/>
        </w:rPr>
        <w:t>ra</w:t>
      </w:r>
      <w:r w:rsidRPr="00856CAF">
        <w:rPr>
          <w:rFonts w:eastAsia="Times New Roman"/>
          <w:color w:val="000000"/>
          <w:lang w:val="es-MX"/>
        </w:rPr>
        <w:t xml:space="preserve"> una subsidiaria </w:t>
      </w:r>
      <w:r w:rsidR="00DF28D5">
        <w:rPr>
          <w:rFonts w:eastAsia="Times New Roman"/>
          <w:color w:val="000000"/>
          <w:lang w:val="es-MX"/>
        </w:rPr>
        <w:t xml:space="preserve">indirecta </w:t>
      </w:r>
      <w:r w:rsidRPr="00856CAF">
        <w:rPr>
          <w:rFonts w:eastAsia="Times New Roman"/>
          <w:color w:val="000000"/>
          <w:lang w:val="es-MX"/>
        </w:rPr>
        <w:t xml:space="preserve">de </w:t>
      </w:r>
      <w:r>
        <w:rPr>
          <w:rFonts w:eastAsia="Times New Roman"/>
          <w:color w:val="000000"/>
          <w:lang w:val="es-MX"/>
        </w:rPr>
        <w:t>KIO,</w:t>
      </w:r>
      <w:r w:rsidRPr="00856CAF">
        <w:rPr>
          <w:rFonts w:eastAsia="Times New Roman"/>
          <w:color w:val="000000"/>
          <w:lang w:val="es-MX"/>
        </w:rPr>
        <w:t xml:space="preserve"> cuya estructura del capital social se muestra en el siguiente cuadro</w:t>
      </w:r>
      <w:r>
        <w:rPr>
          <w:rFonts w:eastAsia="Times New Roman"/>
          <w:color w:val="000000"/>
          <w:lang w:val="es-MX"/>
        </w:rPr>
        <w:t>.</w:t>
      </w:r>
    </w:p>
    <w:p w14:paraId="51252599" w14:textId="00620FEF" w:rsidR="006018EA" w:rsidRPr="00DC599D" w:rsidRDefault="006018EA" w:rsidP="001B6F22">
      <w:pPr>
        <w:pStyle w:val="Sinespaciado"/>
        <w:keepNext/>
        <w:numPr>
          <w:ilvl w:val="0"/>
          <w:numId w:val="24"/>
        </w:numPr>
        <w:spacing w:before="120" w:after="120" w:line="276" w:lineRule="auto"/>
        <w:ind w:left="2268" w:right="48" w:hanging="1275"/>
        <w:jc w:val="both"/>
        <w:rPr>
          <w:rFonts w:ascii="ITC Avant Garde" w:hAnsi="ITC Avant Garde"/>
          <w:b/>
        </w:rPr>
      </w:pPr>
      <w:r w:rsidRPr="00DC599D">
        <w:rPr>
          <w:rFonts w:ascii="ITC Avant Garde" w:hAnsi="ITC Avant Garde"/>
          <w:b/>
        </w:rPr>
        <w:t xml:space="preserve">Accionistas de </w:t>
      </w:r>
      <w:proofErr w:type="spellStart"/>
      <w:r>
        <w:rPr>
          <w:rFonts w:ascii="ITC Avant Garde" w:hAnsi="ITC Avant Garde"/>
          <w:b/>
        </w:rPr>
        <w:t>Telco</w:t>
      </w:r>
      <w:proofErr w:type="spellEnd"/>
      <w:r w:rsidRPr="00DC599D">
        <w:rPr>
          <w:rFonts w:ascii="ITC Avant Garde" w:hAnsi="ITC Avant Garde"/>
          <w:b/>
        </w:rPr>
        <w:t xml:space="preserve"> </w:t>
      </w:r>
      <w:r w:rsidRPr="001B6F22">
        <w:rPr>
          <w:rFonts w:ascii="ITC Avant Garde" w:hAnsi="ITC Avant Garde"/>
          <w:b/>
          <w:u w:val="single"/>
        </w:rPr>
        <w:t>antes de la Operación</w:t>
      </w:r>
    </w:p>
    <w:tbl>
      <w:tblPr>
        <w:tblW w:w="7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Cuadro 14."/>
        <w:tblDescription w:val="Señala quienes son los accionistas de Telco antes de la Operación"/>
      </w:tblPr>
      <w:tblGrid>
        <w:gridCol w:w="1061"/>
        <w:gridCol w:w="1642"/>
        <w:gridCol w:w="1642"/>
        <w:gridCol w:w="1642"/>
        <w:gridCol w:w="1642"/>
      </w:tblGrid>
      <w:tr w:rsidR="0067654D" w:rsidRPr="00303D82" w14:paraId="669E9468" w14:textId="77777777" w:rsidTr="00DD187D">
        <w:trPr>
          <w:trHeight w:val="255"/>
          <w:tblHeader/>
          <w:jc w:val="center"/>
        </w:trPr>
        <w:tc>
          <w:tcPr>
            <w:tcW w:w="1061" w:type="dxa"/>
            <w:shd w:val="clear" w:color="auto" w:fill="92D050"/>
            <w:vAlign w:val="center"/>
          </w:tcPr>
          <w:p w14:paraId="20F2DA48" w14:textId="464B62D9" w:rsidR="0067654D" w:rsidRPr="00303D82" w:rsidRDefault="0067654D" w:rsidP="0067654D">
            <w:pPr>
              <w:spacing w:before="0" w:after="0"/>
              <w:jc w:val="center"/>
              <w:rPr>
                <w:rFonts w:eastAsia="Times New Roman"/>
                <w:b/>
                <w:color w:val="000000"/>
                <w:sz w:val="18"/>
                <w:szCs w:val="20"/>
              </w:rPr>
            </w:pPr>
            <w:r w:rsidRPr="00303D82">
              <w:rPr>
                <w:rFonts w:eastAsia="Times New Roman"/>
                <w:b/>
                <w:color w:val="000000"/>
                <w:sz w:val="18"/>
                <w:szCs w:val="20"/>
              </w:rPr>
              <w:t>Accionista</w:t>
            </w:r>
          </w:p>
        </w:tc>
        <w:tc>
          <w:tcPr>
            <w:tcW w:w="1642" w:type="dxa"/>
            <w:shd w:val="clear" w:color="auto" w:fill="92D050"/>
            <w:vAlign w:val="center"/>
          </w:tcPr>
          <w:p w14:paraId="1FACCF67" w14:textId="551BF7D9" w:rsidR="0067654D" w:rsidRPr="00303D82" w:rsidRDefault="0067654D" w:rsidP="0067654D">
            <w:pPr>
              <w:spacing w:before="0" w:after="0"/>
              <w:jc w:val="center"/>
              <w:rPr>
                <w:rFonts w:eastAsia="Times New Roman"/>
                <w:b/>
                <w:color w:val="000000"/>
                <w:sz w:val="18"/>
                <w:szCs w:val="20"/>
              </w:rPr>
            </w:pPr>
            <w:r w:rsidRPr="00303D82">
              <w:rPr>
                <w:rFonts w:eastAsia="Times New Roman"/>
                <w:b/>
                <w:color w:val="000000"/>
                <w:sz w:val="18"/>
                <w:szCs w:val="20"/>
              </w:rPr>
              <w:t>Acciones Capital Fijo</w:t>
            </w:r>
          </w:p>
        </w:tc>
        <w:tc>
          <w:tcPr>
            <w:tcW w:w="1642" w:type="dxa"/>
            <w:shd w:val="clear" w:color="auto" w:fill="92D050"/>
            <w:vAlign w:val="center"/>
          </w:tcPr>
          <w:p w14:paraId="439D74B0" w14:textId="2D001195" w:rsidR="0067654D" w:rsidRPr="00303D82" w:rsidRDefault="0067654D" w:rsidP="0067654D">
            <w:pPr>
              <w:spacing w:before="0" w:after="0"/>
              <w:jc w:val="center"/>
              <w:rPr>
                <w:rFonts w:eastAsia="Times New Roman"/>
                <w:b/>
                <w:color w:val="000000"/>
                <w:sz w:val="18"/>
                <w:szCs w:val="20"/>
              </w:rPr>
            </w:pPr>
            <w:r w:rsidRPr="00303D82">
              <w:rPr>
                <w:rFonts w:eastAsia="Times New Roman"/>
                <w:b/>
                <w:color w:val="000000"/>
                <w:sz w:val="18"/>
                <w:szCs w:val="20"/>
              </w:rPr>
              <w:t>Acciones Capital Variable</w:t>
            </w:r>
          </w:p>
        </w:tc>
        <w:tc>
          <w:tcPr>
            <w:tcW w:w="1642" w:type="dxa"/>
            <w:shd w:val="clear" w:color="auto" w:fill="92D050"/>
            <w:vAlign w:val="center"/>
          </w:tcPr>
          <w:p w14:paraId="0A926EB7" w14:textId="76AF3B1F" w:rsidR="0067654D" w:rsidRPr="00303D82" w:rsidRDefault="0067654D" w:rsidP="0067654D">
            <w:pPr>
              <w:spacing w:before="0" w:after="0"/>
              <w:jc w:val="center"/>
              <w:rPr>
                <w:rFonts w:eastAsia="Times New Roman"/>
                <w:b/>
                <w:color w:val="000000"/>
                <w:sz w:val="18"/>
                <w:szCs w:val="20"/>
              </w:rPr>
            </w:pPr>
            <w:r w:rsidRPr="00303D82">
              <w:rPr>
                <w:rFonts w:eastAsia="Times New Roman"/>
                <w:b/>
                <w:color w:val="000000"/>
                <w:sz w:val="18"/>
                <w:szCs w:val="20"/>
              </w:rPr>
              <w:t>Acciones Total</w:t>
            </w:r>
          </w:p>
        </w:tc>
        <w:tc>
          <w:tcPr>
            <w:tcW w:w="1642" w:type="dxa"/>
            <w:shd w:val="clear" w:color="auto" w:fill="92D050"/>
            <w:vAlign w:val="center"/>
          </w:tcPr>
          <w:p w14:paraId="2EAE0FBD" w14:textId="3B7C04BB" w:rsidR="0067654D" w:rsidRPr="00303D82" w:rsidRDefault="0067654D" w:rsidP="0067654D">
            <w:pPr>
              <w:spacing w:before="0" w:after="0"/>
              <w:jc w:val="center"/>
              <w:rPr>
                <w:rFonts w:eastAsia="Times New Roman"/>
                <w:b/>
                <w:color w:val="000000"/>
                <w:sz w:val="18"/>
                <w:szCs w:val="20"/>
              </w:rPr>
            </w:pPr>
            <w:r w:rsidRPr="00303D82">
              <w:rPr>
                <w:rFonts w:eastAsia="Times New Roman"/>
                <w:b/>
                <w:color w:val="000000"/>
                <w:sz w:val="18"/>
                <w:szCs w:val="20"/>
              </w:rPr>
              <w:t>Participación (%)</w:t>
            </w:r>
          </w:p>
        </w:tc>
      </w:tr>
      <w:tr w:rsidR="0067654D" w:rsidRPr="00303D82" w14:paraId="62940BC0" w14:textId="77777777" w:rsidTr="00DD187D">
        <w:trPr>
          <w:trHeight w:val="255"/>
          <w:jc w:val="center"/>
        </w:trPr>
        <w:tc>
          <w:tcPr>
            <w:tcW w:w="1061" w:type="dxa"/>
            <w:vAlign w:val="center"/>
          </w:tcPr>
          <w:p w14:paraId="735E3F12" w14:textId="77777777" w:rsidR="0067654D" w:rsidRPr="00303D82" w:rsidRDefault="0067654D" w:rsidP="0067654D">
            <w:pPr>
              <w:spacing w:before="0" w:after="0"/>
              <w:rPr>
                <w:rFonts w:eastAsia="Times New Roman"/>
                <w:color w:val="000000"/>
                <w:sz w:val="18"/>
                <w:szCs w:val="20"/>
              </w:rPr>
            </w:pPr>
            <w:r>
              <w:rPr>
                <w:rFonts w:eastAsia="Times New Roman"/>
                <w:color w:val="000000"/>
                <w:sz w:val="18"/>
                <w:szCs w:val="20"/>
              </w:rPr>
              <w:t>CFCA</w:t>
            </w:r>
          </w:p>
        </w:tc>
        <w:tc>
          <w:tcPr>
            <w:tcW w:w="1642" w:type="dxa"/>
            <w:shd w:val="clear" w:color="auto" w:fill="auto"/>
            <w:vAlign w:val="bottom"/>
          </w:tcPr>
          <w:p w14:paraId="01A68B7B" w14:textId="77777777" w:rsidR="0067654D" w:rsidRPr="00EB3BFE" w:rsidRDefault="0067654D" w:rsidP="0067654D">
            <w:pPr>
              <w:spacing w:before="0" w:after="0"/>
              <w:jc w:val="right"/>
              <w:rPr>
                <w:rFonts w:eastAsia="Times New Roman"/>
                <w:color w:val="000000"/>
                <w:sz w:val="18"/>
                <w:szCs w:val="20"/>
                <w:highlight w:val="cyan"/>
              </w:rPr>
            </w:pPr>
          </w:p>
        </w:tc>
        <w:tc>
          <w:tcPr>
            <w:tcW w:w="1642" w:type="dxa"/>
            <w:shd w:val="clear" w:color="auto" w:fill="auto"/>
          </w:tcPr>
          <w:p w14:paraId="6D419D8F" w14:textId="523F4B31" w:rsidR="0067654D" w:rsidRPr="00EB3BFE" w:rsidRDefault="0067654D" w:rsidP="0067654D">
            <w:pPr>
              <w:spacing w:before="0" w:after="0"/>
              <w:jc w:val="right"/>
              <w:rPr>
                <w:rFonts w:eastAsia="Times New Roman"/>
                <w:color w:val="000000"/>
                <w:sz w:val="18"/>
                <w:szCs w:val="20"/>
                <w:highlight w:val="cyan"/>
              </w:rPr>
            </w:pPr>
            <w:r w:rsidRPr="00DE080E">
              <w:rPr>
                <w:b/>
                <w:bCs/>
                <w:color w:val="0000CC"/>
                <w:sz w:val="19"/>
                <w:szCs w:val="19"/>
              </w:rPr>
              <w:t>“CONFIDENCIAL POR LEY (1</w:t>
            </w:r>
            <w:r>
              <w:rPr>
                <w:b/>
                <w:bCs/>
                <w:color w:val="0000CC"/>
                <w:sz w:val="19"/>
                <w:szCs w:val="19"/>
              </w:rPr>
              <w:t>64</w:t>
            </w:r>
            <w:r w:rsidRPr="00DE080E">
              <w:rPr>
                <w:b/>
                <w:bCs/>
                <w:color w:val="0000CC"/>
                <w:sz w:val="19"/>
                <w:szCs w:val="19"/>
              </w:rPr>
              <w:t>)”</w:t>
            </w:r>
          </w:p>
        </w:tc>
        <w:tc>
          <w:tcPr>
            <w:tcW w:w="1642" w:type="dxa"/>
          </w:tcPr>
          <w:p w14:paraId="094679C7" w14:textId="632FC8F0" w:rsidR="0067654D" w:rsidRPr="00EB3BFE" w:rsidRDefault="0067654D" w:rsidP="0067654D">
            <w:pPr>
              <w:spacing w:before="0" w:after="0"/>
              <w:jc w:val="right"/>
              <w:rPr>
                <w:rFonts w:eastAsia="Times New Roman"/>
                <w:color w:val="000000"/>
                <w:sz w:val="18"/>
                <w:szCs w:val="20"/>
                <w:highlight w:val="cyan"/>
              </w:rPr>
            </w:pPr>
            <w:r w:rsidRPr="00DE080E">
              <w:rPr>
                <w:b/>
                <w:bCs/>
                <w:color w:val="0000CC"/>
                <w:sz w:val="19"/>
                <w:szCs w:val="19"/>
              </w:rPr>
              <w:t>“CONFIDENCIAL POR LEY (1</w:t>
            </w:r>
            <w:r>
              <w:rPr>
                <w:b/>
                <w:bCs/>
                <w:color w:val="0000CC"/>
                <w:sz w:val="19"/>
                <w:szCs w:val="19"/>
              </w:rPr>
              <w:t>65</w:t>
            </w:r>
            <w:r w:rsidRPr="00DE080E">
              <w:rPr>
                <w:b/>
                <w:bCs/>
                <w:color w:val="0000CC"/>
                <w:sz w:val="19"/>
                <w:szCs w:val="19"/>
              </w:rPr>
              <w:t>)”</w:t>
            </w:r>
          </w:p>
        </w:tc>
        <w:tc>
          <w:tcPr>
            <w:tcW w:w="1642" w:type="dxa"/>
            <w:shd w:val="clear" w:color="auto" w:fill="auto"/>
          </w:tcPr>
          <w:p w14:paraId="6FBA8BDA" w14:textId="3ADA1572" w:rsidR="0067654D" w:rsidRPr="00EB3BFE" w:rsidRDefault="0067654D" w:rsidP="0067654D">
            <w:pPr>
              <w:spacing w:before="0" w:after="0"/>
              <w:jc w:val="right"/>
              <w:rPr>
                <w:rFonts w:eastAsia="Times New Roman"/>
                <w:color w:val="000000"/>
                <w:sz w:val="18"/>
                <w:szCs w:val="20"/>
                <w:highlight w:val="cyan"/>
              </w:rPr>
            </w:pPr>
            <w:r w:rsidRPr="00DE080E">
              <w:rPr>
                <w:b/>
                <w:bCs/>
                <w:color w:val="0000CC"/>
                <w:sz w:val="19"/>
                <w:szCs w:val="19"/>
              </w:rPr>
              <w:t>“CONFIDENCIAL POR LEY (1</w:t>
            </w:r>
            <w:r>
              <w:rPr>
                <w:b/>
                <w:bCs/>
                <w:color w:val="0000CC"/>
                <w:sz w:val="19"/>
                <w:szCs w:val="19"/>
              </w:rPr>
              <w:t>66</w:t>
            </w:r>
            <w:r w:rsidRPr="00DE080E">
              <w:rPr>
                <w:b/>
                <w:bCs/>
                <w:color w:val="0000CC"/>
                <w:sz w:val="19"/>
                <w:szCs w:val="19"/>
              </w:rPr>
              <w:t>)”</w:t>
            </w:r>
          </w:p>
        </w:tc>
      </w:tr>
      <w:tr w:rsidR="0067654D" w:rsidRPr="00303D82" w14:paraId="6A6192D8" w14:textId="77777777" w:rsidTr="00DD187D">
        <w:trPr>
          <w:trHeight w:val="255"/>
          <w:jc w:val="center"/>
        </w:trPr>
        <w:tc>
          <w:tcPr>
            <w:tcW w:w="1061" w:type="dxa"/>
            <w:vAlign w:val="center"/>
          </w:tcPr>
          <w:p w14:paraId="6493B1C5" w14:textId="77777777" w:rsidR="0067654D" w:rsidRPr="00303D82" w:rsidRDefault="0067654D" w:rsidP="0067654D">
            <w:pPr>
              <w:spacing w:before="0" w:after="0"/>
              <w:rPr>
                <w:rFonts w:eastAsia="Times New Roman"/>
                <w:color w:val="000000"/>
                <w:sz w:val="18"/>
                <w:szCs w:val="20"/>
              </w:rPr>
            </w:pPr>
            <w:r w:rsidRPr="00303D82">
              <w:rPr>
                <w:rFonts w:eastAsia="Times New Roman"/>
                <w:color w:val="000000"/>
                <w:sz w:val="18"/>
                <w:szCs w:val="20"/>
              </w:rPr>
              <w:t>KIO</w:t>
            </w:r>
          </w:p>
        </w:tc>
        <w:tc>
          <w:tcPr>
            <w:tcW w:w="1642" w:type="dxa"/>
            <w:shd w:val="clear" w:color="auto" w:fill="auto"/>
          </w:tcPr>
          <w:p w14:paraId="1117B76C" w14:textId="312F5B51" w:rsidR="0067654D" w:rsidRPr="00EB3BFE" w:rsidRDefault="0067654D" w:rsidP="0067654D">
            <w:pPr>
              <w:spacing w:before="0" w:after="0"/>
              <w:jc w:val="right"/>
              <w:rPr>
                <w:rFonts w:eastAsia="Times New Roman"/>
                <w:color w:val="000000"/>
                <w:sz w:val="18"/>
                <w:szCs w:val="20"/>
                <w:highlight w:val="cyan"/>
              </w:rPr>
            </w:pPr>
            <w:r w:rsidRPr="00F20476">
              <w:rPr>
                <w:b/>
                <w:bCs/>
                <w:color w:val="0000CC"/>
                <w:sz w:val="19"/>
                <w:szCs w:val="19"/>
              </w:rPr>
              <w:t>“CONFIDENCIAL POR LEY (1</w:t>
            </w:r>
            <w:r>
              <w:rPr>
                <w:b/>
                <w:bCs/>
                <w:color w:val="0000CC"/>
                <w:sz w:val="19"/>
                <w:szCs w:val="19"/>
              </w:rPr>
              <w:t>67</w:t>
            </w:r>
            <w:r w:rsidRPr="00F20476">
              <w:rPr>
                <w:b/>
                <w:bCs/>
                <w:color w:val="0000CC"/>
                <w:sz w:val="19"/>
                <w:szCs w:val="19"/>
              </w:rPr>
              <w:t>)”</w:t>
            </w:r>
          </w:p>
        </w:tc>
        <w:tc>
          <w:tcPr>
            <w:tcW w:w="1642" w:type="dxa"/>
            <w:shd w:val="clear" w:color="auto" w:fill="auto"/>
            <w:vAlign w:val="bottom"/>
          </w:tcPr>
          <w:p w14:paraId="55E47071" w14:textId="77777777" w:rsidR="0067654D" w:rsidRPr="00EB3BFE" w:rsidRDefault="0067654D" w:rsidP="0067654D">
            <w:pPr>
              <w:spacing w:before="0" w:after="0"/>
              <w:jc w:val="right"/>
              <w:rPr>
                <w:rFonts w:eastAsia="Times New Roman"/>
                <w:color w:val="000000"/>
                <w:sz w:val="18"/>
                <w:szCs w:val="20"/>
                <w:highlight w:val="cyan"/>
              </w:rPr>
            </w:pPr>
          </w:p>
        </w:tc>
        <w:tc>
          <w:tcPr>
            <w:tcW w:w="1642" w:type="dxa"/>
          </w:tcPr>
          <w:p w14:paraId="37BA8075" w14:textId="110E99F2" w:rsidR="0067654D" w:rsidRPr="00EB3BFE" w:rsidRDefault="0067654D" w:rsidP="0067654D">
            <w:pPr>
              <w:spacing w:before="0" w:after="0"/>
              <w:jc w:val="right"/>
              <w:rPr>
                <w:rFonts w:eastAsia="Times New Roman"/>
                <w:color w:val="000000"/>
                <w:sz w:val="18"/>
                <w:szCs w:val="20"/>
                <w:highlight w:val="cyan"/>
              </w:rPr>
            </w:pPr>
            <w:r w:rsidRPr="00310392">
              <w:rPr>
                <w:b/>
                <w:bCs/>
                <w:color w:val="0000CC"/>
                <w:sz w:val="19"/>
                <w:szCs w:val="19"/>
              </w:rPr>
              <w:t>“CONFIDENCIAL POR LEY (1</w:t>
            </w:r>
            <w:r>
              <w:rPr>
                <w:b/>
                <w:bCs/>
                <w:color w:val="0000CC"/>
                <w:sz w:val="19"/>
                <w:szCs w:val="19"/>
              </w:rPr>
              <w:t>68</w:t>
            </w:r>
            <w:r w:rsidRPr="00310392">
              <w:rPr>
                <w:b/>
                <w:bCs/>
                <w:color w:val="0000CC"/>
                <w:sz w:val="19"/>
                <w:szCs w:val="19"/>
              </w:rPr>
              <w:t>)”</w:t>
            </w:r>
          </w:p>
        </w:tc>
        <w:tc>
          <w:tcPr>
            <w:tcW w:w="1642" w:type="dxa"/>
            <w:shd w:val="clear" w:color="auto" w:fill="auto"/>
          </w:tcPr>
          <w:p w14:paraId="08DEE771" w14:textId="7AB22A13" w:rsidR="0067654D" w:rsidRPr="00EB3BFE" w:rsidRDefault="0067654D" w:rsidP="0067654D">
            <w:pPr>
              <w:spacing w:before="0" w:after="0"/>
              <w:jc w:val="right"/>
              <w:rPr>
                <w:rFonts w:eastAsia="Times New Roman"/>
                <w:color w:val="000000"/>
                <w:sz w:val="18"/>
                <w:szCs w:val="20"/>
                <w:highlight w:val="cyan"/>
              </w:rPr>
            </w:pPr>
            <w:r w:rsidRPr="00310392">
              <w:rPr>
                <w:b/>
                <w:bCs/>
                <w:color w:val="0000CC"/>
                <w:sz w:val="19"/>
                <w:szCs w:val="19"/>
              </w:rPr>
              <w:t>“CONFIDENCIAL POR LEY (1</w:t>
            </w:r>
            <w:r>
              <w:rPr>
                <w:b/>
                <w:bCs/>
                <w:color w:val="0000CC"/>
                <w:sz w:val="19"/>
                <w:szCs w:val="19"/>
              </w:rPr>
              <w:t>69</w:t>
            </w:r>
            <w:r w:rsidRPr="00310392">
              <w:rPr>
                <w:b/>
                <w:bCs/>
                <w:color w:val="0000CC"/>
                <w:sz w:val="19"/>
                <w:szCs w:val="19"/>
              </w:rPr>
              <w:t>)”</w:t>
            </w:r>
          </w:p>
        </w:tc>
      </w:tr>
      <w:tr w:rsidR="0067654D" w:rsidRPr="00303D82" w14:paraId="103BD566" w14:textId="77777777" w:rsidTr="00DD187D">
        <w:trPr>
          <w:trHeight w:val="255"/>
          <w:jc w:val="center"/>
        </w:trPr>
        <w:tc>
          <w:tcPr>
            <w:tcW w:w="1061" w:type="dxa"/>
            <w:vAlign w:val="center"/>
          </w:tcPr>
          <w:p w14:paraId="3C4B5C89" w14:textId="77777777" w:rsidR="0067654D" w:rsidRPr="00303D82" w:rsidRDefault="0067654D" w:rsidP="0067654D">
            <w:pPr>
              <w:spacing w:before="0" w:after="0"/>
              <w:rPr>
                <w:rFonts w:eastAsia="Times New Roman"/>
                <w:color w:val="000000"/>
                <w:sz w:val="18"/>
                <w:szCs w:val="20"/>
              </w:rPr>
            </w:pPr>
            <w:proofErr w:type="spellStart"/>
            <w:r w:rsidRPr="00303D82">
              <w:rPr>
                <w:rFonts w:eastAsia="Times New Roman"/>
                <w:color w:val="000000"/>
                <w:sz w:val="18"/>
                <w:szCs w:val="20"/>
              </w:rPr>
              <w:t>Wingu</w:t>
            </w:r>
            <w:proofErr w:type="spellEnd"/>
          </w:p>
        </w:tc>
        <w:tc>
          <w:tcPr>
            <w:tcW w:w="1642" w:type="dxa"/>
            <w:shd w:val="clear" w:color="auto" w:fill="auto"/>
          </w:tcPr>
          <w:p w14:paraId="3229B51C" w14:textId="3633FF28" w:rsidR="0067654D" w:rsidRPr="00EB3BFE" w:rsidRDefault="0067654D" w:rsidP="0067654D">
            <w:pPr>
              <w:spacing w:before="0" w:after="0"/>
              <w:jc w:val="right"/>
              <w:rPr>
                <w:rFonts w:eastAsia="Times New Roman"/>
                <w:color w:val="000000"/>
                <w:sz w:val="18"/>
                <w:szCs w:val="20"/>
                <w:highlight w:val="cyan"/>
              </w:rPr>
            </w:pPr>
            <w:r w:rsidRPr="00F20476">
              <w:rPr>
                <w:b/>
                <w:bCs/>
                <w:color w:val="0000CC"/>
                <w:sz w:val="19"/>
                <w:szCs w:val="19"/>
              </w:rPr>
              <w:t>“CONFIDENCIAL POR LEY (1</w:t>
            </w:r>
            <w:r>
              <w:rPr>
                <w:b/>
                <w:bCs/>
                <w:color w:val="0000CC"/>
                <w:sz w:val="19"/>
                <w:szCs w:val="19"/>
              </w:rPr>
              <w:t>70</w:t>
            </w:r>
            <w:r w:rsidRPr="00F20476">
              <w:rPr>
                <w:b/>
                <w:bCs/>
                <w:color w:val="0000CC"/>
                <w:sz w:val="19"/>
                <w:szCs w:val="19"/>
              </w:rPr>
              <w:t>)”</w:t>
            </w:r>
          </w:p>
        </w:tc>
        <w:tc>
          <w:tcPr>
            <w:tcW w:w="1642" w:type="dxa"/>
            <w:shd w:val="clear" w:color="auto" w:fill="auto"/>
            <w:vAlign w:val="bottom"/>
          </w:tcPr>
          <w:p w14:paraId="0515B5A3" w14:textId="77777777" w:rsidR="0067654D" w:rsidRPr="00EB3BFE" w:rsidRDefault="0067654D" w:rsidP="0067654D">
            <w:pPr>
              <w:spacing w:before="0" w:after="0"/>
              <w:jc w:val="right"/>
              <w:rPr>
                <w:rFonts w:eastAsia="Times New Roman"/>
                <w:color w:val="000000"/>
                <w:sz w:val="18"/>
                <w:szCs w:val="20"/>
                <w:highlight w:val="cyan"/>
              </w:rPr>
            </w:pPr>
          </w:p>
        </w:tc>
        <w:tc>
          <w:tcPr>
            <w:tcW w:w="1642" w:type="dxa"/>
          </w:tcPr>
          <w:p w14:paraId="2CE5E61D" w14:textId="1556B7C1" w:rsidR="0067654D" w:rsidRPr="00EB3BFE" w:rsidRDefault="0067654D" w:rsidP="0067654D">
            <w:pPr>
              <w:spacing w:before="0" w:after="0"/>
              <w:jc w:val="right"/>
              <w:rPr>
                <w:rFonts w:eastAsia="Times New Roman"/>
                <w:color w:val="000000"/>
                <w:sz w:val="18"/>
                <w:szCs w:val="20"/>
                <w:highlight w:val="cyan"/>
              </w:rPr>
            </w:pPr>
            <w:r w:rsidRPr="00310392">
              <w:rPr>
                <w:b/>
                <w:bCs/>
                <w:color w:val="0000CC"/>
                <w:sz w:val="19"/>
                <w:szCs w:val="19"/>
              </w:rPr>
              <w:t>“CONFIDENCIAL POR LEY (1</w:t>
            </w:r>
            <w:r>
              <w:rPr>
                <w:b/>
                <w:bCs/>
                <w:color w:val="0000CC"/>
                <w:sz w:val="19"/>
                <w:szCs w:val="19"/>
              </w:rPr>
              <w:t>71</w:t>
            </w:r>
            <w:r w:rsidRPr="00310392">
              <w:rPr>
                <w:b/>
                <w:bCs/>
                <w:color w:val="0000CC"/>
                <w:sz w:val="19"/>
                <w:szCs w:val="19"/>
              </w:rPr>
              <w:t>)”</w:t>
            </w:r>
          </w:p>
        </w:tc>
        <w:tc>
          <w:tcPr>
            <w:tcW w:w="1642" w:type="dxa"/>
            <w:shd w:val="clear" w:color="auto" w:fill="auto"/>
          </w:tcPr>
          <w:p w14:paraId="0AB9AD59" w14:textId="6FA728A9" w:rsidR="0067654D" w:rsidRPr="00EB3BFE" w:rsidRDefault="0067654D" w:rsidP="0067654D">
            <w:pPr>
              <w:spacing w:before="0" w:after="0"/>
              <w:jc w:val="right"/>
              <w:rPr>
                <w:rFonts w:eastAsia="Times New Roman"/>
                <w:color w:val="000000"/>
                <w:sz w:val="18"/>
                <w:szCs w:val="20"/>
                <w:highlight w:val="cyan"/>
              </w:rPr>
            </w:pPr>
            <w:r w:rsidRPr="00310392">
              <w:rPr>
                <w:b/>
                <w:bCs/>
                <w:color w:val="0000CC"/>
                <w:sz w:val="19"/>
                <w:szCs w:val="19"/>
              </w:rPr>
              <w:t>“CONFIDENCIAL POR LEY (1</w:t>
            </w:r>
            <w:r>
              <w:rPr>
                <w:b/>
                <w:bCs/>
                <w:color w:val="0000CC"/>
                <w:sz w:val="19"/>
                <w:szCs w:val="19"/>
              </w:rPr>
              <w:t>72</w:t>
            </w:r>
            <w:r w:rsidRPr="00310392">
              <w:rPr>
                <w:b/>
                <w:bCs/>
                <w:color w:val="0000CC"/>
                <w:sz w:val="19"/>
                <w:szCs w:val="19"/>
              </w:rPr>
              <w:t>)”</w:t>
            </w:r>
          </w:p>
        </w:tc>
      </w:tr>
      <w:tr w:rsidR="0067654D" w:rsidRPr="006018EA" w14:paraId="12436CB5" w14:textId="77777777" w:rsidTr="00EB4B7C">
        <w:trPr>
          <w:trHeight w:val="255"/>
          <w:jc w:val="center"/>
        </w:trPr>
        <w:tc>
          <w:tcPr>
            <w:tcW w:w="1061" w:type="dxa"/>
            <w:vAlign w:val="center"/>
          </w:tcPr>
          <w:p w14:paraId="62766805" w14:textId="77777777" w:rsidR="0067654D" w:rsidRPr="006018EA" w:rsidRDefault="0067654D" w:rsidP="0067654D">
            <w:pPr>
              <w:spacing w:before="0" w:after="0"/>
              <w:rPr>
                <w:rFonts w:eastAsia="Times New Roman"/>
                <w:b/>
                <w:color w:val="000000"/>
                <w:sz w:val="18"/>
                <w:szCs w:val="20"/>
              </w:rPr>
            </w:pPr>
            <w:r w:rsidRPr="006018EA">
              <w:rPr>
                <w:rFonts w:eastAsia="Times New Roman"/>
                <w:b/>
                <w:color w:val="000000"/>
                <w:sz w:val="18"/>
                <w:szCs w:val="20"/>
              </w:rPr>
              <w:t>TOTAL</w:t>
            </w:r>
          </w:p>
        </w:tc>
        <w:tc>
          <w:tcPr>
            <w:tcW w:w="1642" w:type="dxa"/>
            <w:shd w:val="clear" w:color="auto" w:fill="auto"/>
          </w:tcPr>
          <w:p w14:paraId="738169F8" w14:textId="02218420" w:rsidR="0067654D" w:rsidRPr="001B6F22" w:rsidRDefault="0067654D" w:rsidP="0067654D">
            <w:pPr>
              <w:spacing w:before="0" w:after="0"/>
              <w:jc w:val="right"/>
              <w:rPr>
                <w:rFonts w:eastAsia="Times New Roman"/>
                <w:b/>
                <w:color w:val="000000"/>
                <w:sz w:val="18"/>
                <w:szCs w:val="20"/>
                <w:highlight w:val="cyan"/>
              </w:rPr>
            </w:pPr>
            <w:r w:rsidRPr="00F20476">
              <w:rPr>
                <w:b/>
                <w:bCs/>
                <w:color w:val="0000CC"/>
                <w:sz w:val="19"/>
                <w:szCs w:val="19"/>
              </w:rPr>
              <w:t>“CONFIDENCIAL POR LEY (1</w:t>
            </w:r>
            <w:r>
              <w:rPr>
                <w:b/>
                <w:bCs/>
                <w:color w:val="0000CC"/>
                <w:sz w:val="19"/>
                <w:szCs w:val="19"/>
              </w:rPr>
              <w:t>73</w:t>
            </w:r>
            <w:r w:rsidRPr="00F20476">
              <w:rPr>
                <w:b/>
                <w:bCs/>
                <w:color w:val="0000CC"/>
                <w:sz w:val="19"/>
                <w:szCs w:val="19"/>
              </w:rPr>
              <w:t>)”</w:t>
            </w:r>
          </w:p>
        </w:tc>
        <w:tc>
          <w:tcPr>
            <w:tcW w:w="1642" w:type="dxa"/>
            <w:shd w:val="clear" w:color="auto" w:fill="auto"/>
          </w:tcPr>
          <w:p w14:paraId="46CB4D59" w14:textId="0EB29519" w:rsidR="0067654D" w:rsidRPr="001B6F22" w:rsidRDefault="0067654D" w:rsidP="0067654D">
            <w:pPr>
              <w:spacing w:before="0" w:after="0"/>
              <w:jc w:val="right"/>
              <w:rPr>
                <w:rFonts w:eastAsia="Times New Roman"/>
                <w:b/>
                <w:color w:val="000000"/>
                <w:sz w:val="18"/>
                <w:szCs w:val="20"/>
                <w:highlight w:val="cyan"/>
              </w:rPr>
            </w:pPr>
            <w:r w:rsidRPr="005764C7">
              <w:rPr>
                <w:b/>
                <w:bCs/>
                <w:color w:val="0000CC"/>
                <w:sz w:val="19"/>
                <w:szCs w:val="19"/>
              </w:rPr>
              <w:t>“CONFIDENCIAL POR LEY (1</w:t>
            </w:r>
            <w:r>
              <w:rPr>
                <w:b/>
                <w:bCs/>
                <w:color w:val="0000CC"/>
                <w:sz w:val="19"/>
                <w:szCs w:val="19"/>
              </w:rPr>
              <w:t>74</w:t>
            </w:r>
            <w:r w:rsidRPr="005764C7">
              <w:rPr>
                <w:b/>
                <w:bCs/>
                <w:color w:val="0000CC"/>
                <w:sz w:val="19"/>
                <w:szCs w:val="19"/>
              </w:rPr>
              <w:t>)”</w:t>
            </w:r>
          </w:p>
        </w:tc>
        <w:tc>
          <w:tcPr>
            <w:tcW w:w="1642" w:type="dxa"/>
          </w:tcPr>
          <w:p w14:paraId="00632BB9" w14:textId="5605C080" w:rsidR="0067654D" w:rsidRPr="001B6F22" w:rsidRDefault="0067654D" w:rsidP="0067654D">
            <w:pPr>
              <w:spacing w:before="0" w:after="0"/>
              <w:jc w:val="right"/>
              <w:rPr>
                <w:rFonts w:eastAsia="Times New Roman"/>
                <w:b/>
                <w:color w:val="000000"/>
                <w:sz w:val="18"/>
                <w:szCs w:val="20"/>
                <w:highlight w:val="cyan"/>
              </w:rPr>
            </w:pPr>
            <w:r w:rsidRPr="005764C7">
              <w:rPr>
                <w:b/>
                <w:bCs/>
                <w:color w:val="0000CC"/>
                <w:sz w:val="19"/>
                <w:szCs w:val="19"/>
              </w:rPr>
              <w:t>“CONFIDENCIAL POR LEY (1</w:t>
            </w:r>
            <w:r>
              <w:rPr>
                <w:b/>
                <w:bCs/>
                <w:color w:val="0000CC"/>
                <w:sz w:val="19"/>
                <w:szCs w:val="19"/>
              </w:rPr>
              <w:t>75</w:t>
            </w:r>
            <w:r w:rsidRPr="005764C7">
              <w:rPr>
                <w:b/>
                <w:bCs/>
                <w:color w:val="0000CC"/>
                <w:sz w:val="19"/>
                <w:szCs w:val="19"/>
              </w:rPr>
              <w:t>)”</w:t>
            </w:r>
          </w:p>
        </w:tc>
        <w:tc>
          <w:tcPr>
            <w:tcW w:w="1642" w:type="dxa"/>
            <w:shd w:val="clear" w:color="auto" w:fill="auto"/>
          </w:tcPr>
          <w:p w14:paraId="77910A42" w14:textId="1471C266" w:rsidR="0067654D" w:rsidRPr="001B6F22" w:rsidRDefault="0067654D" w:rsidP="0067654D">
            <w:pPr>
              <w:spacing w:before="0" w:after="0"/>
              <w:jc w:val="right"/>
              <w:rPr>
                <w:rFonts w:eastAsia="Times New Roman"/>
                <w:b/>
                <w:color w:val="000000"/>
                <w:sz w:val="18"/>
                <w:szCs w:val="20"/>
                <w:highlight w:val="cyan"/>
              </w:rPr>
            </w:pPr>
            <w:r w:rsidRPr="005764C7">
              <w:rPr>
                <w:b/>
                <w:bCs/>
                <w:color w:val="0000CC"/>
                <w:sz w:val="19"/>
                <w:szCs w:val="19"/>
              </w:rPr>
              <w:t>“CONFIDENCIAL POR LEY (1</w:t>
            </w:r>
            <w:r>
              <w:rPr>
                <w:b/>
                <w:bCs/>
                <w:color w:val="0000CC"/>
                <w:sz w:val="19"/>
                <w:szCs w:val="19"/>
              </w:rPr>
              <w:t>76</w:t>
            </w:r>
            <w:r w:rsidRPr="005764C7">
              <w:rPr>
                <w:b/>
                <w:bCs/>
                <w:color w:val="0000CC"/>
                <w:sz w:val="19"/>
                <w:szCs w:val="19"/>
              </w:rPr>
              <w:t>)”</w:t>
            </w:r>
          </w:p>
        </w:tc>
      </w:tr>
    </w:tbl>
    <w:p w14:paraId="3FAE1ED1" w14:textId="77777777" w:rsidR="006018EA" w:rsidRPr="007E0F8D" w:rsidRDefault="006018EA" w:rsidP="006018EA">
      <w:pPr>
        <w:pStyle w:val="Notaalpie"/>
        <w:ind w:left="993" w:right="708"/>
        <w:rPr>
          <w:rFonts w:eastAsia="Calibri" w:cs="Times New Roman"/>
          <w:sz w:val="16"/>
        </w:rPr>
      </w:pPr>
      <w:r w:rsidRPr="007E0F8D">
        <w:rPr>
          <w:rFonts w:eastAsia="Calibri" w:cs="Times New Roman"/>
          <w:sz w:val="16"/>
        </w:rPr>
        <w:t>Fuente: Elaboración propia con información contenida en Foja</w:t>
      </w:r>
      <w:r w:rsidR="007E0F8D" w:rsidRPr="007E0F8D">
        <w:rPr>
          <w:rFonts w:eastAsia="Calibri" w:cs="Times New Roman"/>
          <w:sz w:val="16"/>
        </w:rPr>
        <w:t xml:space="preserve"> 520</w:t>
      </w:r>
      <w:r w:rsidRPr="007E0F8D">
        <w:rPr>
          <w:rFonts w:eastAsia="Calibri" w:cs="Times New Roman"/>
          <w:sz w:val="16"/>
        </w:rPr>
        <w:t xml:space="preserve"> del Expediente.</w:t>
      </w:r>
    </w:p>
    <w:p w14:paraId="73F81A74" w14:textId="47A9C5B2" w:rsidR="006018EA" w:rsidRDefault="006018EA" w:rsidP="006018EA">
      <w:pPr>
        <w:pStyle w:val="Prrafodelista"/>
        <w:spacing w:after="120" w:line="276" w:lineRule="auto"/>
        <w:ind w:left="0"/>
        <w:contextualSpacing w:val="0"/>
        <w:rPr>
          <w:rFonts w:eastAsia="Times New Roman"/>
          <w:color w:val="000000"/>
          <w:lang w:val="es-MX"/>
        </w:rPr>
      </w:pPr>
      <w:r w:rsidRPr="005874AB">
        <w:rPr>
          <w:rFonts w:eastAsia="Times New Roman"/>
          <w:color w:val="000000"/>
          <w:lang w:val="es-MX"/>
        </w:rPr>
        <w:t xml:space="preserve">La estructura accionaria de </w:t>
      </w:r>
      <w:proofErr w:type="spellStart"/>
      <w:r>
        <w:rPr>
          <w:rFonts w:eastAsia="Times New Roman"/>
          <w:color w:val="000000"/>
          <w:lang w:val="es-MX"/>
        </w:rPr>
        <w:t>Telco</w:t>
      </w:r>
      <w:proofErr w:type="spellEnd"/>
      <w:r w:rsidRPr="005874AB">
        <w:rPr>
          <w:rFonts w:eastAsia="Times New Roman"/>
          <w:color w:val="000000"/>
          <w:lang w:val="es-MX"/>
        </w:rPr>
        <w:t xml:space="preserve"> se modificó en virtud de la Operación, pues </w:t>
      </w:r>
      <w:r w:rsidR="00DD187D" w:rsidRPr="00E63FC2">
        <w:rPr>
          <w:b/>
          <w:bCs/>
          <w:color w:val="0000CC"/>
          <w:sz w:val="19"/>
          <w:szCs w:val="19"/>
        </w:rPr>
        <w:t>“CONFIDENCIAL POR LEY (1</w:t>
      </w:r>
      <w:r w:rsidR="00996E0C">
        <w:rPr>
          <w:b/>
          <w:bCs/>
          <w:color w:val="0000CC"/>
          <w:sz w:val="19"/>
          <w:szCs w:val="19"/>
        </w:rPr>
        <w:t>77</w:t>
      </w:r>
      <w:r w:rsidR="00DD187D" w:rsidRPr="00E63FC2">
        <w:rPr>
          <w:b/>
          <w:bCs/>
          <w:color w:val="0000CC"/>
          <w:sz w:val="19"/>
          <w:szCs w:val="19"/>
        </w:rPr>
        <w:t>)”</w:t>
      </w:r>
      <w:r w:rsidR="00523B4E" w:rsidRPr="00E5316B">
        <w:t xml:space="preserve"> acciones representativas del capital social de </w:t>
      </w:r>
      <w:proofErr w:type="spellStart"/>
      <w:r w:rsidR="00523B4E" w:rsidRPr="00E5316B">
        <w:t>Telco</w:t>
      </w:r>
      <w:proofErr w:type="spellEnd"/>
      <w:r w:rsidR="00523B4E">
        <w:t xml:space="preserve">, propiedad de KIO y </w:t>
      </w:r>
      <w:proofErr w:type="spellStart"/>
      <w:r w:rsidR="00523B4E">
        <w:t>Wingu</w:t>
      </w:r>
      <w:proofErr w:type="spellEnd"/>
      <w:r w:rsidR="00523B4E">
        <w:t>, fueron adquiridas por ATC HFM,</w:t>
      </w:r>
      <w:r w:rsidRPr="005874AB">
        <w:rPr>
          <w:rFonts w:eastAsia="Times New Roman"/>
          <w:color w:val="000000"/>
          <w:lang w:val="es-MX"/>
        </w:rPr>
        <w:t xml:space="preserve"> </w:t>
      </w:r>
      <w:r w:rsidR="008205AE">
        <w:rPr>
          <w:rFonts w:eastAsia="Times New Roman"/>
          <w:color w:val="000000"/>
          <w:lang w:val="es-MX"/>
        </w:rPr>
        <w:t xml:space="preserve">y quedó </w:t>
      </w:r>
      <w:r w:rsidRPr="005874AB">
        <w:rPr>
          <w:rFonts w:eastAsia="Times New Roman"/>
          <w:color w:val="000000"/>
          <w:lang w:val="es-MX"/>
        </w:rPr>
        <w:t>como se indica en el siguiente cuadro.</w:t>
      </w:r>
    </w:p>
    <w:p w14:paraId="101BC9EE" w14:textId="20CAAEED" w:rsidR="006018EA" w:rsidRPr="00E70056" w:rsidRDefault="006018EA" w:rsidP="001B6F22">
      <w:pPr>
        <w:pStyle w:val="Sinespaciado"/>
        <w:keepNext/>
        <w:numPr>
          <w:ilvl w:val="0"/>
          <w:numId w:val="24"/>
        </w:numPr>
        <w:spacing w:before="120" w:after="120" w:line="276" w:lineRule="auto"/>
        <w:ind w:left="2268" w:right="48" w:hanging="1275"/>
        <w:jc w:val="both"/>
        <w:rPr>
          <w:rFonts w:ascii="ITC Avant Garde" w:hAnsi="ITC Avant Garde"/>
          <w:b/>
        </w:rPr>
      </w:pPr>
      <w:r w:rsidRPr="00E70056">
        <w:rPr>
          <w:rFonts w:ascii="ITC Avant Garde" w:hAnsi="ITC Avant Garde"/>
          <w:b/>
        </w:rPr>
        <w:t xml:space="preserve">Accionistas de </w:t>
      </w:r>
      <w:proofErr w:type="spellStart"/>
      <w:r w:rsidR="00EB3BFE" w:rsidRPr="00E70056">
        <w:rPr>
          <w:rFonts w:ascii="ITC Avant Garde" w:hAnsi="ITC Avant Garde"/>
          <w:b/>
        </w:rPr>
        <w:t>Telco</w:t>
      </w:r>
      <w:proofErr w:type="spellEnd"/>
      <w:r w:rsidRPr="00E70056">
        <w:rPr>
          <w:rFonts w:ascii="ITC Avant Garde" w:hAnsi="ITC Avant Garde"/>
          <w:b/>
        </w:rPr>
        <w:t xml:space="preserve"> </w:t>
      </w:r>
      <w:r w:rsidRPr="00E70056">
        <w:rPr>
          <w:rFonts w:ascii="ITC Avant Garde" w:hAnsi="ITC Avant Garde"/>
          <w:b/>
          <w:u w:val="single"/>
        </w:rPr>
        <w:t>después de la Operación</w:t>
      </w:r>
    </w:p>
    <w:tbl>
      <w:tblPr>
        <w:tblW w:w="7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Cuadro 15."/>
        <w:tblDescription w:val="Señala quienes son los accionistas de Telco después de la Operación"/>
      </w:tblPr>
      <w:tblGrid>
        <w:gridCol w:w="1061"/>
        <w:gridCol w:w="1642"/>
        <w:gridCol w:w="1642"/>
        <w:gridCol w:w="1642"/>
        <w:gridCol w:w="1642"/>
      </w:tblGrid>
      <w:tr w:rsidR="0067654D" w:rsidRPr="00303D82" w14:paraId="57546C87" w14:textId="77777777" w:rsidTr="00721CCE">
        <w:trPr>
          <w:trHeight w:val="255"/>
          <w:tblHeader/>
          <w:jc w:val="center"/>
        </w:trPr>
        <w:tc>
          <w:tcPr>
            <w:tcW w:w="1061" w:type="dxa"/>
            <w:shd w:val="clear" w:color="auto" w:fill="92D050"/>
            <w:vAlign w:val="center"/>
          </w:tcPr>
          <w:p w14:paraId="716DBA61" w14:textId="13B3F5B9" w:rsidR="0067654D" w:rsidRPr="00303D82" w:rsidRDefault="0067654D" w:rsidP="0067654D">
            <w:pPr>
              <w:spacing w:before="0" w:after="0"/>
              <w:jc w:val="center"/>
              <w:rPr>
                <w:rFonts w:eastAsia="Times New Roman"/>
                <w:b/>
                <w:color w:val="000000"/>
                <w:sz w:val="18"/>
                <w:szCs w:val="20"/>
              </w:rPr>
            </w:pPr>
            <w:r w:rsidRPr="00303D82">
              <w:rPr>
                <w:rFonts w:eastAsia="Times New Roman"/>
                <w:b/>
                <w:color w:val="000000"/>
                <w:sz w:val="18"/>
                <w:szCs w:val="20"/>
              </w:rPr>
              <w:t>Accionista</w:t>
            </w:r>
          </w:p>
        </w:tc>
        <w:tc>
          <w:tcPr>
            <w:tcW w:w="1642" w:type="dxa"/>
            <w:shd w:val="clear" w:color="auto" w:fill="92D050"/>
            <w:vAlign w:val="center"/>
          </w:tcPr>
          <w:p w14:paraId="1993FFF2" w14:textId="79E66849" w:rsidR="0067654D" w:rsidRPr="00303D82" w:rsidRDefault="0067654D" w:rsidP="0067654D">
            <w:pPr>
              <w:spacing w:before="0" w:after="0"/>
              <w:jc w:val="center"/>
              <w:rPr>
                <w:rFonts w:eastAsia="Times New Roman"/>
                <w:b/>
                <w:color w:val="000000"/>
                <w:sz w:val="18"/>
                <w:szCs w:val="20"/>
              </w:rPr>
            </w:pPr>
            <w:r w:rsidRPr="00303D82">
              <w:rPr>
                <w:rFonts w:eastAsia="Times New Roman"/>
                <w:b/>
                <w:color w:val="000000"/>
                <w:sz w:val="18"/>
                <w:szCs w:val="20"/>
              </w:rPr>
              <w:t>Acciones Capital Fijo</w:t>
            </w:r>
          </w:p>
        </w:tc>
        <w:tc>
          <w:tcPr>
            <w:tcW w:w="1642" w:type="dxa"/>
            <w:shd w:val="clear" w:color="auto" w:fill="92D050"/>
            <w:vAlign w:val="center"/>
          </w:tcPr>
          <w:p w14:paraId="5DCE9F2F" w14:textId="173BAD8F" w:rsidR="0067654D" w:rsidRPr="00303D82" w:rsidRDefault="0067654D" w:rsidP="0067654D">
            <w:pPr>
              <w:spacing w:before="0" w:after="0"/>
              <w:jc w:val="center"/>
              <w:rPr>
                <w:rFonts w:eastAsia="Times New Roman"/>
                <w:b/>
                <w:color w:val="000000"/>
                <w:sz w:val="18"/>
                <w:szCs w:val="20"/>
              </w:rPr>
            </w:pPr>
            <w:r w:rsidRPr="00303D82">
              <w:rPr>
                <w:rFonts w:eastAsia="Times New Roman"/>
                <w:b/>
                <w:color w:val="000000"/>
                <w:sz w:val="18"/>
                <w:szCs w:val="20"/>
              </w:rPr>
              <w:t>Acciones Capital Variable</w:t>
            </w:r>
          </w:p>
        </w:tc>
        <w:tc>
          <w:tcPr>
            <w:tcW w:w="1642" w:type="dxa"/>
            <w:shd w:val="clear" w:color="auto" w:fill="92D050"/>
            <w:vAlign w:val="center"/>
          </w:tcPr>
          <w:p w14:paraId="5ABDB7B9" w14:textId="677E164C" w:rsidR="0067654D" w:rsidRPr="00303D82" w:rsidRDefault="0067654D" w:rsidP="0067654D">
            <w:pPr>
              <w:spacing w:before="0" w:after="0"/>
              <w:jc w:val="center"/>
              <w:rPr>
                <w:rFonts w:eastAsia="Times New Roman"/>
                <w:b/>
                <w:color w:val="000000"/>
                <w:sz w:val="18"/>
                <w:szCs w:val="20"/>
              </w:rPr>
            </w:pPr>
            <w:r w:rsidRPr="00303D82">
              <w:rPr>
                <w:rFonts w:eastAsia="Times New Roman"/>
                <w:b/>
                <w:color w:val="000000"/>
                <w:sz w:val="18"/>
                <w:szCs w:val="20"/>
              </w:rPr>
              <w:t>Acciones Total</w:t>
            </w:r>
          </w:p>
        </w:tc>
        <w:tc>
          <w:tcPr>
            <w:tcW w:w="1642" w:type="dxa"/>
            <w:shd w:val="clear" w:color="auto" w:fill="92D050"/>
            <w:vAlign w:val="center"/>
          </w:tcPr>
          <w:p w14:paraId="3B3E1264" w14:textId="6B2A4928" w:rsidR="0067654D" w:rsidRPr="00303D82" w:rsidRDefault="0067654D" w:rsidP="0067654D">
            <w:pPr>
              <w:spacing w:before="0" w:after="0"/>
              <w:jc w:val="center"/>
              <w:rPr>
                <w:rFonts w:eastAsia="Times New Roman"/>
                <w:b/>
                <w:color w:val="000000"/>
                <w:sz w:val="18"/>
                <w:szCs w:val="20"/>
              </w:rPr>
            </w:pPr>
            <w:r w:rsidRPr="00303D82">
              <w:rPr>
                <w:rFonts w:eastAsia="Times New Roman"/>
                <w:b/>
                <w:color w:val="000000"/>
                <w:sz w:val="18"/>
                <w:szCs w:val="20"/>
              </w:rPr>
              <w:t>Participación (%)</w:t>
            </w:r>
          </w:p>
        </w:tc>
      </w:tr>
      <w:tr w:rsidR="0067654D" w:rsidRPr="00303D82" w14:paraId="66526641" w14:textId="77777777" w:rsidTr="00721CCE">
        <w:trPr>
          <w:trHeight w:val="255"/>
          <w:jc w:val="center"/>
        </w:trPr>
        <w:tc>
          <w:tcPr>
            <w:tcW w:w="1061" w:type="dxa"/>
            <w:vAlign w:val="center"/>
          </w:tcPr>
          <w:p w14:paraId="732BF52B" w14:textId="77777777" w:rsidR="0067654D" w:rsidRPr="00E70056" w:rsidRDefault="0067654D" w:rsidP="0067654D">
            <w:pPr>
              <w:spacing w:before="0" w:after="0"/>
              <w:rPr>
                <w:rFonts w:eastAsia="Times New Roman"/>
                <w:color w:val="000000"/>
                <w:sz w:val="18"/>
                <w:szCs w:val="20"/>
              </w:rPr>
            </w:pPr>
            <w:r w:rsidRPr="00E70056">
              <w:rPr>
                <w:rFonts w:eastAsia="Times New Roman"/>
                <w:color w:val="000000"/>
                <w:sz w:val="18"/>
                <w:szCs w:val="20"/>
              </w:rPr>
              <w:t>CFCA</w:t>
            </w:r>
          </w:p>
        </w:tc>
        <w:tc>
          <w:tcPr>
            <w:tcW w:w="1642" w:type="dxa"/>
            <w:shd w:val="clear" w:color="auto" w:fill="auto"/>
            <w:vAlign w:val="bottom"/>
          </w:tcPr>
          <w:p w14:paraId="786972F8" w14:textId="77777777" w:rsidR="0067654D" w:rsidRPr="00EB3BFE" w:rsidRDefault="0067654D" w:rsidP="0067654D">
            <w:pPr>
              <w:spacing w:before="0" w:after="0"/>
              <w:jc w:val="right"/>
              <w:rPr>
                <w:rFonts w:eastAsia="Times New Roman"/>
                <w:color w:val="000000"/>
                <w:sz w:val="18"/>
                <w:szCs w:val="20"/>
                <w:highlight w:val="cyan"/>
              </w:rPr>
            </w:pPr>
          </w:p>
        </w:tc>
        <w:tc>
          <w:tcPr>
            <w:tcW w:w="1642" w:type="dxa"/>
            <w:shd w:val="clear" w:color="auto" w:fill="auto"/>
          </w:tcPr>
          <w:p w14:paraId="006C9A25" w14:textId="426D1CA7" w:rsidR="0067654D" w:rsidRPr="00EB3BFE" w:rsidRDefault="0067654D" w:rsidP="0067654D">
            <w:pPr>
              <w:spacing w:before="0" w:after="0"/>
              <w:jc w:val="right"/>
              <w:rPr>
                <w:rFonts w:eastAsia="Times New Roman"/>
                <w:color w:val="000000"/>
                <w:sz w:val="18"/>
                <w:szCs w:val="20"/>
                <w:highlight w:val="cyan"/>
              </w:rPr>
            </w:pPr>
            <w:r w:rsidRPr="00073A9C">
              <w:rPr>
                <w:b/>
                <w:bCs/>
                <w:color w:val="0000CC"/>
                <w:sz w:val="19"/>
                <w:szCs w:val="19"/>
              </w:rPr>
              <w:t>“CONFIDENCIAL POR LEY (1</w:t>
            </w:r>
            <w:r>
              <w:rPr>
                <w:b/>
                <w:bCs/>
                <w:color w:val="0000CC"/>
                <w:sz w:val="19"/>
                <w:szCs w:val="19"/>
              </w:rPr>
              <w:t>78</w:t>
            </w:r>
            <w:r w:rsidRPr="00073A9C">
              <w:rPr>
                <w:b/>
                <w:bCs/>
                <w:color w:val="0000CC"/>
                <w:sz w:val="19"/>
                <w:szCs w:val="19"/>
              </w:rPr>
              <w:t>)”</w:t>
            </w:r>
          </w:p>
        </w:tc>
        <w:tc>
          <w:tcPr>
            <w:tcW w:w="1642" w:type="dxa"/>
          </w:tcPr>
          <w:p w14:paraId="61622F44" w14:textId="4301A869" w:rsidR="0067654D" w:rsidRPr="00EB3BFE" w:rsidRDefault="0067654D" w:rsidP="0067654D">
            <w:pPr>
              <w:spacing w:before="0" w:after="0"/>
              <w:jc w:val="right"/>
              <w:rPr>
                <w:rFonts w:eastAsia="Times New Roman"/>
                <w:color w:val="000000"/>
                <w:sz w:val="18"/>
                <w:szCs w:val="20"/>
                <w:highlight w:val="cyan"/>
              </w:rPr>
            </w:pPr>
            <w:r w:rsidRPr="00073A9C">
              <w:rPr>
                <w:b/>
                <w:bCs/>
                <w:color w:val="0000CC"/>
                <w:sz w:val="19"/>
                <w:szCs w:val="19"/>
              </w:rPr>
              <w:t>“CONFIDENCIAL POR LEY (1</w:t>
            </w:r>
            <w:r>
              <w:rPr>
                <w:b/>
                <w:bCs/>
                <w:color w:val="0000CC"/>
                <w:sz w:val="19"/>
                <w:szCs w:val="19"/>
              </w:rPr>
              <w:t>79</w:t>
            </w:r>
            <w:r w:rsidRPr="00073A9C">
              <w:rPr>
                <w:b/>
                <w:bCs/>
                <w:color w:val="0000CC"/>
                <w:sz w:val="19"/>
                <w:szCs w:val="19"/>
              </w:rPr>
              <w:t>)”</w:t>
            </w:r>
          </w:p>
        </w:tc>
        <w:tc>
          <w:tcPr>
            <w:tcW w:w="1642" w:type="dxa"/>
            <w:shd w:val="clear" w:color="auto" w:fill="auto"/>
          </w:tcPr>
          <w:p w14:paraId="0EBC3BE5" w14:textId="0B32F178" w:rsidR="0067654D" w:rsidRPr="00EB3BFE" w:rsidRDefault="0067654D" w:rsidP="0067654D">
            <w:pPr>
              <w:spacing w:before="0" w:after="0"/>
              <w:jc w:val="right"/>
              <w:rPr>
                <w:rFonts w:eastAsia="Times New Roman"/>
                <w:color w:val="000000"/>
                <w:sz w:val="18"/>
                <w:szCs w:val="20"/>
                <w:highlight w:val="cyan"/>
              </w:rPr>
            </w:pPr>
            <w:r w:rsidRPr="00073A9C">
              <w:rPr>
                <w:b/>
                <w:bCs/>
                <w:color w:val="0000CC"/>
                <w:sz w:val="19"/>
                <w:szCs w:val="19"/>
              </w:rPr>
              <w:t>“CONFIDENCIAL POR LEY (1</w:t>
            </w:r>
            <w:r>
              <w:rPr>
                <w:b/>
                <w:bCs/>
                <w:color w:val="0000CC"/>
                <w:sz w:val="19"/>
                <w:szCs w:val="19"/>
              </w:rPr>
              <w:t>80</w:t>
            </w:r>
            <w:r w:rsidRPr="00073A9C">
              <w:rPr>
                <w:b/>
                <w:bCs/>
                <w:color w:val="0000CC"/>
                <w:sz w:val="19"/>
                <w:szCs w:val="19"/>
              </w:rPr>
              <w:t>)”</w:t>
            </w:r>
          </w:p>
        </w:tc>
      </w:tr>
      <w:tr w:rsidR="0067654D" w:rsidRPr="00303D82" w14:paraId="32A0E4BB" w14:textId="77777777" w:rsidTr="00721CCE">
        <w:trPr>
          <w:trHeight w:val="255"/>
          <w:jc w:val="center"/>
        </w:trPr>
        <w:tc>
          <w:tcPr>
            <w:tcW w:w="1061" w:type="dxa"/>
            <w:vAlign w:val="center"/>
          </w:tcPr>
          <w:p w14:paraId="0229AFF2" w14:textId="77777777" w:rsidR="0067654D" w:rsidRPr="00E70056" w:rsidRDefault="0067654D" w:rsidP="0067654D">
            <w:pPr>
              <w:spacing w:before="0" w:after="0"/>
              <w:rPr>
                <w:rFonts w:eastAsia="Times New Roman"/>
                <w:color w:val="000000"/>
                <w:sz w:val="18"/>
                <w:szCs w:val="20"/>
              </w:rPr>
            </w:pPr>
            <w:r w:rsidRPr="00E70056">
              <w:rPr>
                <w:rFonts w:eastAsia="Times New Roman"/>
                <w:color w:val="000000"/>
                <w:sz w:val="18"/>
                <w:szCs w:val="20"/>
              </w:rPr>
              <w:t>ATC HFM</w:t>
            </w:r>
          </w:p>
        </w:tc>
        <w:tc>
          <w:tcPr>
            <w:tcW w:w="1642" w:type="dxa"/>
            <w:shd w:val="clear" w:color="auto" w:fill="auto"/>
          </w:tcPr>
          <w:p w14:paraId="144F92B6" w14:textId="58C3DC36" w:rsidR="0067654D" w:rsidRPr="00EB3BFE" w:rsidRDefault="0067654D" w:rsidP="0067654D">
            <w:pPr>
              <w:spacing w:before="0" w:after="0"/>
              <w:jc w:val="right"/>
              <w:rPr>
                <w:rFonts w:eastAsia="Times New Roman"/>
                <w:color w:val="000000"/>
                <w:sz w:val="18"/>
                <w:szCs w:val="20"/>
                <w:highlight w:val="cyan"/>
              </w:rPr>
            </w:pPr>
            <w:r w:rsidRPr="009323C5">
              <w:rPr>
                <w:b/>
                <w:bCs/>
                <w:color w:val="0000CC"/>
                <w:sz w:val="19"/>
                <w:szCs w:val="19"/>
              </w:rPr>
              <w:t>“CONFIDENCIAL POR LEY (1</w:t>
            </w:r>
            <w:r>
              <w:rPr>
                <w:b/>
                <w:bCs/>
                <w:color w:val="0000CC"/>
                <w:sz w:val="19"/>
                <w:szCs w:val="19"/>
              </w:rPr>
              <w:t>81</w:t>
            </w:r>
            <w:r w:rsidRPr="009323C5">
              <w:rPr>
                <w:b/>
                <w:bCs/>
                <w:color w:val="0000CC"/>
                <w:sz w:val="19"/>
                <w:szCs w:val="19"/>
              </w:rPr>
              <w:t>)”</w:t>
            </w:r>
          </w:p>
        </w:tc>
        <w:tc>
          <w:tcPr>
            <w:tcW w:w="1642" w:type="dxa"/>
            <w:shd w:val="clear" w:color="auto" w:fill="auto"/>
            <w:vAlign w:val="bottom"/>
          </w:tcPr>
          <w:p w14:paraId="4BBC01A6" w14:textId="77777777" w:rsidR="0067654D" w:rsidRPr="00EB3BFE" w:rsidRDefault="0067654D" w:rsidP="0067654D">
            <w:pPr>
              <w:spacing w:before="0" w:after="0"/>
              <w:jc w:val="right"/>
              <w:rPr>
                <w:rFonts w:eastAsia="Times New Roman"/>
                <w:color w:val="000000"/>
                <w:sz w:val="18"/>
                <w:szCs w:val="20"/>
                <w:highlight w:val="cyan"/>
              </w:rPr>
            </w:pPr>
          </w:p>
        </w:tc>
        <w:tc>
          <w:tcPr>
            <w:tcW w:w="1642" w:type="dxa"/>
          </w:tcPr>
          <w:p w14:paraId="06980A43" w14:textId="0659FD53" w:rsidR="0067654D" w:rsidRPr="00EB3BFE" w:rsidRDefault="0067654D" w:rsidP="0067654D">
            <w:pPr>
              <w:spacing w:before="0" w:after="0"/>
              <w:jc w:val="right"/>
              <w:rPr>
                <w:rFonts w:eastAsia="Times New Roman"/>
                <w:color w:val="000000"/>
                <w:sz w:val="18"/>
                <w:szCs w:val="20"/>
                <w:highlight w:val="cyan"/>
              </w:rPr>
            </w:pPr>
            <w:r w:rsidRPr="00A42986">
              <w:rPr>
                <w:b/>
                <w:bCs/>
                <w:color w:val="0000CC"/>
                <w:sz w:val="19"/>
                <w:szCs w:val="19"/>
              </w:rPr>
              <w:t>“CONFIDENCIAL POR LEY (1</w:t>
            </w:r>
            <w:r>
              <w:rPr>
                <w:b/>
                <w:bCs/>
                <w:color w:val="0000CC"/>
                <w:sz w:val="19"/>
                <w:szCs w:val="19"/>
              </w:rPr>
              <w:t>82</w:t>
            </w:r>
            <w:r w:rsidRPr="00A42986">
              <w:rPr>
                <w:b/>
                <w:bCs/>
                <w:color w:val="0000CC"/>
                <w:sz w:val="19"/>
                <w:szCs w:val="19"/>
              </w:rPr>
              <w:t>)”</w:t>
            </w:r>
          </w:p>
        </w:tc>
        <w:tc>
          <w:tcPr>
            <w:tcW w:w="1642" w:type="dxa"/>
            <w:shd w:val="clear" w:color="auto" w:fill="auto"/>
          </w:tcPr>
          <w:p w14:paraId="11CE4E5C" w14:textId="15C7BE45" w:rsidR="0067654D" w:rsidRPr="00EB3BFE" w:rsidRDefault="0067654D" w:rsidP="0067654D">
            <w:pPr>
              <w:spacing w:before="0" w:after="0"/>
              <w:jc w:val="right"/>
              <w:rPr>
                <w:rFonts w:eastAsia="Times New Roman"/>
                <w:color w:val="000000"/>
                <w:sz w:val="18"/>
                <w:szCs w:val="20"/>
                <w:highlight w:val="cyan"/>
              </w:rPr>
            </w:pPr>
            <w:r w:rsidRPr="00A42986">
              <w:rPr>
                <w:b/>
                <w:bCs/>
                <w:color w:val="0000CC"/>
                <w:sz w:val="19"/>
                <w:szCs w:val="19"/>
              </w:rPr>
              <w:t>“CONFIDENCIAL POR LEY (1</w:t>
            </w:r>
            <w:r>
              <w:rPr>
                <w:b/>
                <w:bCs/>
                <w:color w:val="0000CC"/>
                <w:sz w:val="19"/>
                <w:szCs w:val="19"/>
              </w:rPr>
              <w:t>83</w:t>
            </w:r>
            <w:r w:rsidRPr="00A42986">
              <w:rPr>
                <w:b/>
                <w:bCs/>
                <w:color w:val="0000CC"/>
                <w:sz w:val="19"/>
                <w:szCs w:val="19"/>
              </w:rPr>
              <w:t>)”</w:t>
            </w:r>
          </w:p>
        </w:tc>
      </w:tr>
      <w:tr w:rsidR="0067654D" w:rsidRPr="006018EA" w14:paraId="0FAB2578" w14:textId="77777777" w:rsidTr="00721CCE">
        <w:trPr>
          <w:trHeight w:val="255"/>
          <w:jc w:val="center"/>
        </w:trPr>
        <w:tc>
          <w:tcPr>
            <w:tcW w:w="1061" w:type="dxa"/>
            <w:vAlign w:val="center"/>
          </w:tcPr>
          <w:p w14:paraId="6173B472" w14:textId="77777777" w:rsidR="0067654D" w:rsidRPr="00E70056" w:rsidRDefault="0067654D" w:rsidP="0067654D">
            <w:pPr>
              <w:spacing w:before="0" w:after="0"/>
              <w:rPr>
                <w:rFonts w:eastAsia="Times New Roman"/>
                <w:b/>
                <w:color w:val="000000"/>
                <w:sz w:val="18"/>
                <w:szCs w:val="20"/>
              </w:rPr>
            </w:pPr>
            <w:r w:rsidRPr="00E70056">
              <w:rPr>
                <w:rFonts w:eastAsia="Times New Roman"/>
                <w:b/>
                <w:color w:val="000000"/>
                <w:sz w:val="18"/>
                <w:szCs w:val="20"/>
              </w:rPr>
              <w:t>TOTAL</w:t>
            </w:r>
          </w:p>
        </w:tc>
        <w:tc>
          <w:tcPr>
            <w:tcW w:w="1642" w:type="dxa"/>
            <w:shd w:val="clear" w:color="auto" w:fill="auto"/>
          </w:tcPr>
          <w:p w14:paraId="2EDE6370" w14:textId="54F004CF" w:rsidR="0067654D" w:rsidRPr="001B6F22" w:rsidRDefault="0067654D" w:rsidP="0067654D">
            <w:pPr>
              <w:spacing w:before="0" w:after="0"/>
              <w:jc w:val="right"/>
              <w:rPr>
                <w:rFonts w:eastAsia="Times New Roman"/>
                <w:b/>
                <w:color w:val="000000"/>
                <w:sz w:val="18"/>
                <w:szCs w:val="20"/>
                <w:highlight w:val="cyan"/>
              </w:rPr>
            </w:pPr>
            <w:r w:rsidRPr="009323C5">
              <w:rPr>
                <w:b/>
                <w:bCs/>
                <w:color w:val="0000CC"/>
                <w:sz w:val="19"/>
                <w:szCs w:val="19"/>
              </w:rPr>
              <w:t>“CONFIDENCIAL POR LEY (1</w:t>
            </w:r>
            <w:r>
              <w:rPr>
                <w:b/>
                <w:bCs/>
                <w:color w:val="0000CC"/>
                <w:sz w:val="19"/>
                <w:szCs w:val="19"/>
              </w:rPr>
              <w:t>84</w:t>
            </w:r>
            <w:r w:rsidRPr="009323C5">
              <w:rPr>
                <w:b/>
                <w:bCs/>
                <w:color w:val="0000CC"/>
                <w:sz w:val="19"/>
                <w:szCs w:val="19"/>
              </w:rPr>
              <w:t>)”</w:t>
            </w:r>
          </w:p>
        </w:tc>
        <w:tc>
          <w:tcPr>
            <w:tcW w:w="1642" w:type="dxa"/>
            <w:shd w:val="clear" w:color="auto" w:fill="auto"/>
            <w:vAlign w:val="bottom"/>
          </w:tcPr>
          <w:p w14:paraId="24999A5A" w14:textId="45B65B34" w:rsidR="0067654D" w:rsidRPr="001B6F22" w:rsidRDefault="0067654D" w:rsidP="0067654D">
            <w:pPr>
              <w:spacing w:before="0" w:after="0"/>
              <w:jc w:val="right"/>
              <w:rPr>
                <w:rFonts w:eastAsia="Times New Roman"/>
                <w:b/>
                <w:color w:val="000000"/>
                <w:sz w:val="18"/>
                <w:szCs w:val="20"/>
                <w:highlight w:val="cyan"/>
              </w:rPr>
            </w:pPr>
            <w:r w:rsidRPr="00E63FC2">
              <w:rPr>
                <w:b/>
                <w:bCs/>
                <w:color w:val="0000CC"/>
                <w:sz w:val="19"/>
                <w:szCs w:val="19"/>
              </w:rPr>
              <w:t>“CONFIDENCIAL POR LEY (1</w:t>
            </w:r>
            <w:r>
              <w:rPr>
                <w:b/>
                <w:bCs/>
                <w:color w:val="0000CC"/>
                <w:sz w:val="19"/>
                <w:szCs w:val="19"/>
              </w:rPr>
              <w:t>85</w:t>
            </w:r>
            <w:r w:rsidRPr="00E63FC2">
              <w:rPr>
                <w:b/>
                <w:bCs/>
                <w:color w:val="0000CC"/>
                <w:sz w:val="19"/>
                <w:szCs w:val="19"/>
              </w:rPr>
              <w:t>)”</w:t>
            </w:r>
          </w:p>
        </w:tc>
        <w:tc>
          <w:tcPr>
            <w:tcW w:w="1642" w:type="dxa"/>
          </w:tcPr>
          <w:p w14:paraId="33C3404B" w14:textId="10D181B3" w:rsidR="0067654D" w:rsidRPr="001B6F22" w:rsidRDefault="0067654D" w:rsidP="0067654D">
            <w:pPr>
              <w:spacing w:before="0" w:after="0"/>
              <w:jc w:val="right"/>
              <w:rPr>
                <w:rFonts w:eastAsia="Times New Roman"/>
                <w:b/>
                <w:color w:val="000000"/>
                <w:sz w:val="18"/>
                <w:szCs w:val="20"/>
                <w:highlight w:val="cyan"/>
              </w:rPr>
            </w:pPr>
            <w:r w:rsidRPr="00A42986">
              <w:rPr>
                <w:b/>
                <w:bCs/>
                <w:color w:val="0000CC"/>
                <w:sz w:val="19"/>
                <w:szCs w:val="19"/>
              </w:rPr>
              <w:t>“CONFIDENCIAL POR LEY (1</w:t>
            </w:r>
            <w:r>
              <w:rPr>
                <w:b/>
                <w:bCs/>
                <w:color w:val="0000CC"/>
                <w:sz w:val="19"/>
                <w:szCs w:val="19"/>
              </w:rPr>
              <w:t>86</w:t>
            </w:r>
            <w:r w:rsidRPr="00A42986">
              <w:rPr>
                <w:b/>
                <w:bCs/>
                <w:color w:val="0000CC"/>
                <w:sz w:val="19"/>
                <w:szCs w:val="19"/>
              </w:rPr>
              <w:t>)”</w:t>
            </w:r>
          </w:p>
        </w:tc>
        <w:tc>
          <w:tcPr>
            <w:tcW w:w="1642" w:type="dxa"/>
            <w:shd w:val="clear" w:color="auto" w:fill="auto"/>
          </w:tcPr>
          <w:p w14:paraId="64864FAA" w14:textId="2F722721" w:rsidR="0067654D" w:rsidRPr="001B6F22" w:rsidRDefault="0067654D" w:rsidP="0067654D">
            <w:pPr>
              <w:spacing w:before="0" w:after="0"/>
              <w:jc w:val="right"/>
              <w:rPr>
                <w:rFonts w:eastAsia="Times New Roman"/>
                <w:b/>
                <w:color w:val="000000"/>
                <w:sz w:val="18"/>
                <w:szCs w:val="20"/>
                <w:highlight w:val="cyan"/>
              </w:rPr>
            </w:pPr>
            <w:r w:rsidRPr="00A42986">
              <w:rPr>
                <w:b/>
                <w:bCs/>
                <w:color w:val="0000CC"/>
                <w:sz w:val="19"/>
                <w:szCs w:val="19"/>
              </w:rPr>
              <w:t>“CONFIDENCIAL POR LEY (1</w:t>
            </w:r>
            <w:r>
              <w:rPr>
                <w:b/>
                <w:bCs/>
                <w:color w:val="0000CC"/>
                <w:sz w:val="19"/>
                <w:szCs w:val="19"/>
              </w:rPr>
              <w:t>87</w:t>
            </w:r>
            <w:r w:rsidRPr="00A42986">
              <w:rPr>
                <w:b/>
                <w:bCs/>
                <w:color w:val="0000CC"/>
                <w:sz w:val="19"/>
                <w:szCs w:val="19"/>
              </w:rPr>
              <w:t>)”</w:t>
            </w:r>
          </w:p>
        </w:tc>
      </w:tr>
    </w:tbl>
    <w:p w14:paraId="33C937F9" w14:textId="77777777" w:rsidR="006018EA" w:rsidRPr="007E0F8D" w:rsidRDefault="006018EA" w:rsidP="006018EA">
      <w:pPr>
        <w:pStyle w:val="Notaalpie"/>
        <w:ind w:left="993" w:right="708"/>
        <w:rPr>
          <w:rFonts w:eastAsia="Calibri" w:cs="Times New Roman"/>
          <w:sz w:val="16"/>
        </w:rPr>
      </w:pPr>
      <w:r w:rsidRPr="007E0F8D">
        <w:rPr>
          <w:rFonts w:eastAsia="Calibri" w:cs="Times New Roman"/>
          <w:sz w:val="16"/>
        </w:rPr>
        <w:t>Fuente: Elaboración propia con información contenida en Foja</w:t>
      </w:r>
      <w:r w:rsidR="007E0F8D">
        <w:rPr>
          <w:rFonts w:eastAsia="Calibri" w:cs="Times New Roman"/>
          <w:sz w:val="16"/>
        </w:rPr>
        <w:t>s</w:t>
      </w:r>
      <w:r w:rsidR="007E0F8D" w:rsidRPr="007E0F8D">
        <w:rPr>
          <w:rFonts w:eastAsia="Calibri" w:cs="Times New Roman"/>
          <w:sz w:val="16"/>
        </w:rPr>
        <w:t xml:space="preserve"> 290</w:t>
      </w:r>
      <w:r w:rsidR="007E0F8D">
        <w:rPr>
          <w:rFonts w:eastAsia="Calibri" w:cs="Times New Roman"/>
          <w:sz w:val="16"/>
        </w:rPr>
        <w:t xml:space="preserve"> y 521</w:t>
      </w:r>
      <w:r w:rsidRPr="007E0F8D">
        <w:rPr>
          <w:rFonts w:eastAsia="Calibri" w:cs="Times New Roman"/>
          <w:sz w:val="16"/>
        </w:rPr>
        <w:t xml:space="preserve"> del Expediente.</w:t>
      </w:r>
    </w:p>
    <w:p w14:paraId="2C97F821" w14:textId="77777777" w:rsidR="008205AE" w:rsidRDefault="00F7403E" w:rsidP="001B6F22">
      <w:pPr>
        <w:pStyle w:val="Prrafodelista"/>
        <w:spacing w:after="120" w:line="276" w:lineRule="auto"/>
        <w:ind w:left="0"/>
        <w:contextualSpacing w:val="0"/>
        <w:rPr>
          <w:rFonts w:eastAsia="Times New Roman"/>
          <w:color w:val="000000"/>
          <w:lang w:val="es-MX"/>
        </w:rPr>
      </w:pPr>
      <w:r>
        <w:rPr>
          <w:rFonts w:eastAsia="Times New Roman"/>
          <w:color w:val="000000"/>
          <w:lang w:val="es-MX"/>
        </w:rPr>
        <w:t xml:space="preserve">Como se mencionó anteriormente, </w:t>
      </w:r>
      <w:r w:rsidR="001B6F22" w:rsidRPr="001B6F22">
        <w:rPr>
          <w:rFonts w:eastAsia="Times New Roman"/>
          <w:color w:val="000000"/>
          <w:lang w:val="es-MX"/>
        </w:rPr>
        <w:t xml:space="preserve">las Partes manifestaron que </w:t>
      </w:r>
      <w:proofErr w:type="spellStart"/>
      <w:r w:rsidR="001B6F22">
        <w:rPr>
          <w:rFonts w:eastAsia="Times New Roman"/>
          <w:color w:val="000000"/>
          <w:lang w:val="es-MX"/>
        </w:rPr>
        <w:t>Telco</w:t>
      </w:r>
      <w:proofErr w:type="spellEnd"/>
      <w:r w:rsidR="001B6F22" w:rsidRPr="001B6F22">
        <w:rPr>
          <w:rFonts w:eastAsia="Times New Roman"/>
          <w:color w:val="000000"/>
          <w:lang w:val="es-MX"/>
        </w:rPr>
        <w:t xml:space="preserve"> no cuenta con subsidiarias ni participaciones accionarias en otras sociedades</w:t>
      </w:r>
      <w:r w:rsidR="008205AE">
        <w:rPr>
          <w:rFonts w:eastAsia="Times New Roman"/>
          <w:color w:val="000000"/>
          <w:lang w:val="es-MX"/>
        </w:rPr>
        <w:t xml:space="preserve">. </w:t>
      </w:r>
    </w:p>
    <w:p w14:paraId="5D16DCA2" w14:textId="77777777" w:rsidR="00F7403E" w:rsidRPr="004B1E7C" w:rsidRDefault="008205AE" w:rsidP="004B1E7C">
      <w:pPr>
        <w:rPr>
          <w:b/>
        </w:rPr>
      </w:pPr>
      <w:bookmarkStart w:id="44" w:name="_Toc511061415"/>
      <w:r w:rsidRPr="004B1E7C">
        <w:rPr>
          <w:b/>
        </w:rPr>
        <w:t xml:space="preserve">Concesión otorgada a </w:t>
      </w:r>
      <w:proofErr w:type="spellStart"/>
      <w:r w:rsidRPr="004B1E7C">
        <w:rPr>
          <w:b/>
        </w:rPr>
        <w:t>Telco</w:t>
      </w:r>
      <w:bookmarkEnd w:id="44"/>
      <w:proofErr w:type="spellEnd"/>
    </w:p>
    <w:p w14:paraId="511B1A1A" w14:textId="77777777" w:rsidR="0010136E" w:rsidRDefault="0010136E" w:rsidP="001C6B1E">
      <w:pPr>
        <w:pStyle w:val="Prrafodelista"/>
        <w:spacing w:after="120" w:line="276" w:lineRule="auto"/>
        <w:ind w:left="0"/>
        <w:contextualSpacing w:val="0"/>
        <w:rPr>
          <w:rFonts w:eastAsia="Times New Roman"/>
          <w:color w:val="000000"/>
          <w:lang w:val="es-MX"/>
        </w:rPr>
      </w:pPr>
      <w:proofErr w:type="spellStart"/>
      <w:r>
        <w:rPr>
          <w:rFonts w:eastAsia="Times New Roman"/>
          <w:color w:val="000000"/>
          <w:lang w:val="es-MX"/>
        </w:rPr>
        <w:t>Telco</w:t>
      </w:r>
      <w:proofErr w:type="spellEnd"/>
      <w:r>
        <w:rPr>
          <w:rFonts w:eastAsia="Times New Roman"/>
          <w:color w:val="000000"/>
          <w:lang w:val="es-MX"/>
        </w:rPr>
        <w:t xml:space="preserve"> era titular de la Autorización de Comercializadora, la cual fue transferida a CFCA </w:t>
      </w:r>
      <w:r w:rsidRPr="001C6B1E">
        <w:rPr>
          <w:rFonts w:eastAsia="Times New Roman"/>
          <w:color w:val="000000"/>
          <w:lang w:val="es-MX"/>
        </w:rPr>
        <w:t xml:space="preserve">el </w:t>
      </w:r>
      <w:r>
        <w:rPr>
          <w:rFonts w:eastAsia="Times New Roman"/>
          <w:color w:val="000000"/>
          <w:lang w:val="es-MX"/>
        </w:rPr>
        <w:t>veinticinco</w:t>
      </w:r>
      <w:r w:rsidRPr="001C6B1E">
        <w:rPr>
          <w:rFonts w:eastAsia="Times New Roman"/>
          <w:color w:val="000000"/>
          <w:lang w:val="es-MX"/>
        </w:rPr>
        <w:t xml:space="preserve"> de octubre de </w:t>
      </w:r>
      <w:r>
        <w:rPr>
          <w:rFonts w:eastAsia="Times New Roman"/>
          <w:color w:val="000000"/>
          <w:lang w:val="es-MX"/>
        </w:rPr>
        <w:t>dos mil diecisiete.</w:t>
      </w:r>
    </w:p>
    <w:p w14:paraId="17C53CD3" w14:textId="77777777" w:rsidR="00607297" w:rsidRDefault="00EB3BFE" w:rsidP="001C6B1E">
      <w:pPr>
        <w:pStyle w:val="Prrafodelista"/>
        <w:spacing w:after="120" w:line="276" w:lineRule="auto"/>
        <w:ind w:left="0"/>
        <w:contextualSpacing w:val="0"/>
        <w:rPr>
          <w:rFonts w:eastAsia="Times New Roman"/>
          <w:color w:val="000000"/>
          <w:lang w:val="es-MX"/>
        </w:rPr>
      </w:pPr>
      <w:proofErr w:type="spellStart"/>
      <w:r>
        <w:rPr>
          <w:rFonts w:eastAsia="Times New Roman"/>
          <w:color w:val="000000"/>
          <w:lang w:val="es-MX"/>
        </w:rPr>
        <w:t>Telco</w:t>
      </w:r>
      <w:proofErr w:type="spellEnd"/>
      <w:r>
        <w:rPr>
          <w:rFonts w:eastAsia="Times New Roman"/>
          <w:color w:val="000000"/>
          <w:lang w:val="es-MX"/>
        </w:rPr>
        <w:t xml:space="preserve"> solicitó </w:t>
      </w:r>
      <w:r w:rsidR="00706EEB">
        <w:rPr>
          <w:rFonts w:eastAsia="Times New Roman"/>
          <w:color w:val="000000"/>
          <w:lang w:val="es-MX"/>
        </w:rPr>
        <w:t xml:space="preserve">al Instituto </w:t>
      </w:r>
      <w:r>
        <w:rPr>
          <w:rFonts w:eastAsia="Times New Roman"/>
          <w:color w:val="000000"/>
          <w:lang w:val="es-MX"/>
        </w:rPr>
        <w:t xml:space="preserve">una concesión única para </w:t>
      </w:r>
      <w:r w:rsidRPr="00EB3BFE">
        <w:rPr>
          <w:rFonts w:eastAsia="Times New Roman"/>
          <w:color w:val="000000"/>
          <w:lang w:val="es-MX"/>
        </w:rPr>
        <w:t xml:space="preserve">prestar el servicio de comercialización de capacidad de red </w:t>
      </w:r>
      <w:r>
        <w:rPr>
          <w:rFonts w:eastAsia="Times New Roman"/>
          <w:color w:val="000000"/>
          <w:lang w:val="es-MX"/>
        </w:rPr>
        <w:t xml:space="preserve">de telecomunicaciones </w:t>
      </w:r>
      <w:r w:rsidRPr="00EB3BFE">
        <w:rPr>
          <w:rFonts w:eastAsia="Times New Roman"/>
          <w:color w:val="000000"/>
          <w:lang w:val="es-MX"/>
        </w:rPr>
        <w:t>y transmisión bidireccional de datos, con cobertura en la Ciudad de México y diversos municipios de los Estados de México, Jalisco, Nuevo León, Querétaro, Guanajuato, Baja California, Aguascalientes, Morelos, Puebla, San Luis Potosí, Veracruz, Tabasco, Yucatán y Chiapas</w:t>
      </w:r>
      <w:r>
        <w:rPr>
          <w:rFonts w:eastAsia="Times New Roman"/>
          <w:color w:val="000000"/>
          <w:lang w:val="es-MX"/>
        </w:rPr>
        <w:t xml:space="preserve">. </w:t>
      </w:r>
    </w:p>
    <w:p w14:paraId="04BB3B47" w14:textId="77777777" w:rsidR="00EB3BFE" w:rsidRDefault="00607297" w:rsidP="001C6B1E">
      <w:pPr>
        <w:pStyle w:val="Prrafodelista"/>
        <w:spacing w:after="120" w:line="276" w:lineRule="auto"/>
        <w:ind w:left="0"/>
        <w:contextualSpacing w:val="0"/>
        <w:rPr>
          <w:rFonts w:eastAsia="Times New Roman"/>
          <w:color w:val="000000"/>
          <w:lang w:val="es-MX"/>
        </w:rPr>
      </w:pPr>
      <w:r>
        <w:rPr>
          <w:rFonts w:eastAsia="Times New Roman"/>
          <w:color w:val="000000"/>
          <w:lang w:val="es-MX"/>
        </w:rPr>
        <w:lastRenderedPageBreak/>
        <w:t>E</w:t>
      </w:r>
      <w:r w:rsidR="00EB3BFE">
        <w:rPr>
          <w:rFonts w:eastAsia="Times New Roman"/>
          <w:color w:val="000000"/>
          <w:lang w:val="es-MX"/>
        </w:rPr>
        <w:t xml:space="preserve">l </w:t>
      </w:r>
      <w:r>
        <w:rPr>
          <w:rFonts w:eastAsia="Times New Roman"/>
          <w:color w:val="000000"/>
          <w:lang w:val="es-MX"/>
        </w:rPr>
        <w:t>treinta y uno</w:t>
      </w:r>
      <w:r w:rsidR="00EB3BFE">
        <w:rPr>
          <w:rFonts w:eastAsia="Times New Roman"/>
          <w:color w:val="000000"/>
          <w:lang w:val="es-MX"/>
        </w:rPr>
        <w:t xml:space="preserve"> de enero de </w:t>
      </w:r>
      <w:r>
        <w:rPr>
          <w:rFonts w:eastAsia="Times New Roman"/>
          <w:color w:val="000000"/>
          <w:lang w:val="es-MX"/>
        </w:rPr>
        <w:t>dos mil dieciocho</w:t>
      </w:r>
      <w:r w:rsidR="00EB3BFE">
        <w:rPr>
          <w:rFonts w:eastAsia="Times New Roman"/>
          <w:color w:val="000000"/>
          <w:lang w:val="es-MX"/>
        </w:rPr>
        <w:t xml:space="preserve">, </w:t>
      </w:r>
      <w:r w:rsidR="001B6F22">
        <w:rPr>
          <w:rFonts w:eastAsia="Times New Roman"/>
          <w:color w:val="000000"/>
          <w:lang w:val="es-MX"/>
        </w:rPr>
        <w:t>e</w:t>
      </w:r>
      <w:r>
        <w:rPr>
          <w:rFonts w:eastAsia="Times New Roman"/>
          <w:color w:val="000000"/>
          <w:lang w:val="es-MX"/>
        </w:rPr>
        <w:t xml:space="preserve">n fecha </w:t>
      </w:r>
      <w:r w:rsidR="001B6F22">
        <w:rPr>
          <w:rFonts w:eastAsia="Times New Roman"/>
          <w:color w:val="000000"/>
          <w:lang w:val="es-MX"/>
        </w:rPr>
        <w:t xml:space="preserve">posterior al cierre de la Operación, </w:t>
      </w:r>
      <w:r w:rsidR="00EB3BFE">
        <w:rPr>
          <w:rFonts w:eastAsia="Times New Roman"/>
          <w:color w:val="000000"/>
          <w:lang w:val="es-MX"/>
        </w:rPr>
        <w:t>mediante acuerdo P/IFT/310118/44, el Pleno del Instituto emitió la “</w:t>
      </w:r>
      <w:r w:rsidR="00EB3BFE" w:rsidRPr="00EB3BFE">
        <w:rPr>
          <w:rFonts w:eastAsia="Times New Roman"/>
          <w:i/>
          <w:color w:val="000000"/>
          <w:lang w:val="es-MX"/>
        </w:rPr>
        <w:t>Resolución mediante la cual el Pleno del Instituto Federal de Telecomunicaciones otorga a Tecnologías Especializadas en Líneas de Conexión Óptica, S.A.P.I. de C.V., un título de concesión única para uso comercial.</w:t>
      </w:r>
      <w:r w:rsidR="00EB3BFE">
        <w:rPr>
          <w:rFonts w:eastAsia="Times New Roman"/>
          <w:color w:val="000000"/>
          <w:lang w:val="es-MX"/>
        </w:rPr>
        <w:t>”</w:t>
      </w:r>
      <w:r w:rsidR="00EB3BFE">
        <w:rPr>
          <w:rStyle w:val="Refdenotaalpie"/>
          <w:rFonts w:eastAsia="Times New Roman"/>
          <w:color w:val="000000"/>
          <w:lang w:val="es-MX"/>
        </w:rPr>
        <w:footnoteReference w:id="36"/>
      </w:r>
    </w:p>
    <w:p w14:paraId="1DDDD75B" w14:textId="77777777" w:rsidR="00125707" w:rsidRPr="004B1E7C" w:rsidRDefault="00607297" w:rsidP="004B1E7C">
      <w:pPr>
        <w:rPr>
          <w:b/>
        </w:rPr>
      </w:pPr>
      <w:bookmarkStart w:id="45" w:name="_Toc511061416"/>
      <w:r w:rsidRPr="004B1E7C">
        <w:rPr>
          <w:b/>
        </w:rPr>
        <w:t xml:space="preserve">4.3. </w:t>
      </w:r>
      <w:r w:rsidR="00125707" w:rsidRPr="004B1E7C">
        <w:rPr>
          <w:b/>
        </w:rPr>
        <w:t>Compradores</w:t>
      </w:r>
      <w:bookmarkEnd w:id="45"/>
    </w:p>
    <w:p w14:paraId="629B7940" w14:textId="77777777" w:rsidR="00125707" w:rsidRPr="004B1E7C" w:rsidRDefault="00607297" w:rsidP="004B1E7C">
      <w:pPr>
        <w:rPr>
          <w:b/>
        </w:rPr>
      </w:pPr>
      <w:bookmarkStart w:id="46" w:name="_Toc511061417"/>
      <w:r w:rsidRPr="004B1E7C">
        <w:rPr>
          <w:b/>
        </w:rPr>
        <w:t xml:space="preserve">4.3.1. </w:t>
      </w:r>
      <w:r w:rsidR="00125707" w:rsidRPr="004B1E7C">
        <w:rPr>
          <w:b/>
        </w:rPr>
        <w:t>A</w:t>
      </w:r>
      <w:r w:rsidR="000B32AA" w:rsidRPr="004B1E7C">
        <w:rPr>
          <w:b/>
        </w:rPr>
        <w:t>T</w:t>
      </w:r>
      <w:r w:rsidR="00125707" w:rsidRPr="004B1E7C">
        <w:rPr>
          <w:b/>
        </w:rPr>
        <w:t xml:space="preserve">C </w:t>
      </w:r>
      <w:proofErr w:type="spellStart"/>
      <w:r w:rsidR="00125707" w:rsidRPr="004B1E7C">
        <w:rPr>
          <w:b/>
        </w:rPr>
        <w:t>MexHold</w:t>
      </w:r>
      <w:bookmarkEnd w:id="46"/>
      <w:proofErr w:type="spellEnd"/>
    </w:p>
    <w:p w14:paraId="01877920" w14:textId="5FD81B88" w:rsidR="00327869" w:rsidRPr="001C6B1E" w:rsidRDefault="004A6104" w:rsidP="001C6B1E">
      <w:pPr>
        <w:pStyle w:val="Prrafodelista"/>
        <w:spacing w:after="120" w:line="276" w:lineRule="auto"/>
        <w:ind w:left="0"/>
        <w:contextualSpacing w:val="0"/>
        <w:rPr>
          <w:rFonts w:eastAsia="Times New Roman"/>
          <w:color w:val="000000"/>
          <w:highlight w:val="yellow"/>
          <w:lang w:val="es-MX"/>
        </w:rPr>
      </w:pPr>
      <w:r w:rsidRPr="004A6104">
        <w:rPr>
          <w:rFonts w:eastAsia="Times New Roman"/>
          <w:color w:val="000000"/>
          <w:lang w:val="es-MX"/>
        </w:rPr>
        <w:t xml:space="preserve">ATC </w:t>
      </w:r>
      <w:proofErr w:type="spellStart"/>
      <w:r w:rsidRPr="004A6104">
        <w:rPr>
          <w:rFonts w:eastAsia="Times New Roman"/>
          <w:color w:val="000000"/>
          <w:lang w:val="es-MX"/>
        </w:rPr>
        <w:t>MexHold</w:t>
      </w:r>
      <w:proofErr w:type="spellEnd"/>
      <w:r w:rsidR="00327869" w:rsidRPr="004A6104">
        <w:rPr>
          <w:rFonts w:eastAsia="Times New Roman"/>
          <w:color w:val="000000"/>
          <w:lang w:val="es-MX"/>
        </w:rPr>
        <w:t xml:space="preserve"> es una sociedad </w:t>
      </w:r>
      <w:r w:rsidR="00721CCE" w:rsidRPr="00E63FC2">
        <w:rPr>
          <w:b/>
          <w:bCs/>
          <w:color w:val="0000CC"/>
          <w:sz w:val="19"/>
          <w:szCs w:val="19"/>
        </w:rPr>
        <w:t>“CONFIDENCIAL POR LEY (1</w:t>
      </w:r>
      <w:r w:rsidR="00996E0C">
        <w:rPr>
          <w:b/>
          <w:bCs/>
          <w:color w:val="0000CC"/>
          <w:sz w:val="19"/>
          <w:szCs w:val="19"/>
        </w:rPr>
        <w:t>88</w:t>
      </w:r>
      <w:r w:rsidR="00721CCE" w:rsidRPr="00E63FC2">
        <w:rPr>
          <w:b/>
          <w:bCs/>
          <w:color w:val="0000CC"/>
          <w:sz w:val="19"/>
          <w:szCs w:val="19"/>
        </w:rPr>
        <w:t>)”</w:t>
      </w:r>
      <w:r w:rsidR="00721CCE">
        <w:rPr>
          <w:b/>
          <w:bCs/>
          <w:color w:val="0000CC"/>
          <w:sz w:val="19"/>
          <w:szCs w:val="19"/>
        </w:rPr>
        <w:t xml:space="preserve"> </w:t>
      </w:r>
      <w:r w:rsidR="00327869" w:rsidRPr="004A6104">
        <w:rPr>
          <w:rFonts w:eastAsia="Times New Roman"/>
          <w:color w:val="000000"/>
          <w:lang w:val="es-MX"/>
        </w:rPr>
        <w:t>constituida c</w:t>
      </w:r>
      <w:r w:rsidR="00327869" w:rsidRPr="00F713FF">
        <w:rPr>
          <w:rFonts w:eastAsia="Times New Roman"/>
          <w:color w:val="000000"/>
          <w:lang w:val="es-MX"/>
        </w:rPr>
        <w:t xml:space="preserve">onforme a las leyes </w:t>
      </w:r>
      <w:r w:rsidRPr="00F713FF">
        <w:rPr>
          <w:rFonts w:eastAsia="Times New Roman"/>
          <w:color w:val="000000"/>
          <w:lang w:val="es-MX"/>
        </w:rPr>
        <w:t>de Delaware, Estados Unidos de América</w:t>
      </w:r>
      <w:r w:rsidR="00721CCE">
        <w:rPr>
          <w:rFonts w:eastAsia="Times New Roman"/>
          <w:color w:val="000000"/>
          <w:lang w:val="es-MX"/>
        </w:rPr>
        <w:t xml:space="preserve"> </w:t>
      </w:r>
      <w:r w:rsidR="00721CCE" w:rsidRPr="00E63FC2">
        <w:rPr>
          <w:b/>
          <w:bCs/>
          <w:color w:val="0000CC"/>
          <w:sz w:val="19"/>
          <w:szCs w:val="19"/>
        </w:rPr>
        <w:t>“CONFIDENCIAL POR LEY (1</w:t>
      </w:r>
      <w:r w:rsidR="00996E0C">
        <w:rPr>
          <w:b/>
          <w:bCs/>
          <w:color w:val="0000CC"/>
          <w:sz w:val="19"/>
          <w:szCs w:val="19"/>
        </w:rPr>
        <w:t>89</w:t>
      </w:r>
      <w:r w:rsidR="00721CCE" w:rsidRPr="00E63FC2">
        <w:rPr>
          <w:b/>
          <w:bCs/>
          <w:color w:val="0000CC"/>
          <w:sz w:val="19"/>
          <w:szCs w:val="19"/>
        </w:rPr>
        <w:t>)”</w:t>
      </w:r>
      <w:r w:rsidR="00F713FF" w:rsidRPr="00F713FF">
        <w:rPr>
          <w:rFonts w:eastAsia="Times New Roman"/>
          <w:color w:val="000000"/>
          <w:lang w:val="es-MX"/>
        </w:rPr>
        <w:t>.</w:t>
      </w:r>
      <w:r w:rsidR="00327869" w:rsidRPr="00F713FF">
        <w:rPr>
          <w:rFonts w:eastAsia="Times New Roman"/>
          <w:color w:val="000000"/>
          <w:vertAlign w:val="superscript"/>
          <w:lang w:val="es-MX"/>
        </w:rPr>
        <w:footnoteReference w:id="37"/>
      </w:r>
      <w:r w:rsidR="00D5283B" w:rsidRPr="00F713FF">
        <w:rPr>
          <w:rFonts w:eastAsia="Times New Roman"/>
          <w:color w:val="000000"/>
          <w:lang w:val="es-MX"/>
        </w:rPr>
        <w:t xml:space="preserve"> </w:t>
      </w:r>
    </w:p>
    <w:p w14:paraId="453E712E" w14:textId="43766071" w:rsidR="00327869" w:rsidRPr="002A046D" w:rsidRDefault="000B32AA" w:rsidP="001C6B1E">
      <w:pPr>
        <w:pStyle w:val="Prrafodelista"/>
        <w:spacing w:after="120" w:line="276" w:lineRule="auto"/>
        <w:ind w:left="0"/>
        <w:contextualSpacing w:val="0"/>
        <w:rPr>
          <w:rFonts w:eastAsia="Times New Roman"/>
          <w:color w:val="000000"/>
          <w:lang w:val="es-MX"/>
        </w:rPr>
      </w:pPr>
      <w:r w:rsidRPr="002A046D">
        <w:rPr>
          <w:rFonts w:eastAsia="Times New Roman"/>
          <w:color w:val="000000"/>
          <w:lang w:val="es-MX"/>
        </w:rPr>
        <w:t xml:space="preserve">ATC </w:t>
      </w:r>
      <w:proofErr w:type="spellStart"/>
      <w:r w:rsidRPr="002A046D">
        <w:rPr>
          <w:rFonts w:eastAsia="Times New Roman"/>
          <w:color w:val="000000"/>
          <w:lang w:val="es-MX"/>
        </w:rPr>
        <w:t>Mexhold</w:t>
      </w:r>
      <w:proofErr w:type="spellEnd"/>
      <w:r w:rsidRPr="002A046D">
        <w:rPr>
          <w:rFonts w:eastAsia="Times New Roman"/>
          <w:color w:val="000000"/>
          <w:lang w:val="es-MX"/>
        </w:rPr>
        <w:t xml:space="preserve"> es una subsidiaria </w:t>
      </w:r>
      <w:r w:rsidR="001B6F22">
        <w:rPr>
          <w:rFonts w:eastAsia="Times New Roman"/>
          <w:color w:val="000000"/>
          <w:lang w:val="es-MX"/>
        </w:rPr>
        <w:t xml:space="preserve">en última instancia de American Tower </w:t>
      </w:r>
      <w:proofErr w:type="spellStart"/>
      <w:r w:rsidR="001B6F22">
        <w:rPr>
          <w:rFonts w:eastAsia="Times New Roman"/>
          <w:color w:val="000000"/>
          <w:lang w:val="es-MX"/>
        </w:rPr>
        <w:t>Corporation</w:t>
      </w:r>
      <w:proofErr w:type="spellEnd"/>
      <w:r w:rsidR="001B6F22">
        <w:rPr>
          <w:rFonts w:eastAsia="Times New Roman"/>
          <w:color w:val="000000"/>
          <w:lang w:val="es-MX"/>
        </w:rPr>
        <w:t xml:space="preserve"> (ATC) </w:t>
      </w:r>
      <w:r w:rsidRPr="002A046D">
        <w:rPr>
          <w:rFonts w:eastAsia="Times New Roman"/>
          <w:color w:val="000000"/>
          <w:lang w:val="es-MX"/>
        </w:rPr>
        <w:t>cuya estructura accionaria</w:t>
      </w:r>
      <w:r w:rsidR="00327869" w:rsidRPr="002A046D">
        <w:rPr>
          <w:rFonts w:eastAsia="Times New Roman"/>
          <w:color w:val="000000"/>
          <w:lang w:val="es-MX"/>
        </w:rPr>
        <w:t xml:space="preserve"> se muestra en el siguiente cuadro</w:t>
      </w:r>
      <w:r w:rsidRPr="002A046D">
        <w:rPr>
          <w:rFonts w:eastAsia="Times New Roman"/>
          <w:color w:val="000000"/>
          <w:lang w:val="es-MX"/>
        </w:rPr>
        <w:t xml:space="preserve">, misma que </w:t>
      </w:r>
      <w:r w:rsidR="00327869" w:rsidRPr="002A046D">
        <w:rPr>
          <w:rFonts w:eastAsia="Times New Roman"/>
          <w:color w:val="000000"/>
          <w:lang w:val="es-MX"/>
        </w:rPr>
        <w:t>no se modific</w:t>
      </w:r>
      <w:r w:rsidRPr="002A046D">
        <w:rPr>
          <w:rFonts w:eastAsia="Times New Roman"/>
          <w:color w:val="000000"/>
          <w:lang w:val="es-MX"/>
        </w:rPr>
        <w:t xml:space="preserve">ó </w:t>
      </w:r>
      <w:r w:rsidR="00327869" w:rsidRPr="002A046D">
        <w:rPr>
          <w:rFonts w:eastAsia="Times New Roman"/>
          <w:color w:val="000000"/>
          <w:lang w:val="es-MX"/>
        </w:rPr>
        <w:t>en virtud de la Operación.</w:t>
      </w:r>
    </w:p>
    <w:p w14:paraId="0788C02A" w14:textId="6CCB9FEF" w:rsidR="00327869" w:rsidRPr="00383106" w:rsidRDefault="00327869" w:rsidP="001B6F22">
      <w:pPr>
        <w:pStyle w:val="Sinespaciado"/>
        <w:keepNext/>
        <w:numPr>
          <w:ilvl w:val="0"/>
          <w:numId w:val="24"/>
        </w:numPr>
        <w:spacing w:before="120" w:after="120" w:line="276" w:lineRule="auto"/>
        <w:ind w:left="2268" w:right="48" w:hanging="1275"/>
        <w:jc w:val="both"/>
        <w:rPr>
          <w:rFonts w:ascii="ITC Avant Garde" w:hAnsi="ITC Avant Garde"/>
          <w:b/>
        </w:rPr>
      </w:pPr>
      <w:r w:rsidRPr="00383106">
        <w:rPr>
          <w:rFonts w:ascii="ITC Avant Garde" w:hAnsi="ITC Avant Garde"/>
          <w:b/>
        </w:rPr>
        <w:t xml:space="preserve">Accionistas de </w:t>
      </w:r>
      <w:r w:rsidR="000B32AA" w:rsidRPr="00383106">
        <w:rPr>
          <w:rFonts w:ascii="ITC Avant Garde" w:hAnsi="ITC Avant Garde"/>
          <w:b/>
        </w:rPr>
        <w:t xml:space="preserve">ATC </w:t>
      </w:r>
      <w:proofErr w:type="spellStart"/>
      <w:r w:rsidR="000B32AA" w:rsidRPr="00383106">
        <w:rPr>
          <w:rFonts w:ascii="ITC Avant Garde" w:hAnsi="ITC Avant Garde"/>
          <w:b/>
        </w:rPr>
        <w:t>MexHold</w:t>
      </w:r>
      <w:proofErr w:type="spellEnd"/>
    </w:p>
    <w:tbl>
      <w:tblPr>
        <w:tblW w:w="7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Cuadro 16."/>
        <w:tblDescription w:val="Señala quienes son los accionistas de ATC MexHold"/>
      </w:tblPr>
      <w:tblGrid>
        <w:gridCol w:w="4588"/>
        <w:gridCol w:w="1701"/>
        <w:gridCol w:w="1701"/>
      </w:tblGrid>
      <w:tr w:rsidR="0031772C" w:rsidRPr="00303D82" w14:paraId="4A2446BF" w14:textId="77777777" w:rsidTr="00D5283B">
        <w:trPr>
          <w:trHeight w:val="256"/>
          <w:tblHeader/>
          <w:jc w:val="center"/>
        </w:trPr>
        <w:tc>
          <w:tcPr>
            <w:tcW w:w="4588" w:type="dxa"/>
            <w:vMerge w:val="restart"/>
            <w:shd w:val="clear" w:color="auto" w:fill="92D050"/>
            <w:vAlign w:val="center"/>
          </w:tcPr>
          <w:p w14:paraId="2440D105" w14:textId="403C7444" w:rsidR="0031772C" w:rsidRPr="00303D82" w:rsidRDefault="0031772C" w:rsidP="00D5283B">
            <w:pPr>
              <w:spacing w:before="0" w:after="0"/>
              <w:jc w:val="center"/>
              <w:rPr>
                <w:rFonts w:eastAsia="Times New Roman"/>
                <w:b/>
                <w:color w:val="000000"/>
                <w:sz w:val="18"/>
                <w:szCs w:val="20"/>
              </w:rPr>
            </w:pPr>
            <w:r w:rsidRPr="00303D82">
              <w:rPr>
                <w:rFonts w:eastAsia="Times New Roman"/>
                <w:b/>
                <w:color w:val="000000"/>
                <w:sz w:val="18"/>
                <w:szCs w:val="20"/>
              </w:rPr>
              <w:t>Accionista</w:t>
            </w:r>
          </w:p>
        </w:tc>
        <w:tc>
          <w:tcPr>
            <w:tcW w:w="1701" w:type="dxa"/>
            <w:vMerge w:val="restart"/>
            <w:shd w:val="clear" w:color="auto" w:fill="92D050"/>
            <w:vAlign w:val="center"/>
          </w:tcPr>
          <w:p w14:paraId="659F6469" w14:textId="77777777" w:rsidR="0031772C" w:rsidRPr="00303D82" w:rsidRDefault="0031772C" w:rsidP="00D5283B">
            <w:pPr>
              <w:spacing w:before="0" w:after="0"/>
              <w:jc w:val="center"/>
              <w:rPr>
                <w:rFonts w:eastAsia="Times New Roman"/>
                <w:b/>
                <w:color w:val="000000"/>
                <w:sz w:val="18"/>
                <w:szCs w:val="20"/>
              </w:rPr>
            </w:pPr>
            <w:r w:rsidRPr="00303D82">
              <w:rPr>
                <w:rFonts w:eastAsia="Times New Roman"/>
                <w:b/>
                <w:color w:val="000000"/>
                <w:sz w:val="18"/>
                <w:szCs w:val="20"/>
              </w:rPr>
              <w:t>Acciones</w:t>
            </w:r>
          </w:p>
        </w:tc>
        <w:tc>
          <w:tcPr>
            <w:tcW w:w="1701" w:type="dxa"/>
            <w:vMerge w:val="restart"/>
            <w:shd w:val="clear" w:color="auto" w:fill="92D050"/>
            <w:vAlign w:val="center"/>
          </w:tcPr>
          <w:p w14:paraId="2EDC07CE" w14:textId="77777777" w:rsidR="0031772C" w:rsidRPr="00303D82" w:rsidRDefault="0031772C" w:rsidP="00D5283B">
            <w:pPr>
              <w:spacing w:before="0" w:after="0"/>
              <w:jc w:val="center"/>
              <w:rPr>
                <w:rFonts w:eastAsia="Times New Roman"/>
                <w:b/>
                <w:color w:val="000000"/>
                <w:sz w:val="18"/>
                <w:szCs w:val="20"/>
              </w:rPr>
            </w:pPr>
            <w:r w:rsidRPr="00303D82">
              <w:rPr>
                <w:rFonts w:eastAsia="Times New Roman"/>
                <w:b/>
                <w:color w:val="000000"/>
                <w:sz w:val="18"/>
                <w:szCs w:val="20"/>
              </w:rPr>
              <w:t>Participación (%)</w:t>
            </w:r>
          </w:p>
        </w:tc>
      </w:tr>
      <w:tr w:rsidR="0031772C" w:rsidRPr="00303D82" w14:paraId="531267CE" w14:textId="77777777" w:rsidTr="00D5283B">
        <w:trPr>
          <w:trHeight w:val="256"/>
          <w:tblHeader/>
          <w:jc w:val="center"/>
        </w:trPr>
        <w:tc>
          <w:tcPr>
            <w:tcW w:w="4588" w:type="dxa"/>
            <w:vMerge/>
            <w:shd w:val="clear" w:color="auto" w:fill="92D050"/>
            <w:vAlign w:val="center"/>
          </w:tcPr>
          <w:p w14:paraId="6CBAF037" w14:textId="77777777" w:rsidR="0031772C" w:rsidRPr="00303D82" w:rsidRDefault="0031772C" w:rsidP="00D5283B">
            <w:pPr>
              <w:spacing w:before="0" w:after="0"/>
              <w:jc w:val="center"/>
              <w:rPr>
                <w:rFonts w:eastAsia="Times New Roman"/>
                <w:b/>
                <w:color w:val="000000"/>
                <w:sz w:val="18"/>
                <w:szCs w:val="20"/>
              </w:rPr>
            </w:pPr>
          </w:p>
        </w:tc>
        <w:tc>
          <w:tcPr>
            <w:tcW w:w="1701" w:type="dxa"/>
            <w:vMerge/>
            <w:shd w:val="clear" w:color="auto" w:fill="92D050"/>
          </w:tcPr>
          <w:p w14:paraId="5A9E5E39" w14:textId="77777777" w:rsidR="0031772C" w:rsidRPr="00303D82" w:rsidRDefault="0031772C" w:rsidP="00D5283B">
            <w:pPr>
              <w:spacing w:before="0" w:after="0"/>
              <w:jc w:val="center"/>
              <w:rPr>
                <w:rFonts w:eastAsia="Times New Roman"/>
                <w:b/>
                <w:color w:val="000000"/>
                <w:sz w:val="18"/>
                <w:szCs w:val="20"/>
              </w:rPr>
            </w:pPr>
          </w:p>
        </w:tc>
        <w:tc>
          <w:tcPr>
            <w:tcW w:w="1701" w:type="dxa"/>
            <w:vMerge/>
            <w:shd w:val="clear" w:color="auto" w:fill="92D050"/>
            <w:vAlign w:val="center"/>
          </w:tcPr>
          <w:p w14:paraId="08918E72" w14:textId="77777777" w:rsidR="0031772C" w:rsidRPr="00303D82" w:rsidRDefault="0031772C" w:rsidP="00D5283B">
            <w:pPr>
              <w:spacing w:before="0" w:after="0"/>
              <w:jc w:val="center"/>
              <w:rPr>
                <w:rFonts w:eastAsia="Times New Roman"/>
                <w:b/>
                <w:color w:val="000000"/>
                <w:sz w:val="18"/>
                <w:szCs w:val="20"/>
              </w:rPr>
            </w:pPr>
          </w:p>
        </w:tc>
      </w:tr>
      <w:tr w:rsidR="00721CCE" w:rsidRPr="00303D82" w14:paraId="19C59FC0" w14:textId="77777777" w:rsidTr="00EB4B7C">
        <w:trPr>
          <w:trHeight w:val="20"/>
          <w:tblHeader/>
          <w:jc w:val="center"/>
        </w:trPr>
        <w:tc>
          <w:tcPr>
            <w:tcW w:w="4588" w:type="dxa"/>
            <w:vAlign w:val="center"/>
          </w:tcPr>
          <w:p w14:paraId="0425331D" w14:textId="0D8E7D37" w:rsidR="00721CCE" w:rsidRPr="00E70056" w:rsidRDefault="00721CCE" w:rsidP="00721CCE">
            <w:pPr>
              <w:spacing w:before="0" w:after="0"/>
              <w:rPr>
                <w:rFonts w:eastAsia="Times New Roman"/>
                <w:color w:val="000000"/>
                <w:sz w:val="18"/>
                <w:szCs w:val="20"/>
              </w:rPr>
            </w:pPr>
            <w:r w:rsidRPr="00E70056">
              <w:rPr>
                <w:rFonts w:eastAsia="Times New Roman"/>
                <w:color w:val="000000"/>
                <w:sz w:val="18"/>
                <w:szCs w:val="20"/>
              </w:rPr>
              <w:t xml:space="preserve">ATC </w:t>
            </w:r>
            <w:proofErr w:type="spellStart"/>
            <w:r w:rsidRPr="00E70056">
              <w:rPr>
                <w:rFonts w:eastAsia="Times New Roman"/>
                <w:color w:val="000000"/>
                <w:sz w:val="18"/>
                <w:szCs w:val="20"/>
              </w:rPr>
              <w:t>Mexico</w:t>
            </w:r>
            <w:proofErr w:type="spellEnd"/>
            <w:r w:rsidRPr="00E70056">
              <w:rPr>
                <w:rFonts w:eastAsia="Times New Roman"/>
                <w:color w:val="000000"/>
                <w:sz w:val="18"/>
                <w:szCs w:val="20"/>
              </w:rPr>
              <w:t xml:space="preserve"> Holding, LLC (ATC </w:t>
            </w:r>
            <w:proofErr w:type="spellStart"/>
            <w:r w:rsidRPr="00E70056">
              <w:rPr>
                <w:rFonts w:eastAsia="Times New Roman"/>
                <w:color w:val="000000"/>
                <w:sz w:val="18"/>
                <w:szCs w:val="20"/>
              </w:rPr>
              <w:t>Mexico</w:t>
            </w:r>
            <w:proofErr w:type="spellEnd"/>
            <w:r w:rsidRPr="00E70056">
              <w:rPr>
                <w:rFonts w:eastAsia="Times New Roman"/>
                <w:color w:val="000000"/>
                <w:sz w:val="18"/>
                <w:szCs w:val="20"/>
              </w:rPr>
              <w:t xml:space="preserve"> Holding)</w:t>
            </w:r>
          </w:p>
        </w:tc>
        <w:tc>
          <w:tcPr>
            <w:tcW w:w="1701" w:type="dxa"/>
          </w:tcPr>
          <w:p w14:paraId="22269AE1" w14:textId="721A84C1" w:rsidR="00721CCE" w:rsidRPr="00140276" w:rsidRDefault="00721CCE" w:rsidP="00721CCE">
            <w:pPr>
              <w:spacing w:before="0" w:after="0"/>
              <w:jc w:val="right"/>
              <w:rPr>
                <w:rFonts w:eastAsia="Times New Roman"/>
                <w:color w:val="000000"/>
                <w:sz w:val="18"/>
                <w:szCs w:val="20"/>
                <w:highlight w:val="cyan"/>
              </w:rPr>
            </w:pPr>
            <w:r w:rsidRPr="001735C6">
              <w:rPr>
                <w:b/>
                <w:bCs/>
                <w:color w:val="0000CC"/>
                <w:sz w:val="19"/>
                <w:szCs w:val="19"/>
              </w:rPr>
              <w:t>“CONFIDENCIAL POR LEY (1</w:t>
            </w:r>
            <w:r w:rsidR="00996E0C">
              <w:rPr>
                <w:b/>
                <w:bCs/>
                <w:color w:val="0000CC"/>
                <w:sz w:val="19"/>
                <w:szCs w:val="19"/>
              </w:rPr>
              <w:t>90</w:t>
            </w:r>
            <w:r w:rsidRPr="001735C6">
              <w:rPr>
                <w:b/>
                <w:bCs/>
                <w:color w:val="0000CC"/>
                <w:sz w:val="19"/>
                <w:szCs w:val="19"/>
              </w:rPr>
              <w:t>)”</w:t>
            </w:r>
          </w:p>
        </w:tc>
        <w:tc>
          <w:tcPr>
            <w:tcW w:w="1701" w:type="dxa"/>
            <w:shd w:val="clear" w:color="auto" w:fill="auto"/>
          </w:tcPr>
          <w:p w14:paraId="3E107E2F" w14:textId="136EA25B" w:rsidR="00721CCE" w:rsidRPr="00140276" w:rsidRDefault="00721CCE" w:rsidP="00721CCE">
            <w:pPr>
              <w:spacing w:before="0" w:after="0"/>
              <w:jc w:val="right"/>
              <w:rPr>
                <w:rFonts w:eastAsia="Times New Roman"/>
                <w:color w:val="000000"/>
                <w:sz w:val="18"/>
                <w:szCs w:val="20"/>
                <w:highlight w:val="cyan"/>
              </w:rPr>
            </w:pPr>
            <w:r w:rsidRPr="001735C6">
              <w:rPr>
                <w:b/>
                <w:bCs/>
                <w:color w:val="0000CC"/>
                <w:sz w:val="19"/>
                <w:szCs w:val="19"/>
              </w:rPr>
              <w:t>“CONFIDENCIAL POR LEY (1</w:t>
            </w:r>
            <w:r w:rsidR="00996E0C">
              <w:rPr>
                <w:b/>
                <w:bCs/>
                <w:color w:val="0000CC"/>
                <w:sz w:val="19"/>
                <w:szCs w:val="19"/>
              </w:rPr>
              <w:t>91</w:t>
            </w:r>
            <w:r w:rsidRPr="001735C6">
              <w:rPr>
                <w:b/>
                <w:bCs/>
                <w:color w:val="0000CC"/>
                <w:sz w:val="19"/>
                <w:szCs w:val="19"/>
              </w:rPr>
              <w:t>)”</w:t>
            </w:r>
          </w:p>
        </w:tc>
      </w:tr>
      <w:tr w:rsidR="00721CCE" w:rsidRPr="006018EA" w14:paraId="191BA3C2" w14:textId="77777777" w:rsidTr="00EB4B7C">
        <w:trPr>
          <w:trHeight w:val="20"/>
          <w:tblHeader/>
          <w:jc w:val="center"/>
        </w:trPr>
        <w:tc>
          <w:tcPr>
            <w:tcW w:w="4588" w:type="dxa"/>
            <w:vAlign w:val="center"/>
          </w:tcPr>
          <w:p w14:paraId="4D8E57F3" w14:textId="2027FD4E" w:rsidR="00721CCE" w:rsidRPr="00E70056" w:rsidRDefault="00721CCE" w:rsidP="00721CCE">
            <w:pPr>
              <w:spacing w:before="0" w:after="0"/>
              <w:rPr>
                <w:rFonts w:eastAsia="Times New Roman"/>
                <w:b/>
                <w:color w:val="000000"/>
                <w:sz w:val="18"/>
                <w:szCs w:val="20"/>
              </w:rPr>
            </w:pPr>
            <w:r w:rsidRPr="00E70056">
              <w:rPr>
                <w:rFonts w:eastAsia="Times New Roman"/>
                <w:b/>
                <w:color w:val="000000"/>
                <w:sz w:val="18"/>
                <w:szCs w:val="20"/>
              </w:rPr>
              <w:t>TOTAL</w:t>
            </w:r>
          </w:p>
        </w:tc>
        <w:tc>
          <w:tcPr>
            <w:tcW w:w="1701" w:type="dxa"/>
          </w:tcPr>
          <w:p w14:paraId="68D0DEE4" w14:textId="550A535E" w:rsidR="00721CCE" w:rsidRPr="001B6F22" w:rsidRDefault="00721CCE" w:rsidP="00721CCE">
            <w:pPr>
              <w:spacing w:before="0" w:after="0"/>
              <w:jc w:val="right"/>
              <w:rPr>
                <w:rFonts w:eastAsia="Times New Roman"/>
                <w:b/>
                <w:color w:val="000000"/>
                <w:sz w:val="18"/>
                <w:szCs w:val="20"/>
                <w:highlight w:val="cyan"/>
              </w:rPr>
            </w:pPr>
            <w:r w:rsidRPr="001735C6">
              <w:rPr>
                <w:b/>
                <w:bCs/>
                <w:color w:val="0000CC"/>
                <w:sz w:val="19"/>
                <w:szCs w:val="19"/>
              </w:rPr>
              <w:t>“CONFIDENCIAL POR LEY (1</w:t>
            </w:r>
            <w:r w:rsidR="00996E0C">
              <w:rPr>
                <w:b/>
                <w:bCs/>
                <w:color w:val="0000CC"/>
                <w:sz w:val="19"/>
                <w:szCs w:val="19"/>
              </w:rPr>
              <w:t>92</w:t>
            </w:r>
            <w:r w:rsidRPr="001735C6">
              <w:rPr>
                <w:b/>
                <w:bCs/>
                <w:color w:val="0000CC"/>
                <w:sz w:val="19"/>
                <w:szCs w:val="19"/>
              </w:rPr>
              <w:t>)”</w:t>
            </w:r>
          </w:p>
        </w:tc>
        <w:tc>
          <w:tcPr>
            <w:tcW w:w="1701" w:type="dxa"/>
            <w:shd w:val="clear" w:color="auto" w:fill="auto"/>
          </w:tcPr>
          <w:p w14:paraId="3003B3F6" w14:textId="15BBC7F1" w:rsidR="00721CCE" w:rsidRPr="001B6F22" w:rsidRDefault="00721CCE" w:rsidP="00721CCE">
            <w:pPr>
              <w:spacing w:before="0" w:after="0"/>
              <w:jc w:val="right"/>
              <w:rPr>
                <w:rFonts w:eastAsia="Times New Roman"/>
                <w:b/>
                <w:color w:val="000000"/>
                <w:sz w:val="18"/>
                <w:szCs w:val="20"/>
                <w:highlight w:val="cyan"/>
              </w:rPr>
            </w:pPr>
            <w:r w:rsidRPr="001735C6">
              <w:rPr>
                <w:b/>
                <w:bCs/>
                <w:color w:val="0000CC"/>
                <w:sz w:val="19"/>
                <w:szCs w:val="19"/>
              </w:rPr>
              <w:t>“CONFIDENCIAL POR LEY (1</w:t>
            </w:r>
            <w:r w:rsidR="00996E0C">
              <w:rPr>
                <w:b/>
                <w:bCs/>
                <w:color w:val="0000CC"/>
                <w:sz w:val="19"/>
                <w:szCs w:val="19"/>
              </w:rPr>
              <w:t>93</w:t>
            </w:r>
            <w:r w:rsidRPr="001735C6">
              <w:rPr>
                <w:b/>
                <w:bCs/>
                <w:color w:val="0000CC"/>
                <w:sz w:val="19"/>
                <w:szCs w:val="19"/>
              </w:rPr>
              <w:t>)”</w:t>
            </w:r>
          </w:p>
        </w:tc>
      </w:tr>
    </w:tbl>
    <w:p w14:paraId="54661694" w14:textId="77777777" w:rsidR="00327869" w:rsidRDefault="00327869" w:rsidP="00383106">
      <w:pPr>
        <w:pStyle w:val="Notaalpie"/>
        <w:ind w:left="993" w:right="708"/>
        <w:rPr>
          <w:rFonts w:eastAsia="Calibri" w:cs="Times New Roman"/>
          <w:sz w:val="16"/>
        </w:rPr>
      </w:pPr>
      <w:r w:rsidRPr="00140276">
        <w:rPr>
          <w:rFonts w:eastAsia="Calibri" w:cs="Times New Roman"/>
          <w:sz w:val="16"/>
        </w:rPr>
        <w:t>Fuente: Elaboración propia con información contenida en Foja 1</w:t>
      </w:r>
      <w:r w:rsidR="00140276" w:rsidRPr="00140276">
        <w:rPr>
          <w:rFonts w:eastAsia="Calibri" w:cs="Times New Roman"/>
          <w:sz w:val="16"/>
        </w:rPr>
        <w:t>416</w:t>
      </w:r>
      <w:r w:rsidRPr="00140276">
        <w:rPr>
          <w:rFonts w:eastAsia="Calibri" w:cs="Times New Roman"/>
          <w:sz w:val="16"/>
        </w:rPr>
        <w:t xml:space="preserve"> del Expediente.</w:t>
      </w:r>
    </w:p>
    <w:p w14:paraId="35C5C30F" w14:textId="77777777" w:rsidR="00125707" w:rsidRPr="004B1E7C" w:rsidRDefault="00EA6661" w:rsidP="004B1E7C">
      <w:pPr>
        <w:rPr>
          <w:b/>
        </w:rPr>
      </w:pPr>
      <w:bookmarkStart w:id="47" w:name="_Toc511061418"/>
      <w:r w:rsidRPr="004B1E7C">
        <w:rPr>
          <w:b/>
        </w:rPr>
        <w:t xml:space="preserve">4.3.2. </w:t>
      </w:r>
      <w:r w:rsidR="00125707" w:rsidRPr="004B1E7C">
        <w:rPr>
          <w:b/>
        </w:rPr>
        <w:t>A</w:t>
      </w:r>
      <w:r w:rsidR="000B32AA" w:rsidRPr="004B1E7C">
        <w:rPr>
          <w:b/>
        </w:rPr>
        <w:t>TC</w:t>
      </w:r>
      <w:r w:rsidR="00125707" w:rsidRPr="004B1E7C">
        <w:rPr>
          <w:b/>
        </w:rPr>
        <w:t xml:space="preserve"> HFM</w:t>
      </w:r>
      <w:bookmarkEnd w:id="47"/>
    </w:p>
    <w:p w14:paraId="7ED8F1C9" w14:textId="380FA371" w:rsidR="00327869" w:rsidRPr="001C6B1E" w:rsidRDefault="00DE1BB8" w:rsidP="001C6B1E">
      <w:pPr>
        <w:pStyle w:val="Prrafodelista"/>
        <w:spacing w:after="120" w:line="276" w:lineRule="auto"/>
        <w:ind w:left="0"/>
        <w:contextualSpacing w:val="0"/>
        <w:rPr>
          <w:rFonts w:eastAsia="Times New Roman"/>
          <w:color w:val="000000"/>
          <w:highlight w:val="yellow"/>
          <w:lang w:val="es-MX"/>
        </w:rPr>
      </w:pPr>
      <w:r w:rsidRPr="00DE1BB8">
        <w:rPr>
          <w:rFonts w:eastAsia="Times New Roman"/>
          <w:color w:val="000000"/>
          <w:lang w:val="es-MX"/>
        </w:rPr>
        <w:t>ATC HFM</w:t>
      </w:r>
      <w:r w:rsidR="00327869" w:rsidRPr="00DE1BB8">
        <w:rPr>
          <w:rFonts w:eastAsia="Times New Roman"/>
          <w:color w:val="000000"/>
          <w:lang w:val="es-MX"/>
        </w:rPr>
        <w:t xml:space="preserve"> es una sociedad </w:t>
      </w:r>
      <w:r w:rsidR="00721CCE" w:rsidRPr="00E63FC2">
        <w:rPr>
          <w:b/>
          <w:bCs/>
          <w:color w:val="0000CC"/>
          <w:sz w:val="19"/>
          <w:szCs w:val="19"/>
        </w:rPr>
        <w:t>“CONFIDENCIAL POR LEY (1</w:t>
      </w:r>
      <w:r w:rsidR="00996E0C">
        <w:rPr>
          <w:b/>
          <w:bCs/>
          <w:color w:val="0000CC"/>
          <w:sz w:val="19"/>
          <w:szCs w:val="19"/>
        </w:rPr>
        <w:t>94</w:t>
      </w:r>
      <w:r w:rsidR="00721CCE" w:rsidRPr="00E63FC2">
        <w:rPr>
          <w:b/>
          <w:bCs/>
          <w:color w:val="0000CC"/>
          <w:sz w:val="19"/>
          <w:szCs w:val="19"/>
        </w:rPr>
        <w:t>)”</w:t>
      </w:r>
      <w:r w:rsidR="00327869" w:rsidRPr="00DE1BB8">
        <w:rPr>
          <w:rFonts w:eastAsia="Times New Roman"/>
          <w:color w:val="000000"/>
          <w:lang w:val="es-MX"/>
        </w:rPr>
        <w:t xml:space="preserve">, constituida </w:t>
      </w:r>
      <w:r w:rsidR="00CE2B2E">
        <w:rPr>
          <w:rFonts w:eastAsia="Times New Roman"/>
          <w:color w:val="000000"/>
          <w:lang w:val="es-MX"/>
        </w:rPr>
        <w:t xml:space="preserve">recientemente </w:t>
      </w:r>
      <w:r w:rsidR="00327869" w:rsidRPr="00DE1BB8">
        <w:rPr>
          <w:rFonts w:eastAsia="Times New Roman"/>
          <w:color w:val="000000"/>
          <w:lang w:val="es-MX"/>
        </w:rPr>
        <w:t xml:space="preserve">conforme a las leyes mexicanas, según consta en la escritura pública de fecha </w:t>
      </w:r>
      <w:r w:rsidR="00EA6661">
        <w:rPr>
          <w:rFonts w:eastAsia="Times New Roman"/>
          <w:color w:val="000000"/>
          <w:lang w:val="es-MX"/>
        </w:rPr>
        <w:t>veinticinco</w:t>
      </w:r>
      <w:r>
        <w:rPr>
          <w:rFonts w:eastAsia="Times New Roman"/>
          <w:color w:val="000000"/>
          <w:lang w:val="es-MX"/>
        </w:rPr>
        <w:t xml:space="preserve"> de </w:t>
      </w:r>
      <w:r w:rsidRPr="00140276">
        <w:rPr>
          <w:rFonts w:eastAsia="Times New Roman"/>
          <w:color w:val="000000"/>
          <w:lang w:val="es-MX"/>
        </w:rPr>
        <w:t xml:space="preserve">octubre de </w:t>
      </w:r>
      <w:r w:rsidR="00EA6661">
        <w:rPr>
          <w:rFonts w:eastAsia="Times New Roman"/>
          <w:color w:val="000000"/>
          <w:lang w:val="es-MX"/>
        </w:rPr>
        <w:t>dos mil diecisiete</w:t>
      </w:r>
      <w:r w:rsidR="00327869" w:rsidRPr="00140276">
        <w:rPr>
          <w:rFonts w:eastAsia="Times New Roman"/>
          <w:color w:val="000000"/>
          <w:lang w:val="es-MX"/>
        </w:rPr>
        <w:t>.</w:t>
      </w:r>
      <w:r w:rsidR="00327869" w:rsidRPr="00140276">
        <w:rPr>
          <w:rFonts w:eastAsia="Times New Roman"/>
          <w:color w:val="000000"/>
          <w:vertAlign w:val="superscript"/>
          <w:lang w:val="es-MX"/>
        </w:rPr>
        <w:footnoteReference w:id="38"/>
      </w:r>
    </w:p>
    <w:p w14:paraId="63C095F7" w14:textId="77777777" w:rsidR="00543C88" w:rsidRPr="00543C88" w:rsidRDefault="00543C88" w:rsidP="00543C88">
      <w:pPr>
        <w:pStyle w:val="Prrafodelista"/>
        <w:spacing w:after="120" w:line="276" w:lineRule="auto"/>
        <w:ind w:left="0"/>
        <w:contextualSpacing w:val="0"/>
        <w:rPr>
          <w:rFonts w:eastAsia="Times New Roman"/>
          <w:color w:val="000000"/>
          <w:lang w:val="es-MX"/>
        </w:rPr>
      </w:pPr>
      <w:r>
        <w:rPr>
          <w:rFonts w:eastAsia="Times New Roman"/>
          <w:color w:val="000000"/>
          <w:lang w:val="es-MX"/>
        </w:rPr>
        <w:t>ATH HFM</w:t>
      </w:r>
      <w:r w:rsidRPr="00856CAF">
        <w:rPr>
          <w:rFonts w:eastAsia="Times New Roman"/>
          <w:color w:val="000000"/>
          <w:lang w:val="es-MX"/>
        </w:rPr>
        <w:t xml:space="preserve"> es una subsidiaria </w:t>
      </w:r>
      <w:r w:rsidR="001B6F22">
        <w:rPr>
          <w:rFonts w:eastAsia="Times New Roman"/>
          <w:color w:val="000000"/>
          <w:lang w:val="es-MX"/>
        </w:rPr>
        <w:t xml:space="preserve">en última instancia de </w:t>
      </w:r>
      <w:r>
        <w:rPr>
          <w:rFonts w:eastAsia="Times New Roman"/>
          <w:color w:val="000000"/>
          <w:lang w:val="es-MX"/>
        </w:rPr>
        <w:t>ATC</w:t>
      </w:r>
      <w:r w:rsidR="00D26F32">
        <w:rPr>
          <w:rFonts w:eastAsia="Times New Roman"/>
          <w:color w:val="000000"/>
          <w:lang w:val="es-MX"/>
        </w:rPr>
        <w:t>,</w:t>
      </w:r>
      <w:r>
        <w:rPr>
          <w:rFonts w:eastAsia="Times New Roman"/>
          <w:color w:val="000000"/>
          <w:lang w:val="es-MX"/>
        </w:rPr>
        <w:t xml:space="preserve"> </w:t>
      </w:r>
      <w:r w:rsidRPr="00856CAF">
        <w:rPr>
          <w:rFonts w:eastAsia="Times New Roman"/>
          <w:color w:val="000000"/>
          <w:lang w:val="es-MX"/>
        </w:rPr>
        <w:t>cuya estructura del capital social se muestra en el siguiente cuadro</w:t>
      </w:r>
      <w:r w:rsidR="00D26F32">
        <w:rPr>
          <w:rFonts w:eastAsia="Times New Roman"/>
          <w:color w:val="000000"/>
          <w:lang w:val="es-MX"/>
        </w:rPr>
        <w:t xml:space="preserve"> misma que </w:t>
      </w:r>
      <w:r w:rsidRPr="00856CAF">
        <w:rPr>
          <w:rFonts w:eastAsia="Times New Roman"/>
          <w:color w:val="000000"/>
          <w:lang w:val="es-MX"/>
        </w:rPr>
        <w:t>no se modificó</w:t>
      </w:r>
      <w:r>
        <w:rPr>
          <w:rFonts w:eastAsia="Times New Roman"/>
          <w:color w:val="000000"/>
          <w:lang w:val="es-MX"/>
        </w:rPr>
        <w:t xml:space="preserve"> en virtud de la Operación.</w:t>
      </w:r>
    </w:p>
    <w:p w14:paraId="6E461EF0" w14:textId="77777777" w:rsidR="00327869" w:rsidRPr="00383106" w:rsidRDefault="00327869" w:rsidP="001B6F22">
      <w:pPr>
        <w:pStyle w:val="Sinespaciado"/>
        <w:keepNext/>
        <w:numPr>
          <w:ilvl w:val="0"/>
          <w:numId w:val="24"/>
        </w:numPr>
        <w:spacing w:before="120" w:after="120" w:line="276" w:lineRule="auto"/>
        <w:ind w:left="2268" w:right="48" w:hanging="1275"/>
        <w:jc w:val="both"/>
        <w:rPr>
          <w:rFonts w:ascii="ITC Avant Garde" w:hAnsi="ITC Avant Garde"/>
          <w:b/>
        </w:rPr>
      </w:pPr>
      <w:r w:rsidRPr="00383106">
        <w:rPr>
          <w:rFonts w:ascii="ITC Avant Garde" w:hAnsi="ITC Avant Garde"/>
          <w:b/>
        </w:rPr>
        <w:t xml:space="preserve">Accionistas de </w:t>
      </w:r>
      <w:r w:rsidR="00543C88" w:rsidRPr="00383106">
        <w:rPr>
          <w:rFonts w:ascii="ITC Avant Garde" w:hAnsi="ITC Avant Garde"/>
          <w:b/>
        </w:rPr>
        <w:t>ATC HFM</w:t>
      </w:r>
      <w:r w:rsidR="0010136E">
        <w:rPr>
          <w:rFonts w:ascii="ITC Avant Garde" w:hAnsi="ITC Avant Garde"/>
          <w:b/>
        </w:rPr>
        <w:t xml:space="preserve"> (diciembre, 2017)</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Cuadro 17."/>
        <w:tblDescription w:val="Señala quienes son los accionistas de ATC HFM (diciembre, 2017)"/>
      </w:tblPr>
      <w:tblGrid>
        <w:gridCol w:w="1980"/>
        <w:gridCol w:w="1701"/>
        <w:gridCol w:w="2410"/>
        <w:gridCol w:w="1701"/>
      </w:tblGrid>
      <w:tr w:rsidR="00543C88" w:rsidRPr="0030526C" w14:paraId="278721E6" w14:textId="77777777" w:rsidTr="001B6F22">
        <w:trPr>
          <w:trHeight w:val="20"/>
          <w:tblHeader/>
          <w:jc w:val="center"/>
        </w:trPr>
        <w:tc>
          <w:tcPr>
            <w:tcW w:w="1980" w:type="dxa"/>
            <w:shd w:val="clear" w:color="auto" w:fill="92D050"/>
            <w:noWrap/>
            <w:vAlign w:val="center"/>
          </w:tcPr>
          <w:p w14:paraId="131DC0D8" w14:textId="77777777" w:rsidR="00543C88" w:rsidRPr="00383106" w:rsidRDefault="00543C88" w:rsidP="00543C88">
            <w:pPr>
              <w:spacing w:before="0" w:after="0"/>
              <w:jc w:val="center"/>
              <w:rPr>
                <w:rFonts w:eastAsia="Times New Roman"/>
                <w:b/>
                <w:color w:val="000000"/>
                <w:sz w:val="18"/>
                <w:szCs w:val="18"/>
              </w:rPr>
            </w:pPr>
            <w:r w:rsidRPr="00383106">
              <w:rPr>
                <w:rFonts w:eastAsia="Times New Roman"/>
                <w:b/>
                <w:color w:val="000000"/>
                <w:sz w:val="18"/>
                <w:szCs w:val="18"/>
              </w:rPr>
              <w:t>Accionista</w:t>
            </w:r>
          </w:p>
        </w:tc>
        <w:tc>
          <w:tcPr>
            <w:tcW w:w="1701" w:type="dxa"/>
            <w:shd w:val="clear" w:color="auto" w:fill="92D050"/>
            <w:noWrap/>
            <w:vAlign w:val="center"/>
          </w:tcPr>
          <w:p w14:paraId="777BE86B" w14:textId="77777777" w:rsidR="00543C88" w:rsidRPr="00383106" w:rsidRDefault="00543C88" w:rsidP="00543C88">
            <w:pPr>
              <w:spacing w:before="0" w:after="0"/>
              <w:jc w:val="center"/>
              <w:rPr>
                <w:rFonts w:eastAsia="Times New Roman"/>
                <w:b/>
                <w:color w:val="000000"/>
                <w:sz w:val="18"/>
                <w:szCs w:val="18"/>
              </w:rPr>
            </w:pPr>
            <w:r w:rsidRPr="00383106">
              <w:rPr>
                <w:rFonts w:eastAsia="Times New Roman"/>
                <w:b/>
                <w:color w:val="000000"/>
                <w:sz w:val="18"/>
                <w:szCs w:val="18"/>
              </w:rPr>
              <w:t>Partes Sociales</w:t>
            </w:r>
          </w:p>
        </w:tc>
        <w:tc>
          <w:tcPr>
            <w:tcW w:w="2410" w:type="dxa"/>
            <w:shd w:val="clear" w:color="auto" w:fill="92D050"/>
            <w:vAlign w:val="center"/>
          </w:tcPr>
          <w:p w14:paraId="67905BC9" w14:textId="77777777" w:rsidR="00543C88" w:rsidRPr="00383106" w:rsidRDefault="00543C88" w:rsidP="00543C88">
            <w:pPr>
              <w:spacing w:before="0" w:after="0"/>
              <w:jc w:val="center"/>
              <w:rPr>
                <w:rFonts w:eastAsia="Times New Roman"/>
                <w:b/>
                <w:color w:val="000000"/>
                <w:sz w:val="18"/>
                <w:szCs w:val="18"/>
              </w:rPr>
            </w:pPr>
            <w:r w:rsidRPr="00383106">
              <w:rPr>
                <w:rFonts w:eastAsia="Times New Roman"/>
                <w:b/>
                <w:color w:val="000000"/>
                <w:sz w:val="18"/>
                <w:szCs w:val="18"/>
              </w:rPr>
              <w:t>Valor de partes sociales</w:t>
            </w:r>
          </w:p>
        </w:tc>
        <w:tc>
          <w:tcPr>
            <w:tcW w:w="1701" w:type="dxa"/>
            <w:shd w:val="clear" w:color="auto" w:fill="92D050"/>
            <w:noWrap/>
            <w:vAlign w:val="center"/>
          </w:tcPr>
          <w:p w14:paraId="281E253B" w14:textId="77777777" w:rsidR="00543C88" w:rsidRPr="00383106" w:rsidRDefault="00543C88" w:rsidP="00543C88">
            <w:pPr>
              <w:spacing w:before="0" w:after="0"/>
              <w:jc w:val="center"/>
              <w:rPr>
                <w:rFonts w:eastAsia="Times New Roman"/>
                <w:b/>
                <w:color w:val="000000"/>
                <w:sz w:val="18"/>
                <w:szCs w:val="18"/>
              </w:rPr>
            </w:pPr>
            <w:r w:rsidRPr="00383106">
              <w:rPr>
                <w:rFonts w:eastAsia="Times New Roman"/>
                <w:b/>
                <w:color w:val="000000"/>
                <w:sz w:val="18"/>
                <w:szCs w:val="18"/>
              </w:rPr>
              <w:t>Participación (%)</w:t>
            </w:r>
          </w:p>
        </w:tc>
      </w:tr>
      <w:tr w:rsidR="00721CCE" w:rsidRPr="00383106" w14:paraId="5A39A926" w14:textId="77777777" w:rsidTr="00EB4B7C">
        <w:trPr>
          <w:trHeight w:val="20"/>
          <w:jc w:val="center"/>
        </w:trPr>
        <w:tc>
          <w:tcPr>
            <w:tcW w:w="1980" w:type="dxa"/>
            <w:shd w:val="clear" w:color="auto" w:fill="auto"/>
            <w:noWrap/>
            <w:vAlign w:val="center"/>
          </w:tcPr>
          <w:p w14:paraId="062C49C1" w14:textId="77777777" w:rsidR="00721CCE" w:rsidRPr="00E70056" w:rsidRDefault="00721CCE" w:rsidP="00721CCE">
            <w:pPr>
              <w:spacing w:before="0" w:after="0"/>
              <w:jc w:val="left"/>
              <w:rPr>
                <w:rFonts w:eastAsia="Times New Roman"/>
                <w:color w:val="000000"/>
                <w:sz w:val="18"/>
                <w:szCs w:val="18"/>
              </w:rPr>
            </w:pPr>
            <w:r w:rsidRPr="00E70056">
              <w:rPr>
                <w:rFonts w:eastAsia="Times New Roman"/>
                <w:color w:val="000000"/>
                <w:sz w:val="18"/>
                <w:szCs w:val="18"/>
              </w:rPr>
              <w:t xml:space="preserve">ATC </w:t>
            </w:r>
            <w:proofErr w:type="spellStart"/>
            <w:r w:rsidRPr="00E70056">
              <w:rPr>
                <w:rFonts w:eastAsia="Times New Roman"/>
                <w:color w:val="000000"/>
                <w:sz w:val="18"/>
                <w:szCs w:val="18"/>
              </w:rPr>
              <w:t>MexHold</w:t>
            </w:r>
            <w:proofErr w:type="spellEnd"/>
          </w:p>
        </w:tc>
        <w:tc>
          <w:tcPr>
            <w:tcW w:w="1701" w:type="dxa"/>
            <w:shd w:val="clear" w:color="auto" w:fill="auto"/>
            <w:noWrap/>
          </w:tcPr>
          <w:p w14:paraId="6C161261" w14:textId="539C83F8" w:rsidR="00721CCE" w:rsidRPr="001B6F22" w:rsidRDefault="00721CCE" w:rsidP="00721CCE">
            <w:pPr>
              <w:spacing w:before="0" w:after="0"/>
              <w:jc w:val="right"/>
              <w:rPr>
                <w:rFonts w:eastAsia="Times New Roman"/>
                <w:color w:val="000000"/>
                <w:sz w:val="18"/>
                <w:szCs w:val="18"/>
                <w:highlight w:val="cyan"/>
              </w:rPr>
            </w:pPr>
            <w:r w:rsidRPr="00D27BCE">
              <w:rPr>
                <w:b/>
                <w:bCs/>
                <w:color w:val="0000CC"/>
                <w:sz w:val="19"/>
                <w:szCs w:val="19"/>
              </w:rPr>
              <w:t>“CONFIDENCIAL POR LEY (1</w:t>
            </w:r>
            <w:r w:rsidR="00996E0C">
              <w:rPr>
                <w:b/>
                <w:bCs/>
                <w:color w:val="0000CC"/>
                <w:sz w:val="19"/>
                <w:szCs w:val="19"/>
              </w:rPr>
              <w:t>95</w:t>
            </w:r>
            <w:r w:rsidRPr="00D27BCE">
              <w:rPr>
                <w:b/>
                <w:bCs/>
                <w:color w:val="0000CC"/>
                <w:sz w:val="19"/>
                <w:szCs w:val="19"/>
              </w:rPr>
              <w:t>)”</w:t>
            </w:r>
          </w:p>
        </w:tc>
        <w:tc>
          <w:tcPr>
            <w:tcW w:w="2410" w:type="dxa"/>
          </w:tcPr>
          <w:p w14:paraId="25CC05F5" w14:textId="6F8B6BDF" w:rsidR="00721CCE" w:rsidRPr="001B6F22" w:rsidRDefault="00721CCE" w:rsidP="00721CCE">
            <w:pPr>
              <w:spacing w:before="0" w:after="0"/>
              <w:jc w:val="right"/>
              <w:rPr>
                <w:rFonts w:eastAsia="Times New Roman"/>
                <w:color w:val="000000"/>
                <w:sz w:val="18"/>
                <w:szCs w:val="18"/>
                <w:highlight w:val="cyan"/>
              </w:rPr>
            </w:pPr>
            <w:r w:rsidRPr="00D27BCE">
              <w:rPr>
                <w:b/>
                <w:bCs/>
                <w:color w:val="0000CC"/>
                <w:sz w:val="19"/>
                <w:szCs w:val="19"/>
              </w:rPr>
              <w:t>“CONFIDENCIAL POR LEY (1</w:t>
            </w:r>
            <w:r w:rsidR="00996E0C">
              <w:rPr>
                <w:b/>
                <w:bCs/>
                <w:color w:val="0000CC"/>
                <w:sz w:val="19"/>
                <w:szCs w:val="19"/>
              </w:rPr>
              <w:t>96</w:t>
            </w:r>
            <w:r w:rsidRPr="00D27BCE">
              <w:rPr>
                <w:b/>
                <w:bCs/>
                <w:color w:val="0000CC"/>
                <w:sz w:val="19"/>
                <w:szCs w:val="19"/>
              </w:rPr>
              <w:t>)”</w:t>
            </w:r>
          </w:p>
        </w:tc>
        <w:tc>
          <w:tcPr>
            <w:tcW w:w="1701" w:type="dxa"/>
            <w:shd w:val="clear" w:color="auto" w:fill="auto"/>
            <w:noWrap/>
          </w:tcPr>
          <w:p w14:paraId="1F0D3F14" w14:textId="7628F4AD" w:rsidR="00721CCE" w:rsidRPr="001B6F22" w:rsidRDefault="00721CCE" w:rsidP="00721CCE">
            <w:pPr>
              <w:spacing w:before="0" w:after="0"/>
              <w:jc w:val="right"/>
              <w:rPr>
                <w:rFonts w:eastAsia="Times New Roman"/>
                <w:color w:val="000000"/>
                <w:sz w:val="18"/>
                <w:szCs w:val="18"/>
                <w:highlight w:val="cyan"/>
              </w:rPr>
            </w:pPr>
            <w:r w:rsidRPr="00D27BCE">
              <w:rPr>
                <w:b/>
                <w:bCs/>
                <w:color w:val="0000CC"/>
                <w:sz w:val="19"/>
                <w:szCs w:val="19"/>
              </w:rPr>
              <w:t>“CONFIDENCIAL POR LEY (1</w:t>
            </w:r>
            <w:r w:rsidR="00996E0C">
              <w:rPr>
                <w:b/>
                <w:bCs/>
                <w:color w:val="0000CC"/>
                <w:sz w:val="19"/>
                <w:szCs w:val="19"/>
              </w:rPr>
              <w:t>97</w:t>
            </w:r>
            <w:r w:rsidRPr="00D27BCE">
              <w:rPr>
                <w:b/>
                <w:bCs/>
                <w:color w:val="0000CC"/>
                <w:sz w:val="19"/>
                <w:szCs w:val="19"/>
              </w:rPr>
              <w:t>)”</w:t>
            </w:r>
          </w:p>
        </w:tc>
      </w:tr>
      <w:tr w:rsidR="00721CCE" w:rsidRPr="00383106" w14:paraId="733CCEAB" w14:textId="77777777" w:rsidTr="00EB4B7C">
        <w:trPr>
          <w:trHeight w:val="20"/>
          <w:jc w:val="center"/>
        </w:trPr>
        <w:tc>
          <w:tcPr>
            <w:tcW w:w="1980" w:type="dxa"/>
            <w:shd w:val="clear" w:color="auto" w:fill="auto"/>
            <w:noWrap/>
            <w:vAlign w:val="center"/>
          </w:tcPr>
          <w:p w14:paraId="711AEA32" w14:textId="77777777" w:rsidR="00721CCE" w:rsidRPr="00E70056" w:rsidRDefault="00721CCE" w:rsidP="00721CCE">
            <w:pPr>
              <w:spacing w:before="0" w:after="0"/>
              <w:jc w:val="left"/>
              <w:rPr>
                <w:rFonts w:eastAsia="Times New Roman"/>
                <w:color w:val="000000"/>
                <w:sz w:val="18"/>
                <w:szCs w:val="18"/>
              </w:rPr>
            </w:pPr>
            <w:r w:rsidRPr="00E70056">
              <w:rPr>
                <w:rFonts w:eastAsia="Times New Roman"/>
                <w:color w:val="000000"/>
                <w:sz w:val="18"/>
                <w:szCs w:val="18"/>
              </w:rPr>
              <w:t xml:space="preserve">ATC </w:t>
            </w:r>
            <w:proofErr w:type="spellStart"/>
            <w:r w:rsidRPr="00E70056">
              <w:rPr>
                <w:rFonts w:eastAsia="Times New Roman"/>
                <w:color w:val="000000"/>
                <w:sz w:val="18"/>
                <w:szCs w:val="18"/>
              </w:rPr>
              <w:t>Mexico</w:t>
            </w:r>
            <w:proofErr w:type="spellEnd"/>
            <w:r w:rsidRPr="00E70056">
              <w:rPr>
                <w:rFonts w:eastAsia="Times New Roman"/>
                <w:color w:val="000000"/>
                <w:sz w:val="18"/>
                <w:szCs w:val="18"/>
              </w:rPr>
              <w:t xml:space="preserve"> Holding</w:t>
            </w:r>
          </w:p>
        </w:tc>
        <w:tc>
          <w:tcPr>
            <w:tcW w:w="1701" w:type="dxa"/>
            <w:shd w:val="clear" w:color="auto" w:fill="auto"/>
            <w:noWrap/>
          </w:tcPr>
          <w:p w14:paraId="309786BD" w14:textId="77D7C885" w:rsidR="00721CCE" w:rsidRPr="001B6F22" w:rsidRDefault="00721CCE" w:rsidP="00721CCE">
            <w:pPr>
              <w:spacing w:before="0" w:after="0"/>
              <w:jc w:val="right"/>
              <w:rPr>
                <w:rFonts w:eastAsia="Times New Roman"/>
                <w:color w:val="000000"/>
                <w:sz w:val="18"/>
                <w:szCs w:val="18"/>
                <w:highlight w:val="cyan"/>
              </w:rPr>
            </w:pPr>
            <w:r w:rsidRPr="00D27BCE">
              <w:rPr>
                <w:b/>
                <w:bCs/>
                <w:color w:val="0000CC"/>
                <w:sz w:val="19"/>
                <w:szCs w:val="19"/>
              </w:rPr>
              <w:t>“CONFIDENCIAL POR LEY (1</w:t>
            </w:r>
            <w:r w:rsidR="00996E0C">
              <w:rPr>
                <w:b/>
                <w:bCs/>
                <w:color w:val="0000CC"/>
                <w:sz w:val="19"/>
                <w:szCs w:val="19"/>
              </w:rPr>
              <w:t>98</w:t>
            </w:r>
            <w:r w:rsidRPr="00D27BCE">
              <w:rPr>
                <w:b/>
                <w:bCs/>
                <w:color w:val="0000CC"/>
                <w:sz w:val="19"/>
                <w:szCs w:val="19"/>
              </w:rPr>
              <w:t>)”</w:t>
            </w:r>
          </w:p>
        </w:tc>
        <w:tc>
          <w:tcPr>
            <w:tcW w:w="2410" w:type="dxa"/>
          </w:tcPr>
          <w:p w14:paraId="4018BCD4" w14:textId="5A3393A4" w:rsidR="00721CCE" w:rsidRPr="001B6F22" w:rsidRDefault="00721CCE" w:rsidP="00721CCE">
            <w:pPr>
              <w:spacing w:before="0" w:after="0"/>
              <w:jc w:val="right"/>
              <w:rPr>
                <w:rFonts w:eastAsia="Times New Roman"/>
                <w:color w:val="000000"/>
                <w:sz w:val="18"/>
                <w:szCs w:val="18"/>
                <w:highlight w:val="cyan"/>
              </w:rPr>
            </w:pPr>
            <w:r w:rsidRPr="00D27BCE">
              <w:rPr>
                <w:b/>
                <w:bCs/>
                <w:color w:val="0000CC"/>
                <w:sz w:val="19"/>
                <w:szCs w:val="19"/>
              </w:rPr>
              <w:t>“CONFIDENCIAL POR LEY (1</w:t>
            </w:r>
            <w:r w:rsidR="00996E0C">
              <w:rPr>
                <w:b/>
                <w:bCs/>
                <w:color w:val="0000CC"/>
                <w:sz w:val="19"/>
                <w:szCs w:val="19"/>
              </w:rPr>
              <w:t>99</w:t>
            </w:r>
            <w:r w:rsidRPr="00D27BCE">
              <w:rPr>
                <w:b/>
                <w:bCs/>
                <w:color w:val="0000CC"/>
                <w:sz w:val="19"/>
                <w:szCs w:val="19"/>
              </w:rPr>
              <w:t>)”</w:t>
            </w:r>
          </w:p>
        </w:tc>
        <w:tc>
          <w:tcPr>
            <w:tcW w:w="1701" w:type="dxa"/>
            <w:shd w:val="clear" w:color="auto" w:fill="auto"/>
            <w:noWrap/>
          </w:tcPr>
          <w:p w14:paraId="1010E563" w14:textId="084A2A73" w:rsidR="00721CCE" w:rsidRPr="001B6F22" w:rsidRDefault="00996E0C" w:rsidP="00721CCE">
            <w:pPr>
              <w:spacing w:before="0" w:after="0"/>
              <w:jc w:val="right"/>
              <w:rPr>
                <w:rFonts w:eastAsia="Times New Roman"/>
                <w:color w:val="000000"/>
                <w:sz w:val="18"/>
                <w:szCs w:val="18"/>
                <w:highlight w:val="cyan"/>
              </w:rPr>
            </w:pPr>
            <w:r>
              <w:rPr>
                <w:b/>
                <w:bCs/>
                <w:color w:val="0000CC"/>
                <w:sz w:val="19"/>
                <w:szCs w:val="19"/>
              </w:rPr>
              <w:t>“CONFIDENCIAL POR LEY (200</w:t>
            </w:r>
            <w:r w:rsidR="00721CCE" w:rsidRPr="00D27BCE">
              <w:rPr>
                <w:b/>
                <w:bCs/>
                <w:color w:val="0000CC"/>
                <w:sz w:val="19"/>
                <w:szCs w:val="19"/>
              </w:rPr>
              <w:t>)”</w:t>
            </w:r>
          </w:p>
        </w:tc>
      </w:tr>
      <w:tr w:rsidR="00721CCE" w:rsidRPr="00856CAF" w14:paraId="596E8665" w14:textId="77777777" w:rsidTr="00EB4B7C">
        <w:trPr>
          <w:trHeight w:val="20"/>
          <w:jc w:val="center"/>
        </w:trPr>
        <w:tc>
          <w:tcPr>
            <w:tcW w:w="1980" w:type="dxa"/>
            <w:shd w:val="clear" w:color="auto" w:fill="auto"/>
            <w:noWrap/>
            <w:vAlign w:val="center"/>
            <w:hideMark/>
          </w:tcPr>
          <w:p w14:paraId="7ED16FCD" w14:textId="77777777" w:rsidR="00721CCE" w:rsidRPr="00E70056" w:rsidRDefault="00721CCE" w:rsidP="00721CCE">
            <w:pPr>
              <w:spacing w:before="0" w:after="0"/>
              <w:jc w:val="left"/>
              <w:rPr>
                <w:rFonts w:eastAsia="Times New Roman"/>
                <w:b/>
                <w:color w:val="000000"/>
                <w:sz w:val="18"/>
                <w:szCs w:val="18"/>
              </w:rPr>
            </w:pPr>
            <w:r w:rsidRPr="00E70056">
              <w:rPr>
                <w:rFonts w:eastAsia="Times New Roman"/>
                <w:b/>
                <w:color w:val="000000"/>
                <w:sz w:val="18"/>
                <w:szCs w:val="18"/>
              </w:rPr>
              <w:lastRenderedPageBreak/>
              <w:t>TOTAL</w:t>
            </w:r>
          </w:p>
        </w:tc>
        <w:tc>
          <w:tcPr>
            <w:tcW w:w="1701" w:type="dxa"/>
            <w:shd w:val="clear" w:color="auto" w:fill="auto"/>
            <w:noWrap/>
            <w:hideMark/>
          </w:tcPr>
          <w:p w14:paraId="43BB0B13" w14:textId="1DA5319F" w:rsidR="00721CCE" w:rsidRPr="001B6F22" w:rsidRDefault="00721CCE" w:rsidP="00721CCE">
            <w:pPr>
              <w:spacing w:before="0" w:after="0"/>
              <w:jc w:val="right"/>
              <w:rPr>
                <w:rFonts w:eastAsia="Times New Roman"/>
                <w:b/>
                <w:color w:val="000000"/>
                <w:sz w:val="18"/>
                <w:szCs w:val="18"/>
                <w:highlight w:val="cyan"/>
              </w:rPr>
            </w:pPr>
            <w:r w:rsidRPr="00D27BCE">
              <w:rPr>
                <w:b/>
                <w:bCs/>
                <w:color w:val="0000CC"/>
                <w:sz w:val="19"/>
                <w:szCs w:val="19"/>
              </w:rPr>
              <w:t>“CONFIDENCIAL POR LEY (</w:t>
            </w:r>
            <w:r w:rsidR="00996E0C">
              <w:rPr>
                <w:b/>
                <w:bCs/>
                <w:color w:val="0000CC"/>
                <w:sz w:val="19"/>
                <w:szCs w:val="19"/>
              </w:rPr>
              <w:t>20</w:t>
            </w:r>
            <w:r w:rsidRPr="00D27BCE">
              <w:rPr>
                <w:b/>
                <w:bCs/>
                <w:color w:val="0000CC"/>
                <w:sz w:val="19"/>
                <w:szCs w:val="19"/>
              </w:rPr>
              <w:t>1)”</w:t>
            </w:r>
          </w:p>
        </w:tc>
        <w:tc>
          <w:tcPr>
            <w:tcW w:w="2410" w:type="dxa"/>
          </w:tcPr>
          <w:p w14:paraId="79A4BEA0" w14:textId="16205B6D" w:rsidR="00721CCE" w:rsidRPr="001B6F22" w:rsidRDefault="00721CCE" w:rsidP="00996E0C">
            <w:pPr>
              <w:spacing w:before="0" w:after="0"/>
              <w:jc w:val="right"/>
              <w:rPr>
                <w:rFonts w:eastAsia="Times New Roman"/>
                <w:b/>
                <w:color w:val="000000"/>
                <w:sz w:val="18"/>
                <w:szCs w:val="18"/>
                <w:highlight w:val="cyan"/>
              </w:rPr>
            </w:pPr>
            <w:r w:rsidRPr="00D27BCE">
              <w:rPr>
                <w:b/>
                <w:bCs/>
                <w:color w:val="0000CC"/>
                <w:sz w:val="19"/>
                <w:szCs w:val="19"/>
              </w:rPr>
              <w:t>“CONFIDENCIAL POR LEY (</w:t>
            </w:r>
            <w:r w:rsidR="00996E0C">
              <w:rPr>
                <w:b/>
                <w:bCs/>
                <w:color w:val="0000CC"/>
                <w:sz w:val="19"/>
                <w:szCs w:val="19"/>
              </w:rPr>
              <w:t>202</w:t>
            </w:r>
            <w:r w:rsidRPr="00D27BCE">
              <w:rPr>
                <w:b/>
                <w:bCs/>
                <w:color w:val="0000CC"/>
                <w:sz w:val="19"/>
                <w:szCs w:val="19"/>
              </w:rPr>
              <w:t>)”</w:t>
            </w:r>
          </w:p>
        </w:tc>
        <w:tc>
          <w:tcPr>
            <w:tcW w:w="1701" w:type="dxa"/>
            <w:shd w:val="clear" w:color="auto" w:fill="auto"/>
            <w:noWrap/>
            <w:hideMark/>
          </w:tcPr>
          <w:p w14:paraId="40320174" w14:textId="5FB112F3" w:rsidR="00721CCE" w:rsidRPr="001B6F22" w:rsidRDefault="00721CCE" w:rsidP="00996E0C">
            <w:pPr>
              <w:spacing w:before="0" w:after="0"/>
              <w:jc w:val="right"/>
              <w:rPr>
                <w:rFonts w:eastAsia="Times New Roman"/>
                <w:b/>
                <w:color w:val="000000"/>
                <w:sz w:val="18"/>
                <w:szCs w:val="18"/>
                <w:highlight w:val="cyan"/>
              </w:rPr>
            </w:pPr>
            <w:r w:rsidRPr="00D27BCE">
              <w:rPr>
                <w:b/>
                <w:bCs/>
                <w:color w:val="0000CC"/>
                <w:sz w:val="19"/>
                <w:szCs w:val="19"/>
              </w:rPr>
              <w:t>“CONFIDENCIAL POR LEY (</w:t>
            </w:r>
            <w:r w:rsidR="00996E0C">
              <w:rPr>
                <w:b/>
                <w:bCs/>
                <w:color w:val="0000CC"/>
                <w:sz w:val="19"/>
                <w:szCs w:val="19"/>
              </w:rPr>
              <w:t>203</w:t>
            </w:r>
            <w:r w:rsidRPr="00D27BCE">
              <w:rPr>
                <w:b/>
                <w:bCs/>
                <w:color w:val="0000CC"/>
                <w:sz w:val="19"/>
                <w:szCs w:val="19"/>
              </w:rPr>
              <w:t>)”</w:t>
            </w:r>
          </w:p>
        </w:tc>
      </w:tr>
    </w:tbl>
    <w:p w14:paraId="0026C6EF" w14:textId="77777777" w:rsidR="00327869" w:rsidRDefault="00327869" w:rsidP="001B6F22">
      <w:pPr>
        <w:pStyle w:val="Notaalpie"/>
        <w:ind w:left="851" w:right="708"/>
        <w:rPr>
          <w:rFonts w:eastAsia="Calibri" w:cs="Times New Roman"/>
          <w:sz w:val="16"/>
        </w:rPr>
      </w:pPr>
      <w:r w:rsidRPr="00967F70">
        <w:rPr>
          <w:rFonts w:eastAsia="Calibri" w:cs="Times New Roman"/>
          <w:sz w:val="16"/>
        </w:rPr>
        <w:t xml:space="preserve">Fuente: Elaboración propia con información contenida en Foja </w:t>
      </w:r>
      <w:r w:rsidR="00967F70" w:rsidRPr="00967F70">
        <w:rPr>
          <w:rFonts w:eastAsia="Calibri" w:cs="Times New Roman"/>
          <w:sz w:val="16"/>
        </w:rPr>
        <w:t>444</w:t>
      </w:r>
      <w:r w:rsidRPr="00967F70">
        <w:rPr>
          <w:rFonts w:eastAsia="Calibri" w:cs="Times New Roman"/>
          <w:sz w:val="16"/>
        </w:rPr>
        <w:t xml:space="preserve"> del Expediente.</w:t>
      </w:r>
    </w:p>
    <w:p w14:paraId="25CD9E38" w14:textId="77777777" w:rsidR="009211F6" w:rsidRPr="004B1E7C" w:rsidRDefault="00D7623D" w:rsidP="004B1E7C">
      <w:pPr>
        <w:rPr>
          <w:b/>
        </w:rPr>
      </w:pPr>
      <w:bookmarkStart w:id="48" w:name="_Toc511061419"/>
      <w:r w:rsidRPr="004B1E7C">
        <w:rPr>
          <w:b/>
        </w:rPr>
        <w:t xml:space="preserve">4.3.3. </w:t>
      </w:r>
      <w:r w:rsidR="009211F6" w:rsidRPr="004B1E7C">
        <w:rPr>
          <w:b/>
        </w:rPr>
        <w:t>ATC</w:t>
      </w:r>
      <w:bookmarkEnd w:id="48"/>
    </w:p>
    <w:p w14:paraId="5C3B9B7D" w14:textId="77777777" w:rsidR="002A046D" w:rsidRPr="001C6B1E" w:rsidRDefault="002A046D" w:rsidP="002A046D">
      <w:pPr>
        <w:pStyle w:val="Prrafodelista"/>
        <w:spacing w:after="120" w:line="276" w:lineRule="auto"/>
        <w:ind w:left="0"/>
        <w:contextualSpacing w:val="0"/>
        <w:rPr>
          <w:rFonts w:eastAsia="Times New Roman"/>
          <w:color w:val="000000"/>
          <w:highlight w:val="yellow"/>
          <w:lang w:val="es-MX"/>
        </w:rPr>
      </w:pPr>
      <w:r w:rsidRPr="004A6104">
        <w:rPr>
          <w:rFonts w:eastAsia="Times New Roman"/>
          <w:color w:val="000000"/>
          <w:lang w:val="es-MX"/>
        </w:rPr>
        <w:t>ATC es una socieda</w:t>
      </w:r>
      <w:r w:rsidRPr="002A046D">
        <w:rPr>
          <w:rFonts w:eastAsia="Times New Roman"/>
          <w:color w:val="000000"/>
          <w:lang w:val="es-MX"/>
        </w:rPr>
        <w:t xml:space="preserve">d constituida conforme a las leyes de Estados Unidos de América, fundada en </w:t>
      </w:r>
      <w:r w:rsidR="00D7623D">
        <w:rPr>
          <w:rFonts w:eastAsia="Times New Roman"/>
          <w:color w:val="000000"/>
          <w:lang w:val="es-MX"/>
        </w:rPr>
        <w:t>mil novecientos noventa y cinco</w:t>
      </w:r>
      <w:r w:rsidR="009962C2">
        <w:rPr>
          <w:rFonts w:eastAsia="Times New Roman"/>
          <w:color w:val="000000"/>
          <w:lang w:val="es-MX"/>
        </w:rPr>
        <w:t xml:space="preserve">, </w:t>
      </w:r>
      <w:r w:rsidR="009962C2" w:rsidRPr="00B50ED1">
        <w:rPr>
          <w:rFonts w:cs="ITC Avant Garde"/>
          <w:bCs/>
        </w:rPr>
        <w:t xml:space="preserve">cuyas acciones se encuentran listadas </w:t>
      </w:r>
      <w:r w:rsidR="003F1983">
        <w:rPr>
          <w:rFonts w:cs="ITC Avant Garde"/>
          <w:bCs/>
        </w:rPr>
        <w:t>en</w:t>
      </w:r>
      <w:r w:rsidR="009962C2" w:rsidRPr="00B50ED1">
        <w:rPr>
          <w:rFonts w:cs="ITC Avant Garde"/>
          <w:bCs/>
        </w:rPr>
        <w:t xml:space="preserve"> la Bolsa de Valores de Nueva York</w:t>
      </w:r>
      <w:r w:rsidR="003F1983">
        <w:rPr>
          <w:rFonts w:cs="ITC Avant Garde"/>
          <w:bCs/>
        </w:rPr>
        <w:t xml:space="preserve"> bajo la clave “AMT”</w:t>
      </w:r>
      <w:r>
        <w:rPr>
          <w:rFonts w:eastAsia="Times New Roman"/>
          <w:color w:val="000000"/>
          <w:lang w:val="es-MX"/>
        </w:rPr>
        <w:t xml:space="preserve">; agrupa a diversas sociedades, entre ellas los Compradores, a través de las cuales provee espacios en sitios </w:t>
      </w:r>
      <w:r w:rsidRPr="00B50ED1">
        <w:rPr>
          <w:rFonts w:cs="ITC Avant Garde"/>
          <w:bCs/>
        </w:rPr>
        <w:t xml:space="preserve">para la instalación de infraestructura </w:t>
      </w:r>
      <w:r>
        <w:rPr>
          <w:rFonts w:cs="ITC Avant Garde"/>
          <w:bCs/>
        </w:rPr>
        <w:t>de telecomunicaciones y radiodifusión;</w:t>
      </w:r>
      <w:r>
        <w:rPr>
          <w:rFonts w:eastAsia="Times New Roman"/>
          <w:color w:val="000000"/>
          <w:lang w:val="es-MX"/>
        </w:rPr>
        <w:t xml:space="preserve"> </w:t>
      </w:r>
      <w:r w:rsidR="00D9045C">
        <w:rPr>
          <w:rFonts w:eastAsia="Times New Roman"/>
          <w:color w:val="000000"/>
          <w:lang w:val="es-MX"/>
        </w:rPr>
        <w:t xml:space="preserve">a diciembre de 2016, </w:t>
      </w:r>
      <w:r>
        <w:rPr>
          <w:rFonts w:eastAsia="Times New Roman"/>
          <w:color w:val="000000"/>
          <w:lang w:val="es-MX"/>
        </w:rPr>
        <w:t>opera</w:t>
      </w:r>
      <w:r w:rsidR="00D9045C">
        <w:rPr>
          <w:rFonts w:eastAsia="Times New Roman"/>
          <w:color w:val="000000"/>
          <w:lang w:val="es-MX"/>
        </w:rPr>
        <w:t>ba</w:t>
      </w:r>
      <w:r>
        <w:rPr>
          <w:rFonts w:eastAsia="Times New Roman"/>
          <w:color w:val="000000"/>
          <w:lang w:val="es-MX"/>
        </w:rPr>
        <w:t xml:space="preserve"> alrededor de </w:t>
      </w:r>
      <w:r w:rsidRPr="002A046D">
        <w:rPr>
          <w:rFonts w:eastAsia="Times New Roman"/>
          <w:color w:val="000000"/>
          <w:lang w:val="es-MX"/>
        </w:rPr>
        <w:t>14</w:t>
      </w:r>
      <w:r w:rsidR="00D9045C">
        <w:rPr>
          <w:rFonts w:eastAsia="Times New Roman"/>
          <w:color w:val="000000"/>
          <w:lang w:val="es-MX"/>
        </w:rPr>
        <w:t>5</w:t>
      </w:r>
      <w:r w:rsidR="009962C2">
        <w:rPr>
          <w:rFonts w:eastAsia="Times New Roman"/>
          <w:color w:val="000000"/>
          <w:lang w:val="es-MX"/>
        </w:rPr>
        <w:t>,</w:t>
      </w:r>
      <w:r w:rsidRPr="002A046D">
        <w:rPr>
          <w:rFonts w:eastAsia="Times New Roman"/>
          <w:color w:val="000000"/>
          <w:lang w:val="es-MX"/>
        </w:rPr>
        <w:t>000</w:t>
      </w:r>
      <w:r w:rsidR="009962C2">
        <w:rPr>
          <w:rFonts w:eastAsia="Times New Roman"/>
          <w:color w:val="000000"/>
          <w:lang w:val="es-MX"/>
        </w:rPr>
        <w:t xml:space="preserve"> (ciento cuarenta y </w:t>
      </w:r>
      <w:r w:rsidR="00D9045C">
        <w:rPr>
          <w:rFonts w:eastAsia="Times New Roman"/>
          <w:color w:val="000000"/>
          <w:lang w:val="es-MX"/>
        </w:rPr>
        <w:t xml:space="preserve">cinco </w:t>
      </w:r>
      <w:r w:rsidR="009962C2">
        <w:rPr>
          <w:rFonts w:eastAsia="Times New Roman"/>
          <w:color w:val="000000"/>
          <w:lang w:val="es-MX"/>
        </w:rPr>
        <w:t>mil)</w:t>
      </w:r>
      <w:r w:rsidRPr="002A046D">
        <w:rPr>
          <w:rFonts w:eastAsia="Times New Roman"/>
          <w:color w:val="000000"/>
          <w:lang w:val="es-MX"/>
        </w:rPr>
        <w:t xml:space="preserve"> sitios, que incluyen alrededor de 40</w:t>
      </w:r>
      <w:r>
        <w:rPr>
          <w:rFonts w:eastAsia="Times New Roman"/>
          <w:color w:val="000000"/>
          <w:lang w:val="es-MX"/>
        </w:rPr>
        <w:t>,</w:t>
      </w:r>
      <w:r w:rsidRPr="002A046D">
        <w:rPr>
          <w:rFonts w:eastAsia="Times New Roman"/>
          <w:color w:val="000000"/>
          <w:lang w:val="es-MX"/>
        </w:rPr>
        <w:t xml:space="preserve">000 </w:t>
      </w:r>
      <w:r>
        <w:rPr>
          <w:rFonts w:eastAsia="Times New Roman"/>
          <w:color w:val="000000"/>
          <w:lang w:val="es-MX"/>
        </w:rPr>
        <w:t xml:space="preserve">(cuarenta mil) </w:t>
      </w:r>
      <w:r w:rsidRPr="002A046D">
        <w:rPr>
          <w:rFonts w:eastAsia="Times New Roman"/>
          <w:color w:val="000000"/>
          <w:lang w:val="es-MX"/>
        </w:rPr>
        <w:t>torres en los Estados Unidos</w:t>
      </w:r>
      <w:r w:rsidR="00D9045C">
        <w:rPr>
          <w:rFonts w:eastAsia="Times New Roman"/>
          <w:color w:val="000000"/>
          <w:lang w:val="es-MX"/>
        </w:rPr>
        <w:t xml:space="preserve"> de América; 58,000</w:t>
      </w:r>
      <w:r w:rsidR="006801D8">
        <w:rPr>
          <w:rFonts w:eastAsia="Times New Roman"/>
          <w:color w:val="000000"/>
          <w:lang w:val="es-MX"/>
        </w:rPr>
        <w:t xml:space="preserve"> (cincuenta y ocho mili)</w:t>
      </w:r>
      <w:r w:rsidR="00D9045C">
        <w:rPr>
          <w:rFonts w:eastAsia="Times New Roman"/>
          <w:color w:val="000000"/>
          <w:lang w:val="es-MX"/>
        </w:rPr>
        <w:t xml:space="preserve"> en Asia; 13,000 </w:t>
      </w:r>
      <w:r w:rsidR="006801D8">
        <w:rPr>
          <w:rFonts w:eastAsia="Times New Roman"/>
          <w:color w:val="000000"/>
          <w:lang w:val="es-MX"/>
        </w:rPr>
        <w:t xml:space="preserve">(trece mil) </w:t>
      </w:r>
      <w:r w:rsidR="00D9045C">
        <w:rPr>
          <w:rFonts w:eastAsia="Times New Roman"/>
          <w:color w:val="000000"/>
          <w:lang w:val="es-MX"/>
        </w:rPr>
        <w:t xml:space="preserve">en Europa, Medio </w:t>
      </w:r>
      <w:r w:rsidR="00860889">
        <w:rPr>
          <w:rFonts w:eastAsia="Times New Roman"/>
          <w:color w:val="000000"/>
          <w:lang w:val="es-MX"/>
        </w:rPr>
        <w:t>Oriente</w:t>
      </w:r>
      <w:r w:rsidR="00D9045C">
        <w:rPr>
          <w:rFonts w:eastAsia="Times New Roman"/>
          <w:color w:val="000000"/>
          <w:lang w:val="es-MX"/>
        </w:rPr>
        <w:t xml:space="preserve"> y África; y 34,000 </w:t>
      </w:r>
      <w:r w:rsidR="006801D8">
        <w:rPr>
          <w:rFonts w:eastAsia="Times New Roman"/>
          <w:color w:val="000000"/>
          <w:lang w:val="es-MX"/>
        </w:rPr>
        <w:t xml:space="preserve">(treinta y cuatro mil) </w:t>
      </w:r>
      <w:r w:rsidR="00D9045C">
        <w:rPr>
          <w:rFonts w:eastAsia="Times New Roman"/>
          <w:color w:val="000000"/>
          <w:lang w:val="es-MX"/>
        </w:rPr>
        <w:t>en Latinoamérica</w:t>
      </w:r>
      <w:r>
        <w:rPr>
          <w:rFonts w:eastAsia="Times New Roman"/>
          <w:color w:val="000000"/>
          <w:lang w:val="es-MX"/>
        </w:rPr>
        <w:t>.</w:t>
      </w:r>
      <w:r w:rsidRPr="002A046D">
        <w:rPr>
          <w:rFonts w:eastAsia="Times New Roman"/>
          <w:color w:val="000000"/>
          <w:vertAlign w:val="superscript"/>
          <w:lang w:val="es-MX"/>
        </w:rPr>
        <w:footnoteReference w:id="39"/>
      </w:r>
    </w:p>
    <w:p w14:paraId="75C8FFBF" w14:textId="3F005F36" w:rsidR="002A046D" w:rsidRDefault="009962C2" w:rsidP="00327869">
      <w:pPr>
        <w:rPr>
          <w:rFonts w:eastAsia="Times New Roman"/>
          <w:color w:val="000000"/>
          <w:highlight w:val="yellow"/>
        </w:rPr>
      </w:pPr>
      <w:r w:rsidRPr="00837E4D">
        <w:t>Los accionistas de A</w:t>
      </w:r>
      <w:r>
        <w:t>TC</w:t>
      </w:r>
      <w:r w:rsidRPr="00837E4D">
        <w:t xml:space="preserve"> con más del 5%</w:t>
      </w:r>
      <w:r>
        <w:t xml:space="preserve"> (cinco por ciento)</w:t>
      </w:r>
      <w:r w:rsidRPr="00837E4D">
        <w:t xml:space="preserve"> de </w:t>
      </w:r>
      <w:r w:rsidRPr="00DC1D95">
        <w:t>todas las acciones</w:t>
      </w:r>
      <w:r>
        <w:t xml:space="preserve"> representativas </w:t>
      </w:r>
      <w:r w:rsidRPr="00837E4D">
        <w:t xml:space="preserve">del capital social al </w:t>
      </w:r>
      <w:r w:rsidR="00D7623D">
        <w:t>treinta</w:t>
      </w:r>
      <w:r>
        <w:t xml:space="preserve"> de junio de </w:t>
      </w:r>
      <w:r w:rsidR="00D7623D">
        <w:t>dos mil diecisiete</w:t>
      </w:r>
      <w:r>
        <w:t xml:space="preserve"> </w:t>
      </w:r>
      <w:r w:rsidRPr="00837E4D">
        <w:t>se presentan en el siguiente cuadro. La estructura accionaria de A</w:t>
      </w:r>
      <w:r>
        <w:t>TC</w:t>
      </w:r>
      <w:r w:rsidRPr="00837E4D">
        <w:t xml:space="preserve"> no se modific</w:t>
      </w:r>
      <w:r>
        <w:t>ó</w:t>
      </w:r>
      <w:r w:rsidRPr="00837E4D">
        <w:t xml:space="preserve"> en virtud de la Operación</w:t>
      </w:r>
      <w:r>
        <w:t>.</w:t>
      </w:r>
    </w:p>
    <w:p w14:paraId="3B082D76" w14:textId="77777777" w:rsidR="009962C2" w:rsidRPr="00856CAF" w:rsidRDefault="009962C2" w:rsidP="003A0DA1">
      <w:pPr>
        <w:pStyle w:val="Sinespaciado"/>
        <w:keepNext/>
        <w:numPr>
          <w:ilvl w:val="0"/>
          <w:numId w:val="24"/>
        </w:numPr>
        <w:spacing w:before="120" w:after="120" w:line="276" w:lineRule="auto"/>
        <w:ind w:left="2268" w:right="48" w:hanging="1275"/>
        <w:jc w:val="both"/>
        <w:rPr>
          <w:rFonts w:ascii="ITC Avant Garde" w:hAnsi="ITC Avant Garde"/>
          <w:b/>
        </w:rPr>
      </w:pPr>
      <w:r w:rsidRPr="00856CAF">
        <w:rPr>
          <w:rFonts w:ascii="ITC Avant Garde" w:hAnsi="ITC Avant Garde"/>
          <w:b/>
        </w:rPr>
        <w:t xml:space="preserve">Accionistas de </w:t>
      </w:r>
      <w:r>
        <w:rPr>
          <w:rFonts w:ascii="ITC Avant Garde" w:hAnsi="ITC Avant Garde"/>
          <w:b/>
        </w:rPr>
        <w:t>ATC (junio, 2017)</w:t>
      </w:r>
    </w:p>
    <w:tbl>
      <w:tblPr>
        <w:tblW w:w="7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Cuadro 18."/>
        <w:tblDescription w:val="Señala quienes son los accionistas de ATC (junio, 2017)"/>
      </w:tblPr>
      <w:tblGrid>
        <w:gridCol w:w="5823"/>
        <w:gridCol w:w="1843"/>
      </w:tblGrid>
      <w:tr w:rsidR="009962C2" w:rsidRPr="0030526C" w14:paraId="34079143" w14:textId="77777777" w:rsidTr="009962C2">
        <w:trPr>
          <w:trHeight w:val="20"/>
          <w:tblHeader/>
          <w:jc w:val="center"/>
        </w:trPr>
        <w:tc>
          <w:tcPr>
            <w:tcW w:w="5823" w:type="dxa"/>
            <w:shd w:val="clear" w:color="auto" w:fill="92D050"/>
            <w:noWrap/>
            <w:vAlign w:val="center"/>
          </w:tcPr>
          <w:p w14:paraId="43C4D112" w14:textId="77777777" w:rsidR="009962C2" w:rsidRPr="009962C2" w:rsidRDefault="009962C2" w:rsidP="00D52D4F">
            <w:pPr>
              <w:spacing w:before="0" w:after="0"/>
              <w:jc w:val="center"/>
              <w:rPr>
                <w:rFonts w:eastAsia="Times New Roman"/>
                <w:b/>
                <w:color w:val="000000"/>
                <w:sz w:val="18"/>
                <w:szCs w:val="18"/>
              </w:rPr>
            </w:pPr>
            <w:r w:rsidRPr="009962C2">
              <w:rPr>
                <w:rFonts w:eastAsia="Times New Roman"/>
                <w:b/>
                <w:color w:val="000000"/>
                <w:sz w:val="18"/>
                <w:szCs w:val="18"/>
              </w:rPr>
              <w:t>Accionista</w:t>
            </w:r>
          </w:p>
        </w:tc>
        <w:tc>
          <w:tcPr>
            <w:tcW w:w="1843" w:type="dxa"/>
            <w:shd w:val="clear" w:color="auto" w:fill="92D050"/>
            <w:noWrap/>
            <w:vAlign w:val="center"/>
          </w:tcPr>
          <w:p w14:paraId="70958B22" w14:textId="77777777" w:rsidR="009962C2" w:rsidRPr="009962C2" w:rsidRDefault="009962C2" w:rsidP="00D52D4F">
            <w:pPr>
              <w:spacing w:before="0" w:after="0"/>
              <w:jc w:val="right"/>
              <w:rPr>
                <w:rFonts w:eastAsia="Times New Roman"/>
                <w:b/>
                <w:color w:val="000000"/>
                <w:sz w:val="18"/>
                <w:szCs w:val="18"/>
              </w:rPr>
            </w:pPr>
            <w:r w:rsidRPr="009962C2">
              <w:rPr>
                <w:rFonts w:eastAsia="Times New Roman"/>
                <w:b/>
                <w:color w:val="000000"/>
                <w:sz w:val="18"/>
                <w:szCs w:val="18"/>
              </w:rPr>
              <w:t>Participación (%)</w:t>
            </w:r>
          </w:p>
        </w:tc>
      </w:tr>
      <w:tr w:rsidR="009962C2" w:rsidRPr="0030526C" w14:paraId="34003A3C" w14:textId="77777777" w:rsidTr="009962C2">
        <w:trPr>
          <w:trHeight w:val="20"/>
          <w:jc w:val="center"/>
        </w:trPr>
        <w:tc>
          <w:tcPr>
            <w:tcW w:w="5823" w:type="dxa"/>
            <w:shd w:val="clear" w:color="auto" w:fill="auto"/>
            <w:noWrap/>
            <w:vAlign w:val="center"/>
          </w:tcPr>
          <w:p w14:paraId="215C7F33" w14:textId="77777777" w:rsidR="009962C2" w:rsidRPr="00B50ED1" w:rsidRDefault="009962C2" w:rsidP="009962C2">
            <w:pPr>
              <w:spacing w:before="0" w:after="0"/>
              <w:jc w:val="left"/>
              <w:rPr>
                <w:rFonts w:eastAsia="Times New Roman"/>
                <w:color w:val="000000"/>
                <w:sz w:val="18"/>
                <w:szCs w:val="18"/>
                <w:lang w:val="en-US"/>
              </w:rPr>
            </w:pPr>
            <w:r w:rsidRPr="00B50ED1">
              <w:rPr>
                <w:rFonts w:eastAsia="Times New Roman"/>
                <w:color w:val="000000"/>
                <w:sz w:val="18"/>
                <w:szCs w:val="18"/>
                <w:lang w:val="en-US"/>
              </w:rPr>
              <w:t>T. Rowe Price Associates, Inc.</w:t>
            </w:r>
          </w:p>
        </w:tc>
        <w:tc>
          <w:tcPr>
            <w:tcW w:w="1843" w:type="dxa"/>
            <w:shd w:val="clear" w:color="auto" w:fill="auto"/>
            <w:noWrap/>
            <w:vAlign w:val="center"/>
          </w:tcPr>
          <w:p w14:paraId="7488826B" w14:textId="77777777" w:rsidR="009962C2" w:rsidRPr="00713B16" w:rsidRDefault="009962C2" w:rsidP="009962C2">
            <w:pPr>
              <w:spacing w:before="0" w:after="0"/>
              <w:jc w:val="right"/>
              <w:rPr>
                <w:rFonts w:eastAsia="Times New Roman"/>
                <w:color w:val="000000"/>
                <w:sz w:val="18"/>
                <w:szCs w:val="18"/>
              </w:rPr>
            </w:pPr>
            <w:r>
              <w:rPr>
                <w:rFonts w:eastAsia="Times New Roman"/>
                <w:color w:val="000000"/>
                <w:sz w:val="18"/>
                <w:szCs w:val="18"/>
              </w:rPr>
              <w:t>5.95</w:t>
            </w:r>
          </w:p>
        </w:tc>
      </w:tr>
      <w:tr w:rsidR="009962C2" w:rsidRPr="0030526C" w14:paraId="2457D4F0" w14:textId="77777777" w:rsidTr="009962C2">
        <w:trPr>
          <w:trHeight w:val="20"/>
          <w:jc w:val="center"/>
        </w:trPr>
        <w:tc>
          <w:tcPr>
            <w:tcW w:w="5823" w:type="dxa"/>
            <w:shd w:val="clear" w:color="auto" w:fill="auto"/>
            <w:noWrap/>
            <w:vAlign w:val="center"/>
          </w:tcPr>
          <w:p w14:paraId="07C6D0EA" w14:textId="77777777" w:rsidR="009962C2" w:rsidRPr="00713B16" w:rsidRDefault="009962C2" w:rsidP="009962C2">
            <w:pPr>
              <w:spacing w:before="0" w:after="0"/>
              <w:jc w:val="left"/>
              <w:rPr>
                <w:rFonts w:eastAsia="Times New Roman"/>
                <w:color w:val="000000"/>
                <w:sz w:val="18"/>
                <w:szCs w:val="18"/>
              </w:rPr>
            </w:pPr>
            <w:r>
              <w:rPr>
                <w:rFonts w:eastAsia="Times New Roman"/>
                <w:color w:val="000000"/>
                <w:sz w:val="18"/>
                <w:szCs w:val="18"/>
              </w:rPr>
              <w:t>W</w:t>
            </w:r>
            <w:r w:rsidR="00383106">
              <w:rPr>
                <w:rFonts w:eastAsia="Times New Roman"/>
                <w:color w:val="000000"/>
                <w:sz w:val="18"/>
                <w:szCs w:val="18"/>
              </w:rPr>
              <w:t>e</w:t>
            </w:r>
            <w:r>
              <w:rPr>
                <w:rFonts w:eastAsia="Times New Roman"/>
                <w:color w:val="000000"/>
                <w:sz w:val="18"/>
                <w:szCs w:val="18"/>
              </w:rPr>
              <w:t>llington Management Company</w:t>
            </w:r>
          </w:p>
        </w:tc>
        <w:tc>
          <w:tcPr>
            <w:tcW w:w="1843" w:type="dxa"/>
            <w:shd w:val="clear" w:color="auto" w:fill="auto"/>
            <w:noWrap/>
            <w:vAlign w:val="center"/>
          </w:tcPr>
          <w:p w14:paraId="71494E90" w14:textId="77777777" w:rsidR="009962C2" w:rsidRPr="00713B16" w:rsidRDefault="009962C2" w:rsidP="009962C2">
            <w:pPr>
              <w:spacing w:before="0" w:after="0"/>
              <w:jc w:val="right"/>
              <w:rPr>
                <w:rFonts w:eastAsia="Times New Roman"/>
                <w:color w:val="000000"/>
                <w:sz w:val="18"/>
                <w:szCs w:val="18"/>
              </w:rPr>
            </w:pPr>
            <w:r>
              <w:rPr>
                <w:rFonts w:eastAsia="Times New Roman"/>
                <w:color w:val="000000"/>
                <w:sz w:val="18"/>
                <w:szCs w:val="18"/>
              </w:rPr>
              <w:t>5.09</w:t>
            </w:r>
          </w:p>
        </w:tc>
      </w:tr>
      <w:tr w:rsidR="009962C2" w:rsidRPr="0030526C" w14:paraId="6E541FAB" w14:textId="77777777" w:rsidTr="009962C2">
        <w:trPr>
          <w:trHeight w:val="20"/>
          <w:jc w:val="center"/>
        </w:trPr>
        <w:tc>
          <w:tcPr>
            <w:tcW w:w="5823" w:type="dxa"/>
            <w:shd w:val="clear" w:color="auto" w:fill="auto"/>
            <w:noWrap/>
            <w:vAlign w:val="center"/>
          </w:tcPr>
          <w:p w14:paraId="5890C0F2" w14:textId="77777777" w:rsidR="009962C2" w:rsidRPr="00713B16" w:rsidRDefault="009962C2" w:rsidP="009962C2">
            <w:pPr>
              <w:spacing w:before="0" w:after="0"/>
              <w:jc w:val="left"/>
              <w:rPr>
                <w:rFonts w:eastAsia="Times New Roman"/>
                <w:color w:val="000000"/>
                <w:sz w:val="18"/>
                <w:szCs w:val="18"/>
              </w:rPr>
            </w:pPr>
            <w:proofErr w:type="spellStart"/>
            <w:r>
              <w:rPr>
                <w:rFonts w:eastAsia="Times New Roman"/>
                <w:color w:val="000000"/>
                <w:sz w:val="18"/>
                <w:szCs w:val="18"/>
              </w:rPr>
              <w:t>The</w:t>
            </w:r>
            <w:proofErr w:type="spellEnd"/>
            <w:r>
              <w:rPr>
                <w:rFonts w:eastAsia="Times New Roman"/>
                <w:color w:val="000000"/>
                <w:sz w:val="18"/>
                <w:szCs w:val="18"/>
              </w:rPr>
              <w:t xml:space="preserve"> </w:t>
            </w:r>
            <w:proofErr w:type="spellStart"/>
            <w:r>
              <w:rPr>
                <w:rFonts w:eastAsia="Times New Roman"/>
                <w:color w:val="000000"/>
                <w:sz w:val="18"/>
                <w:szCs w:val="18"/>
              </w:rPr>
              <w:t>Vanguard</w:t>
            </w:r>
            <w:proofErr w:type="spellEnd"/>
            <w:r>
              <w:rPr>
                <w:rFonts w:eastAsia="Times New Roman"/>
                <w:color w:val="000000"/>
                <w:sz w:val="18"/>
                <w:szCs w:val="18"/>
              </w:rPr>
              <w:t xml:space="preserve"> </w:t>
            </w:r>
            <w:proofErr w:type="spellStart"/>
            <w:r>
              <w:rPr>
                <w:rFonts w:eastAsia="Times New Roman"/>
                <w:color w:val="000000"/>
                <w:sz w:val="18"/>
                <w:szCs w:val="18"/>
              </w:rPr>
              <w:t>Group</w:t>
            </w:r>
            <w:proofErr w:type="spellEnd"/>
          </w:p>
        </w:tc>
        <w:tc>
          <w:tcPr>
            <w:tcW w:w="1843" w:type="dxa"/>
            <w:shd w:val="clear" w:color="auto" w:fill="auto"/>
            <w:noWrap/>
            <w:vAlign w:val="center"/>
          </w:tcPr>
          <w:p w14:paraId="4446E1E0" w14:textId="77777777" w:rsidR="009962C2" w:rsidRPr="00713B16" w:rsidRDefault="009962C2" w:rsidP="009962C2">
            <w:pPr>
              <w:spacing w:before="0" w:after="0"/>
              <w:jc w:val="right"/>
              <w:rPr>
                <w:rFonts w:eastAsia="Times New Roman"/>
                <w:color w:val="000000"/>
                <w:sz w:val="18"/>
                <w:szCs w:val="18"/>
              </w:rPr>
            </w:pPr>
            <w:r>
              <w:rPr>
                <w:rFonts w:eastAsia="Times New Roman"/>
                <w:color w:val="000000"/>
                <w:sz w:val="18"/>
                <w:szCs w:val="18"/>
              </w:rPr>
              <w:t>6.63</w:t>
            </w:r>
          </w:p>
        </w:tc>
      </w:tr>
      <w:tr w:rsidR="009962C2" w:rsidRPr="0030526C" w14:paraId="7E96458E" w14:textId="77777777" w:rsidTr="009962C2">
        <w:trPr>
          <w:trHeight w:val="20"/>
          <w:jc w:val="center"/>
        </w:trPr>
        <w:tc>
          <w:tcPr>
            <w:tcW w:w="5823" w:type="dxa"/>
            <w:shd w:val="clear" w:color="auto" w:fill="auto"/>
            <w:noWrap/>
            <w:vAlign w:val="center"/>
          </w:tcPr>
          <w:p w14:paraId="2C4FE666" w14:textId="77777777" w:rsidR="009962C2" w:rsidRDefault="009962C2" w:rsidP="009962C2">
            <w:pPr>
              <w:spacing w:before="0" w:after="0"/>
              <w:jc w:val="left"/>
              <w:rPr>
                <w:rFonts w:eastAsia="Times New Roman"/>
                <w:color w:val="000000"/>
                <w:sz w:val="18"/>
                <w:szCs w:val="18"/>
              </w:rPr>
            </w:pPr>
            <w:r>
              <w:rPr>
                <w:rFonts w:eastAsia="Times New Roman"/>
                <w:color w:val="000000"/>
                <w:sz w:val="18"/>
                <w:szCs w:val="18"/>
              </w:rPr>
              <w:t>Otros accionistas con menos del 5% de su capital social</w:t>
            </w:r>
          </w:p>
        </w:tc>
        <w:tc>
          <w:tcPr>
            <w:tcW w:w="1843" w:type="dxa"/>
            <w:shd w:val="clear" w:color="auto" w:fill="auto"/>
            <w:noWrap/>
            <w:vAlign w:val="center"/>
          </w:tcPr>
          <w:p w14:paraId="10469386" w14:textId="77777777" w:rsidR="009962C2" w:rsidRDefault="009962C2" w:rsidP="009962C2">
            <w:pPr>
              <w:spacing w:before="0" w:after="0"/>
              <w:jc w:val="right"/>
              <w:rPr>
                <w:rFonts w:eastAsia="Times New Roman"/>
                <w:color w:val="000000"/>
                <w:sz w:val="18"/>
                <w:szCs w:val="18"/>
              </w:rPr>
            </w:pPr>
            <w:r>
              <w:rPr>
                <w:rFonts w:eastAsia="Times New Roman"/>
                <w:color w:val="000000"/>
                <w:sz w:val="18"/>
                <w:szCs w:val="18"/>
              </w:rPr>
              <w:t>82.33</w:t>
            </w:r>
          </w:p>
        </w:tc>
      </w:tr>
      <w:tr w:rsidR="009962C2" w:rsidRPr="009962C2" w14:paraId="3C0FF3E1" w14:textId="77777777" w:rsidTr="009962C2">
        <w:trPr>
          <w:trHeight w:val="20"/>
          <w:jc w:val="center"/>
        </w:trPr>
        <w:tc>
          <w:tcPr>
            <w:tcW w:w="5823" w:type="dxa"/>
            <w:shd w:val="clear" w:color="auto" w:fill="auto"/>
            <w:noWrap/>
            <w:vAlign w:val="center"/>
          </w:tcPr>
          <w:p w14:paraId="65F75C88" w14:textId="77777777" w:rsidR="009962C2" w:rsidRPr="009962C2" w:rsidRDefault="009962C2" w:rsidP="009962C2">
            <w:pPr>
              <w:spacing w:before="0" w:after="0"/>
              <w:jc w:val="left"/>
              <w:rPr>
                <w:rFonts w:eastAsia="Times New Roman"/>
                <w:b/>
                <w:color w:val="000000"/>
                <w:sz w:val="18"/>
                <w:szCs w:val="18"/>
              </w:rPr>
            </w:pPr>
            <w:r w:rsidRPr="009962C2">
              <w:rPr>
                <w:rFonts w:eastAsia="Times New Roman"/>
                <w:b/>
                <w:color w:val="000000"/>
                <w:sz w:val="18"/>
                <w:szCs w:val="18"/>
              </w:rPr>
              <w:t>TOTAL</w:t>
            </w:r>
          </w:p>
        </w:tc>
        <w:tc>
          <w:tcPr>
            <w:tcW w:w="1843" w:type="dxa"/>
            <w:shd w:val="clear" w:color="auto" w:fill="auto"/>
            <w:noWrap/>
            <w:vAlign w:val="center"/>
          </w:tcPr>
          <w:p w14:paraId="5DA5C8A9" w14:textId="77777777" w:rsidR="009962C2" w:rsidRPr="009962C2" w:rsidRDefault="009962C2" w:rsidP="009962C2">
            <w:pPr>
              <w:spacing w:before="0" w:after="0"/>
              <w:jc w:val="right"/>
              <w:rPr>
                <w:rFonts w:eastAsia="Times New Roman"/>
                <w:b/>
                <w:color w:val="000000"/>
                <w:sz w:val="18"/>
                <w:szCs w:val="18"/>
              </w:rPr>
            </w:pPr>
            <w:r w:rsidRPr="009962C2">
              <w:rPr>
                <w:rFonts w:eastAsia="Times New Roman"/>
                <w:b/>
                <w:color w:val="000000"/>
                <w:sz w:val="18"/>
                <w:szCs w:val="18"/>
              </w:rPr>
              <w:t>100.00</w:t>
            </w:r>
          </w:p>
        </w:tc>
      </w:tr>
    </w:tbl>
    <w:p w14:paraId="4B0BDB93" w14:textId="77777777" w:rsidR="009962C2" w:rsidRDefault="009962C2" w:rsidP="009962C2">
      <w:pPr>
        <w:pStyle w:val="Notaalpie"/>
        <w:ind w:left="1418" w:right="708"/>
        <w:rPr>
          <w:rFonts w:eastAsia="Calibri" w:cs="Times New Roman"/>
          <w:sz w:val="16"/>
        </w:rPr>
      </w:pPr>
      <w:r w:rsidRPr="00C566B7">
        <w:rPr>
          <w:rFonts w:eastAsia="Calibri" w:cs="Times New Roman"/>
          <w:sz w:val="16"/>
        </w:rPr>
        <w:t xml:space="preserve">Fuente: Elaboración propia con información contenida en Foja </w:t>
      </w:r>
      <w:r w:rsidR="00C566B7" w:rsidRPr="00C566B7">
        <w:rPr>
          <w:rFonts w:eastAsia="Calibri" w:cs="Times New Roman"/>
          <w:sz w:val="16"/>
        </w:rPr>
        <w:t>716</w:t>
      </w:r>
      <w:r w:rsidRPr="00C566B7">
        <w:rPr>
          <w:rFonts w:eastAsia="Calibri" w:cs="Times New Roman"/>
          <w:sz w:val="16"/>
        </w:rPr>
        <w:t xml:space="preserve"> del Expediente.</w:t>
      </w:r>
    </w:p>
    <w:p w14:paraId="367368B4" w14:textId="77777777" w:rsidR="00014EAD" w:rsidRPr="004B1E7C" w:rsidRDefault="00014EAD" w:rsidP="004B1E7C">
      <w:pPr>
        <w:rPr>
          <w:b/>
        </w:rPr>
      </w:pPr>
      <w:bookmarkStart w:id="49" w:name="_Toc511061420"/>
      <w:r w:rsidRPr="004B1E7C">
        <w:rPr>
          <w:b/>
        </w:rPr>
        <w:t>Firmas de inversión que son accionistas en ATC</w:t>
      </w:r>
      <w:bookmarkEnd w:id="49"/>
    </w:p>
    <w:p w14:paraId="04849E9B" w14:textId="77777777" w:rsidR="00014EAD" w:rsidRDefault="003F1983" w:rsidP="0070740D">
      <w:r>
        <w:t xml:space="preserve">De acuerdo con la información disponible, los accionistas de ATC con más del 5% (cinco por ciento): </w:t>
      </w:r>
    </w:p>
    <w:p w14:paraId="6EC55249" w14:textId="77777777" w:rsidR="00014EAD" w:rsidRPr="00955BA9" w:rsidRDefault="003F1983" w:rsidP="0010136E">
      <w:pPr>
        <w:pStyle w:val="Prrafodelista"/>
        <w:numPr>
          <w:ilvl w:val="0"/>
          <w:numId w:val="53"/>
        </w:numPr>
        <w:ind w:left="714" w:hanging="357"/>
        <w:contextualSpacing w:val="0"/>
        <w:rPr>
          <w:lang w:val="en-US"/>
        </w:rPr>
      </w:pPr>
      <w:r w:rsidRPr="00955BA9">
        <w:rPr>
          <w:lang w:val="en-US"/>
        </w:rPr>
        <w:t xml:space="preserve">T. Rowe Price Associates, Inc., </w:t>
      </w:r>
    </w:p>
    <w:p w14:paraId="22F29A48" w14:textId="77777777" w:rsidR="00014EAD" w:rsidRDefault="003F1983" w:rsidP="0010136E">
      <w:pPr>
        <w:pStyle w:val="Prrafodelista"/>
        <w:numPr>
          <w:ilvl w:val="0"/>
          <w:numId w:val="53"/>
        </w:numPr>
        <w:ind w:left="714" w:hanging="357"/>
        <w:contextualSpacing w:val="0"/>
      </w:pPr>
      <w:r w:rsidRPr="003F1983">
        <w:t>Wellington Management Company</w:t>
      </w:r>
      <w:r w:rsidR="00014EAD">
        <w:t>,</w:t>
      </w:r>
      <w:r w:rsidRPr="003F1983">
        <w:t xml:space="preserve"> y </w:t>
      </w:r>
    </w:p>
    <w:p w14:paraId="50157507" w14:textId="77777777" w:rsidR="00014EAD" w:rsidRDefault="003F1983" w:rsidP="0010136E">
      <w:pPr>
        <w:pStyle w:val="Prrafodelista"/>
        <w:numPr>
          <w:ilvl w:val="0"/>
          <w:numId w:val="53"/>
        </w:numPr>
        <w:ind w:left="714" w:hanging="357"/>
        <w:contextualSpacing w:val="0"/>
      </w:pPr>
      <w:proofErr w:type="spellStart"/>
      <w:r w:rsidRPr="003F1983">
        <w:t>The</w:t>
      </w:r>
      <w:proofErr w:type="spellEnd"/>
      <w:r w:rsidRPr="003F1983">
        <w:t xml:space="preserve"> </w:t>
      </w:r>
      <w:proofErr w:type="spellStart"/>
      <w:r w:rsidRPr="003F1983">
        <w:t>Vanguard</w:t>
      </w:r>
      <w:proofErr w:type="spellEnd"/>
      <w:r w:rsidRPr="003F1983">
        <w:t xml:space="preserve"> </w:t>
      </w:r>
      <w:proofErr w:type="spellStart"/>
      <w:r w:rsidRPr="003F1983">
        <w:t>Group</w:t>
      </w:r>
      <w:proofErr w:type="spellEnd"/>
      <w:r w:rsidR="00014EAD">
        <w:t xml:space="preserve">. </w:t>
      </w:r>
    </w:p>
    <w:p w14:paraId="62376236" w14:textId="77777777" w:rsidR="003F1983" w:rsidRDefault="00014EAD" w:rsidP="009D3CF5">
      <w:r>
        <w:lastRenderedPageBreak/>
        <w:t xml:space="preserve">Se trata de </w:t>
      </w:r>
      <w:r w:rsidR="003F1983" w:rsidRPr="003F1983">
        <w:t xml:space="preserve">firmas de inversión globales </w:t>
      </w:r>
      <w:r w:rsidR="001F28B1">
        <w:t xml:space="preserve">cuya participación en ATC no les </w:t>
      </w:r>
      <w:r w:rsidR="0093190F">
        <w:t xml:space="preserve">permite controlar ni les </w:t>
      </w:r>
      <w:r w:rsidR="001F28B1">
        <w:t xml:space="preserve">otorga la facultad </w:t>
      </w:r>
      <w:r w:rsidR="0093190F" w:rsidRPr="007B77D1">
        <w:t>para nombrar a los miembros del consejo de administración de AT</w:t>
      </w:r>
      <w:r w:rsidR="0093190F">
        <w:t>C</w:t>
      </w:r>
      <w:r w:rsidR="0093190F" w:rsidRPr="007B77D1">
        <w:t>, ni a sus ejecutivos y directivos</w:t>
      </w:r>
      <w:r w:rsidR="001F28B1">
        <w:t>.</w:t>
      </w:r>
    </w:p>
    <w:p w14:paraId="01BF9533" w14:textId="07572FB2" w:rsidR="006E78DA" w:rsidRDefault="006E78DA" w:rsidP="006E78DA">
      <w:r>
        <w:t>En efecto, de acuerdo con hechos notorios para el Instituto,</w:t>
      </w:r>
      <w:r w:rsidRPr="006E78DA">
        <w:rPr>
          <w:vertAlign w:val="superscript"/>
        </w:rPr>
        <w:footnoteReference w:id="40"/>
      </w:r>
      <w:r>
        <w:t xml:space="preserve"> </w:t>
      </w:r>
      <w:proofErr w:type="spellStart"/>
      <w:r>
        <w:t>The</w:t>
      </w:r>
      <w:proofErr w:type="spellEnd"/>
      <w:r>
        <w:t xml:space="preserve"> </w:t>
      </w:r>
      <w:proofErr w:type="spellStart"/>
      <w:r>
        <w:t>Vanguard</w:t>
      </w:r>
      <w:proofErr w:type="spellEnd"/>
      <w:r>
        <w:t xml:space="preserve"> </w:t>
      </w:r>
      <w:proofErr w:type="spellStart"/>
      <w:r>
        <w:t>Group</w:t>
      </w:r>
      <w:proofErr w:type="spellEnd"/>
      <w:r>
        <w:t xml:space="preserve"> es un fondo de inversión que es accionista minoritario en sociedades que participan directa o indirectamente en la provisión de servicios de telecomunicaciones y/o radiodifusión en México.</w:t>
      </w:r>
      <w:r>
        <w:rPr>
          <w:rStyle w:val="Refdenotaalpie"/>
        </w:rPr>
        <w:footnoteReference w:id="41"/>
      </w:r>
      <w:r>
        <w:t xml:space="preserve"> No obstante, las participaciones accionarias de ese fondo de inversión en las sociedades identificadas no le otorgan la capacidad de controlar, ni la facultad para nombrar a miembros de órganos de decisión, o a directivos de esa sociedad.</w:t>
      </w:r>
    </w:p>
    <w:p w14:paraId="2DCB885D" w14:textId="77777777" w:rsidR="003F2BCB" w:rsidRPr="004B1E7C" w:rsidRDefault="003F2BCB" w:rsidP="004B1E7C">
      <w:pPr>
        <w:rPr>
          <w:b/>
        </w:rPr>
      </w:pPr>
      <w:bookmarkStart w:id="50" w:name="_Toc511061421"/>
      <w:r w:rsidRPr="004B1E7C">
        <w:rPr>
          <w:b/>
        </w:rPr>
        <w:t>Estructura de control de los Compradores</w:t>
      </w:r>
      <w:bookmarkEnd w:id="50"/>
    </w:p>
    <w:p w14:paraId="743B3286" w14:textId="77777777" w:rsidR="0070740D" w:rsidRDefault="006E78DA" w:rsidP="0070740D">
      <w:r>
        <w:t xml:space="preserve">Así, se concluye que </w:t>
      </w:r>
      <w:r w:rsidR="00430C8D" w:rsidRPr="00430C8D">
        <w:t xml:space="preserve">ATC es el controlador en </w:t>
      </w:r>
      <w:r w:rsidR="0070740D" w:rsidRPr="00430C8D">
        <w:t>última instancia</w:t>
      </w:r>
      <w:r w:rsidR="00430C8D" w:rsidRPr="00430C8D">
        <w:t xml:space="preserve"> de los Compradores</w:t>
      </w:r>
      <w:r w:rsidR="0070740D" w:rsidRPr="00430C8D">
        <w:t>, cuyas estructuras accionarias se resumen en la siguiente figura.</w:t>
      </w:r>
    </w:p>
    <w:p w14:paraId="1E0E2E40" w14:textId="069841E8" w:rsidR="00600D55" w:rsidRDefault="0070740D" w:rsidP="003A0DA1">
      <w:pPr>
        <w:pStyle w:val="Figura"/>
        <w:spacing w:after="120"/>
        <w:ind w:left="1276" w:right="45" w:hanging="992"/>
        <w:jc w:val="both"/>
        <w:rPr>
          <w:b/>
          <w:sz w:val="22"/>
          <w:szCs w:val="20"/>
        </w:rPr>
      </w:pPr>
      <w:r w:rsidRPr="00383106">
        <w:rPr>
          <w:b/>
          <w:sz w:val="22"/>
          <w:szCs w:val="20"/>
        </w:rPr>
        <w:lastRenderedPageBreak/>
        <w:t xml:space="preserve">Estructura de control de </w:t>
      </w:r>
      <w:r w:rsidR="00383106" w:rsidRPr="00383106">
        <w:rPr>
          <w:b/>
          <w:sz w:val="22"/>
          <w:szCs w:val="20"/>
        </w:rPr>
        <w:t xml:space="preserve">ATC y </w:t>
      </w:r>
      <w:r w:rsidR="00AB5345">
        <w:rPr>
          <w:b/>
          <w:sz w:val="22"/>
          <w:szCs w:val="20"/>
        </w:rPr>
        <w:t>subsidiarias</w:t>
      </w:r>
      <w:r w:rsidR="003A0DA1">
        <w:rPr>
          <w:b/>
          <w:sz w:val="22"/>
          <w:szCs w:val="20"/>
        </w:rPr>
        <w:t xml:space="preserve"> (después de la Operación)</w:t>
      </w:r>
    </w:p>
    <w:p w14:paraId="21111290" w14:textId="434567C2" w:rsidR="0070740D" w:rsidRDefault="004C1ADD" w:rsidP="003A0DA1">
      <w:pPr>
        <w:spacing w:before="0" w:after="0"/>
        <w:jc w:val="center"/>
      </w:pPr>
      <w:r>
        <w:rPr>
          <w:noProof/>
          <w:lang w:val="es-MX"/>
        </w:rPr>
        <w:drawing>
          <wp:inline distT="0" distB="0" distL="0" distR="0" wp14:anchorId="1C70496C" wp14:editId="1A0C4877">
            <wp:extent cx="5971540" cy="4160520"/>
            <wp:effectExtent l="0" t="0" r="0" b="0"/>
            <wp:docPr id="18" name="Imagen 18" descr="Estructura de control de ATC y subsidiarias (después de la Operación)" title="Figu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1540" cy="4160520"/>
                    </a:xfrm>
                    <a:prstGeom prst="rect">
                      <a:avLst/>
                    </a:prstGeom>
                    <a:noFill/>
                    <a:ln>
                      <a:noFill/>
                    </a:ln>
                  </pic:spPr>
                </pic:pic>
              </a:graphicData>
            </a:graphic>
          </wp:inline>
        </w:drawing>
      </w:r>
    </w:p>
    <w:p w14:paraId="2701D277" w14:textId="77777777" w:rsidR="0070740D" w:rsidRPr="00600D55" w:rsidRDefault="0070740D" w:rsidP="003A0DA1">
      <w:pPr>
        <w:pStyle w:val="Notaalpie"/>
        <w:ind w:left="1418" w:right="708"/>
        <w:rPr>
          <w:rFonts w:eastAsia="Calibri" w:cs="Times New Roman"/>
          <w:sz w:val="16"/>
        </w:rPr>
      </w:pPr>
      <w:r w:rsidRPr="00600D55">
        <w:rPr>
          <w:rFonts w:eastAsia="Calibri" w:cs="Times New Roman"/>
          <w:sz w:val="16"/>
        </w:rPr>
        <w:t>Fuente: Elaboración propia con información contenida en el Expediente.</w:t>
      </w:r>
    </w:p>
    <w:p w14:paraId="26541F7E" w14:textId="2B83EEEB" w:rsidR="005B397C" w:rsidRPr="001C6B1E" w:rsidRDefault="005B397C" w:rsidP="001C6B1E">
      <w:pPr>
        <w:pStyle w:val="Prrafodelista"/>
        <w:spacing w:after="120" w:line="276" w:lineRule="auto"/>
        <w:ind w:left="0"/>
        <w:contextualSpacing w:val="0"/>
        <w:rPr>
          <w:rFonts w:eastAsia="Times New Roman"/>
          <w:color w:val="000000"/>
          <w:lang w:val="es-MX"/>
        </w:rPr>
      </w:pPr>
      <w:r w:rsidRPr="001C6B1E">
        <w:rPr>
          <w:rFonts w:eastAsia="Times New Roman"/>
          <w:color w:val="000000"/>
          <w:lang w:val="es-MX"/>
        </w:rPr>
        <w:t>Las principales subsidiaras de ATC, incluyendo a los Compradores</w:t>
      </w:r>
      <w:r w:rsidR="00EE34BA">
        <w:rPr>
          <w:rFonts w:eastAsia="Times New Roman"/>
          <w:color w:val="000000"/>
          <w:lang w:val="es-MX"/>
        </w:rPr>
        <w:t xml:space="preserve"> y las Sociedades Adquiridas</w:t>
      </w:r>
      <w:r w:rsidRPr="001C6B1E">
        <w:rPr>
          <w:rFonts w:eastAsia="Times New Roman"/>
          <w:color w:val="000000"/>
          <w:lang w:val="es-MX"/>
        </w:rPr>
        <w:t>, se presentan en el siguiente cuadro.</w:t>
      </w:r>
    </w:p>
    <w:p w14:paraId="0448F660" w14:textId="03FC889D" w:rsidR="005B397C" w:rsidRPr="001C6B1E" w:rsidRDefault="005B397C" w:rsidP="003A0DA1">
      <w:pPr>
        <w:pStyle w:val="Sinespaciado"/>
        <w:keepNext/>
        <w:numPr>
          <w:ilvl w:val="0"/>
          <w:numId w:val="24"/>
        </w:numPr>
        <w:spacing w:before="120" w:after="120" w:line="276" w:lineRule="auto"/>
        <w:ind w:left="1560" w:right="48" w:hanging="1275"/>
        <w:jc w:val="both"/>
        <w:rPr>
          <w:rFonts w:ascii="ITC Avant Garde" w:hAnsi="ITC Avant Garde"/>
          <w:b/>
        </w:rPr>
      </w:pPr>
      <w:bookmarkStart w:id="51" w:name="_Ref472956551"/>
      <w:r w:rsidRPr="001C6B1E">
        <w:rPr>
          <w:rFonts w:ascii="ITC Avant Garde" w:hAnsi="ITC Avant Garde"/>
          <w:b/>
        </w:rPr>
        <w:t xml:space="preserve">Principales subsidiarias directas e indirectas de </w:t>
      </w:r>
      <w:bookmarkEnd w:id="51"/>
      <w:r w:rsidRPr="001C6B1E">
        <w:rPr>
          <w:rFonts w:ascii="ITC Avant Garde" w:hAnsi="ITC Avant Garde"/>
          <w:b/>
        </w:rPr>
        <w:t>ATC</w:t>
      </w:r>
      <w:r w:rsidR="00EE34BA">
        <w:rPr>
          <w:rFonts w:ascii="ITC Avant Garde" w:hAnsi="ITC Avant Garde"/>
          <w:b/>
        </w:rPr>
        <w:t xml:space="preserve"> (</w:t>
      </w:r>
      <w:r w:rsidR="002A538A">
        <w:rPr>
          <w:rFonts w:ascii="ITC Avant Garde" w:hAnsi="ITC Avant Garde"/>
          <w:b/>
        </w:rPr>
        <w:t>después de la Operación</w:t>
      </w:r>
      <w:r w:rsidR="00EE34BA">
        <w:rPr>
          <w:rFonts w:ascii="ITC Avant Garde" w:hAnsi="ITC Avant Garde"/>
          <w:b/>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Cuadro 19."/>
        <w:tblDescription w:val="Menciona quienes son las principales subsidiarias directas e indirectas de ATC (después de la Operación)"/>
      </w:tblPr>
      <w:tblGrid>
        <w:gridCol w:w="2547"/>
        <w:gridCol w:w="3260"/>
        <w:gridCol w:w="3402"/>
      </w:tblGrid>
      <w:tr w:rsidR="005B397C" w:rsidRPr="009127A8" w14:paraId="7F63AD27" w14:textId="77777777" w:rsidTr="00133294">
        <w:trPr>
          <w:trHeight w:val="360"/>
          <w:tblHeader/>
        </w:trPr>
        <w:tc>
          <w:tcPr>
            <w:tcW w:w="2547" w:type="dxa"/>
            <w:shd w:val="clear" w:color="auto" w:fill="92D050"/>
            <w:vAlign w:val="center"/>
            <w:hideMark/>
          </w:tcPr>
          <w:p w14:paraId="7E206CEE" w14:textId="364DF78C" w:rsidR="005B397C" w:rsidRPr="009127A8" w:rsidRDefault="005B397C" w:rsidP="005B397C">
            <w:pPr>
              <w:spacing w:before="0" w:after="0"/>
              <w:jc w:val="center"/>
              <w:rPr>
                <w:rFonts w:eastAsia="Times New Roman"/>
                <w:b/>
                <w:sz w:val="18"/>
                <w:szCs w:val="18"/>
              </w:rPr>
            </w:pPr>
            <w:r w:rsidRPr="009127A8">
              <w:rPr>
                <w:b/>
                <w:sz w:val="18"/>
                <w:szCs w:val="18"/>
              </w:rPr>
              <w:t>Denominación o razón social</w:t>
            </w:r>
          </w:p>
        </w:tc>
        <w:tc>
          <w:tcPr>
            <w:tcW w:w="3260" w:type="dxa"/>
            <w:shd w:val="clear" w:color="auto" w:fill="92D050"/>
            <w:vAlign w:val="center"/>
            <w:hideMark/>
          </w:tcPr>
          <w:p w14:paraId="3CFFDF2C" w14:textId="77777777" w:rsidR="005B397C" w:rsidRPr="009127A8" w:rsidRDefault="005B397C" w:rsidP="005B397C">
            <w:pPr>
              <w:spacing w:before="0" w:after="0"/>
              <w:jc w:val="center"/>
              <w:rPr>
                <w:rFonts w:eastAsia="Times New Roman"/>
                <w:b/>
                <w:sz w:val="18"/>
                <w:szCs w:val="18"/>
              </w:rPr>
            </w:pPr>
            <w:r w:rsidRPr="009127A8">
              <w:rPr>
                <w:rFonts w:eastAsia="Times New Roman"/>
                <w:b/>
                <w:sz w:val="18"/>
                <w:szCs w:val="18"/>
              </w:rPr>
              <w:t>Accionistas</w:t>
            </w:r>
          </w:p>
        </w:tc>
        <w:tc>
          <w:tcPr>
            <w:tcW w:w="3402" w:type="dxa"/>
            <w:shd w:val="clear" w:color="auto" w:fill="92D050"/>
            <w:vAlign w:val="center"/>
            <w:hideMark/>
          </w:tcPr>
          <w:p w14:paraId="3F216670" w14:textId="77777777" w:rsidR="005B397C" w:rsidRPr="009127A8" w:rsidRDefault="005B397C" w:rsidP="00383106">
            <w:pPr>
              <w:spacing w:before="0" w:after="0"/>
              <w:jc w:val="center"/>
              <w:rPr>
                <w:rFonts w:eastAsia="Times New Roman"/>
                <w:b/>
                <w:sz w:val="18"/>
                <w:szCs w:val="18"/>
              </w:rPr>
            </w:pPr>
            <w:r w:rsidRPr="009127A8">
              <w:rPr>
                <w:rFonts w:eastAsia="Times New Roman"/>
                <w:b/>
                <w:sz w:val="18"/>
                <w:szCs w:val="18"/>
              </w:rPr>
              <w:t>Participación (%)</w:t>
            </w:r>
          </w:p>
        </w:tc>
      </w:tr>
      <w:tr w:rsidR="00721CCE" w:rsidRPr="0052179C" w14:paraId="7D1E4C32" w14:textId="77777777" w:rsidTr="00133294">
        <w:tc>
          <w:tcPr>
            <w:tcW w:w="2547" w:type="dxa"/>
            <w:vMerge w:val="restart"/>
            <w:vAlign w:val="center"/>
          </w:tcPr>
          <w:p w14:paraId="2DF6A289" w14:textId="77777777" w:rsidR="00721CCE" w:rsidRPr="00920D4E" w:rsidRDefault="00721CCE" w:rsidP="00721CCE">
            <w:pPr>
              <w:spacing w:before="0" w:after="0"/>
              <w:jc w:val="left"/>
              <w:rPr>
                <w:rFonts w:eastAsia="Times New Roman"/>
                <w:color w:val="000000"/>
                <w:sz w:val="18"/>
                <w:szCs w:val="18"/>
              </w:rPr>
            </w:pPr>
            <w:r w:rsidRPr="00920D4E">
              <w:rPr>
                <w:rFonts w:eastAsia="Times New Roman"/>
                <w:color w:val="000000"/>
                <w:sz w:val="18"/>
                <w:szCs w:val="18"/>
              </w:rPr>
              <w:t>CFCA</w:t>
            </w:r>
          </w:p>
        </w:tc>
        <w:tc>
          <w:tcPr>
            <w:tcW w:w="3260" w:type="dxa"/>
            <w:tcBorders>
              <w:top w:val="single" w:sz="4" w:space="0" w:color="auto"/>
              <w:left w:val="single" w:sz="4" w:space="0" w:color="auto"/>
              <w:bottom w:val="single" w:sz="4" w:space="0" w:color="auto"/>
              <w:right w:val="single" w:sz="4" w:space="0" w:color="auto"/>
            </w:tcBorders>
            <w:vAlign w:val="center"/>
          </w:tcPr>
          <w:p w14:paraId="69C634DD" w14:textId="77777777" w:rsidR="00721CCE" w:rsidRPr="0044733D" w:rsidRDefault="00721CCE" w:rsidP="00721CCE">
            <w:pPr>
              <w:spacing w:before="0" w:after="0"/>
              <w:jc w:val="center"/>
              <w:rPr>
                <w:rFonts w:eastAsia="Times New Roman"/>
                <w:color w:val="000000"/>
                <w:sz w:val="18"/>
                <w:szCs w:val="18"/>
              </w:rPr>
            </w:pPr>
            <w:r w:rsidRPr="0044733D">
              <w:rPr>
                <w:rFonts w:eastAsia="Times New Roman"/>
                <w:color w:val="000000"/>
                <w:sz w:val="18"/>
                <w:szCs w:val="18"/>
              </w:rPr>
              <w:t>ATC HFM</w:t>
            </w:r>
          </w:p>
        </w:tc>
        <w:tc>
          <w:tcPr>
            <w:tcW w:w="3402" w:type="dxa"/>
            <w:tcBorders>
              <w:top w:val="single" w:sz="4" w:space="0" w:color="auto"/>
              <w:left w:val="single" w:sz="4" w:space="0" w:color="auto"/>
              <w:bottom w:val="single" w:sz="4" w:space="0" w:color="auto"/>
              <w:right w:val="single" w:sz="4" w:space="0" w:color="auto"/>
            </w:tcBorders>
          </w:tcPr>
          <w:p w14:paraId="73E6ECFB" w14:textId="63EFDBB6" w:rsidR="00721CCE" w:rsidRPr="00792026" w:rsidRDefault="00721CCE" w:rsidP="006857BB">
            <w:pPr>
              <w:spacing w:before="0" w:after="0"/>
              <w:jc w:val="right"/>
              <w:rPr>
                <w:rFonts w:eastAsia="Times New Roman"/>
                <w:color w:val="000000"/>
                <w:sz w:val="18"/>
                <w:szCs w:val="18"/>
                <w:highlight w:val="cyan"/>
              </w:rPr>
            </w:pPr>
            <w:r w:rsidRPr="0019632C">
              <w:rPr>
                <w:b/>
                <w:bCs/>
                <w:color w:val="0000CC"/>
                <w:sz w:val="19"/>
                <w:szCs w:val="19"/>
              </w:rPr>
              <w:t>“CONFIDENCIAL POR LEY (</w:t>
            </w:r>
            <w:r w:rsidR="006857BB">
              <w:rPr>
                <w:b/>
                <w:bCs/>
                <w:color w:val="0000CC"/>
                <w:sz w:val="19"/>
                <w:szCs w:val="19"/>
              </w:rPr>
              <w:t>214</w:t>
            </w:r>
            <w:r w:rsidRPr="0019632C">
              <w:rPr>
                <w:b/>
                <w:bCs/>
                <w:color w:val="0000CC"/>
                <w:sz w:val="19"/>
                <w:szCs w:val="19"/>
              </w:rPr>
              <w:t>)”</w:t>
            </w:r>
          </w:p>
        </w:tc>
      </w:tr>
      <w:tr w:rsidR="00721CCE" w:rsidRPr="0052179C" w14:paraId="04F0C6AD" w14:textId="77777777" w:rsidTr="00133294">
        <w:tc>
          <w:tcPr>
            <w:tcW w:w="2547" w:type="dxa"/>
            <w:vMerge/>
            <w:vAlign w:val="center"/>
          </w:tcPr>
          <w:p w14:paraId="0E5E137A" w14:textId="77777777" w:rsidR="00721CCE" w:rsidRPr="00920D4E" w:rsidRDefault="00721CCE" w:rsidP="00721CCE">
            <w:pPr>
              <w:spacing w:before="0" w:after="0"/>
              <w:jc w:val="left"/>
              <w:rPr>
                <w:rFonts w:eastAsia="Times New Roman"/>
                <w:color w:val="000000"/>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4A1DE5CB" w14:textId="77777777" w:rsidR="00721CCE" w:rsidRPr="0044733D" w:rsidRDefault="00721CCE" w:rsidP="00721CCE">
            <w:pPr>
              <w:spacing w:before="0" w:after="0"/>
              <w:jc w:val="center"/>
              <w:rPr>
                <w:rFonts w:eastAsia="Times New Roman"/>
                <w:color w:val="000000"/>
                <w:sz w:val="18"/>
                <w:szCs w:val="18"/>
              </w:rPr>
            </w:pPr>
            <w:r w:rsidRPr="0044733D">
              <w:rPr>
                <w:rFonts w:eastAsia="Times New Roman"/>
                <w:color w:val="000000"/>
                <w:sz w:val="18"/>
                <w:szCs w:val="18"/>
              </w:rPr>
              <w:t xml:space="preserve">ATC </w:t>
            </w:r>
            <w:proofErr w:type="spellStart"/>
            <w:r w:rsidRPr="0044733D">
              <w:rPr>
                <w:rFonts w:eastAsia="Times New Roman"/>
                <w:color w:val="000000"/>
                <w:sz w:val="18"/>
                <w:szCs w:val="18"/>
              </w:rPr>
              <w:t>MexHold</w:t>
            </w:r>
            <w:proofErr w:type="spellEnd"/>
          </w:p>
        </w:tc>
        <w:tc>
          <w:tcPr>
            <w:tcW w:w="3402" w:type="dxa"/>
            <w:tcBorders>
              <w:top w:val="single" w:sz="4" w:space="0" w:color="auto"/>
              <w:left w:val="single" w:sz="4" w:space="0" w:color="auto"/>
              <w:bottom w:val="single" w:sz="4" w:space="0" w:color="auto"/>
              <w:right w:val="single" w:sz="4" w:space="0" w:color="auto"/>
            </w:tcBorders>
          </w:tcPr>
          <w:p w14:paraId="7805789B" w14:textId="0753465A" w:rsidR="00721CCE" w:rsidRPr="00792026" w:rsidRDefault="00BE19A7" w:rsidP="00721CCE">
            <w:pPr>
              <w:spacing w:before="0" w:after="0"/>
              <w:jc w:val="right"/>
              <w:rPr>
                <w:rFonts w:eastAsia="Times New Roman"/>
                <w:color w:val="000000"/>
                <w:sz w:val="18"/>
                <w:szCs w:val="18"/>
                <w:highlight w:val="cyan"/>
              </w:rPr>
            </w:pPr>
            <w:r>
              <w:rPr>
                <w:b/>
                <w:bCs/>
                <w:color w:val="0000CC"/>
                <w:sz w:val="19"/>
                <w:szCs w:val="19"/>
              </w:rPr>
              <w:t>“CONFIDENCIAL POR LEY (2</w:t>
            </w:r>
            <w:r w:rsidR="006857BB">
              <w:rPr>
                <w:b/>
                <w:bCs/>
                <w:color w:val="0000CC"/>
                <w:sz w:val="19"/>
                <w:szCs w:val="19"/>
              </w:rPr>
              <w:t>15</w:t>
            </w:r>
            <w:r w:rsidR="00721CCE" w:rsidRPr="0019632C">
              <w:rPr>
                <w:b/>
                <w:bCs/>
                <w:color w:val="0000CC"/>
                <w:sz w:val="19"/>
                <w:szCs w:val="19"/>
              </w:rPr>
              <w:t>)”</w:t>
            </w:r>
          </w:p>
        </w:tc>
      </w:tr>
      <w:tr w:rsidR="00721CCE" w:rsidRPr="0052179C" w14:paraId="538A448C" w14:textId="77777777" w:rsidTr="00133294">
        <w:tc>
          <w:tcPr>
            <w:tcW w:w="2547" w:type="dxa"/>
            <w:vMerge w:val="restart"/>
            <w:vAlign w:val="center"/>
          </w:tcPr>
          <w:p w14:paraId="240291C6" w14:textId="77777777" w:rsidR="00721CCE" w:rsidRPr="00920D4E" w:rsidRDefault="00721CCE" w:rsidP="00721CCE">
            <w:pPr>
              <w:spacing w:before="0" w:after="0"/>
              <w:jc w:val="left"/>
              <w:rPr>
                <w:rFonts w:eastAsia="Times New Roman"/>
                <w:color w:val="000000"/>
                <w:sz w:val="18"/>
                <w:szCs w:val="18"/>
              </w:rPr>
            </w:pPr>
            <w:proofErr w:type="spellStart"/>
            <w:r w:rsidRPr="00920D4E">
              <w:rPr>
                <w:rFonts w:eastAsia="Times New Roman"/>
                <w:color w:val="000000"/>
                <w:sz w:val="18"/>
                <w:szCs w:val="18"/>
              </w:rPr>
              <w:t>Telco</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14:paraId="119F11E1" w14:textId="77777777" w:rsidR="00721CCE" w:rsidRPr="0044733D" w:rsidRDefault="00721CCE" w:rsidP="00721CCE">
            <w:pPr>
              <w:spacing w:before="0" w:after="0"/>
              <w:jc w:val="center"/>
              <w:rPr>
                <w:rFonts w:eastAsia="Times New Roman"/>
                <w:color w:val="000000"/>
                <w:sz w:val="18"/>
                <w:szCs w:val="18"/>
              </w:rPr>
            </w:pPr>
            <w:r w:rsidRPr="0044733D">
              <w:rPr>
                <w:rFonts w:eastAsia="Times New Roman"/>
                <w:color w:val="000000"/>
                <w:sz w:val="18"/>
                <w:szCs w:val="18"/>
              </w:rPr>
              <w:t>CFCA</w:t>
            </w:r>
          </w:p>
        </w:tc>
        <w:tc>
          <w:tcPr>
            <w:tcW w:w="3402" w:type="dxa"/>
            <w:tcBorders>
              <w:top w:val="single" w:sz="4" w:space="0" w:color="auto"/>
              <w:left w:val="single" w:sz="4" w:space="0" w:color="auto"/>
              <w:bottom w:val="single" w:sz="4" w:space="0" w:color="auto"/>
              <w:right w:val="single" w:sz="4" w:space="0" w:color="auto"/>
            </w:tcBorders>
          </w:tcPr>
          <w:p w14:paraId="1E7D9A04" w14:textId="250E423D" w:rsidR="00721CCE" w:rsidRPr="00792026" w:rsidRDefault="00721CCE" w:rsidP="006857BB">
            <w:pPr>
              <w:spacing w:before="0" w:after="0"/>
              <w:jc w:val="right"/>
              <w:rPr>
                <w:rFonts w:eastAsia="Times New Roman"/>
                <w:color w:val="000000"/>
                <w:sz w:val="18"/>
                <w:szCs w:val="18"/>
                <w:highlight w:val="cyan"/>
              </w:rPr>
            </w:pPr>
            <w:r w:rsidRPr="0019632C">
              <w:rPr>
                <w:b/>
                <w:bCs/>
                <w:color w:val="0000CC"/>
                <w:sz w:val="19"/>
                <w:szCs w:val="19"/>
              </w:rPr>
              <w:t>“CONFIDENCIAL POR LEY (</w:t>
            </w:r>
            <w:r w:rsidR="006857BB">
              <w:rPr>
                <w:b/>
                <w:bCs/>
                <w:color w:val="0000CC"/>
                <w:sz w:val="19"/>
                <w:szCs w:val="19"/>
              </w:rPr>
              <w:t>216</w:t>
            </w:r>
            <w:r w:rsidRPr="0019632C">
              <w:rPr>
                <w:b/>
                <w:bCs/>
                <w:color w:val="0000CC"/>
                <w:sz w:val="19"/>
                <w:szCs w:val="19"/>
              </w:rPr>
              <w:t>)”</w:t>
            </w:r>
          </w:p>
        </w:tc>
      </w:tr>
      <w:tr w:rsidR="00721CCE" w:rsidRPr="0052179C" w14:paraId="096289AE" w14:textId="77777777" w:rsidTr="00133294">
        <w:tc>
          <w:tcPr>
            <w:tcW w:w="2547" w:type="dxa"/>
            <w:vMerge/>
            <w:vAlign w:val="center"/>
          </w:tcPr>
          <w:p w14:paraId="7A74986E" w14:textId="77777777" w:rsidR="00721CCE" w:rsidRPr="00920D4E" w:rsidRDefault="00721CCE" w:rsidP="00721CCE">
            <w:pPr>
              <w:spacing w:before="0" w:after="0"/>
              <w:jc w:val="left"/>
              <w:rPr>
                <w:rFonts w:eastAsia="Times New Roman"/>
                <w:color w:val="000000"/>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6608B18A" w14:textId="77777777" w:rsidR="00721CCE" w:rsidRPr="0044733D" w:rsidRDefault="00721CCE" w:rsidP="00721CCE">
            <w:pPr>
              <w:spacing w:before="0" w:after="0"/>
              <w:jc w:val="center"/>
              <w:rPr>
                <w:rFonts w:eastAsia="Times New Roman"/>
                <w:color w:val="000000"/>
                <w:sz w:val="18"/>
                <w:szCs w:val="18"/>
              </w:rPr>
            </w:pPr>
            <w:r w:rsidRPr="0044733D">
              <w:rPr>
                <w:rFonts w:eastAsia="Times New Roman"/>
                <w:color w:val="000000"/>
                <w:sz w:val="18"/>
                <w:szCs w:val="18"/>
              </w:rPr>
              <w:t>ATC HFM</w:t>
            </w:r>
          </w:p>
        </w:tc>
        <w:tc>
          <w:tcPr>
            <w:tcW w:w="3402" w:type="dxa"/>
            <w:tcBorders>
              <w:top w:val="single" w:sz="4" w:space="0" w:color="auto"/>
              <w:left w:val="single" w:sz="4" w:space="0" w:color="auto"/>
              <w:bottom w:val="single" w:sz="4" w:space="0" w:color="auto"/>
              <w:right w:val="single" w:sz="4" w:space="0" w:color="auto"/>
            </w:tcBorders>
          </w:tcPr>
          <w:p w14:paraId="768FE574" w14:textId="15F55CBD" w:rsidR="00721CCE" w:rsidRPr="00792026" w:rsidRDefault="00BE19A7" w:rsidP="00721CCE">
            <w:pPr>
              <w:spacing w:before="0" w:after="0"/>
              <w:jc w:val="right"/>
              <w:rPr>
                <w:rFonts w:eastAsia="Times New Roman"/>
                <w:color w:val="000000"/>
                <w:sz w:val="18"/>
                <w:szCs w:val="18"/>
                <w:highlight w:val="cyan"/>
              </w:rPr>
            </w:pPr>
            <w:r>
              <w:rPr>
                <w:b/>
                <w:bCs/>
                <w:color w:val="0000CC"/>
                <w:sz w:val="19"/>
                <w:szCs w:val="19"/>
              </w:rPr>
              <w:t>“CONFIDENCIAL POR LEY (2</w:t>
            </w:r>
            <w:r w:rsidR="006857BB">
              <w:rPr>
                <w:b/>
                <w:bCs/>
                <w:color w:val="0000CC"/>
                <w:sz w:val="19"/>
                <w:szCs w:val="19"/>
              </w:rPr>
              <w:t>17</w:t>
            </w:r>
            <w:r w:rsidR="00721CCE" w:rsidRPr="0019632C">
              <w:rPr>
                <w:b/>
                <w:bCs/>
                <w:color w:val="0000CC"/>
                <w:sz w:val="19"/>
                <w:szCs w:val="19"/>
              </w:rPr>
              <w:t>)”</w:t>
            </w:r>
          </w:p>
        </w:tc>
      </w:tr>
      <w:tr w:rsidR="00721CCE" w:rsidRPr="0052179C" w14:paraId="79A31B58" w14:textId="77777777" w:rsidTr="00133294">
        <w:tc>
          <w:tcPr>
            <w:tcW w:w="2547" w:type="dxa"/>
            <w:vMerge w:val="restart"/>
            <w:vAlign w:val="center"/>
          </w:tcPr>
          <w:p w14:paraId="2448997A" w14:textId="77777777" w:rsidR="00721CCE" w:rsidRPr="00920D4E" w:rsidRDefault="00721CCE" w:rsidP="00721CCE">
            <w:pPr>
              <w:spacing w:before="0" w:after="0"/>
              <w:jc w:val="left"/>
              <w:rPr>
                <w:rFonts w:eastAsia="Times New Roman"/>
                <w:color w:val="000000"/>
                <w:sz w:val="18"/>
                <w:szCs w:val="18"/>
              </w:rPr>
            </w:pPr>
            <w:r w:rsidRPr="00920D4E">
              <w:rPr>
                <w:rFonts w:eastAsia="Times New Roman"/>
                <w:color w:val="000000"/>
                <w:sz w:val="18"/>
                <w:szCs w:val="18"/>
              </w:rPr>
              <w:t>ATC HFM</w:t>
            </w:r>
          </w:p>
        </w:tc>
        <w:tc>
          <w:tcPr>
            <w:tcW w:w="3260" w:type="dxa"/>
            <w:tcBorders>
              <w:top w:val="single" w:sz="4" w:space="0" w:color="auto"/>
              <w:left w:val="single" w:sz="4" w:space="0" w:color="auto"/>
              <w:bottom w:val="single" w:sz="4" w:space="0" w:color="auto"/>
              <w:right w:val="single" w:sz="4" w:space="0" w:color="auto"/>
            </w:tcBorders>
            <w:vAlign w:val="center"/>
          </w:tcPr>
          <w:p w14:paraId="103498D1" w14:textId="77777777" w:rsidR="00721CCE" w:rsidRPr="0044733D" w:rsidRDefault="00721CCE" w:rsidP="00721CCE">
            <w:pPr>
              <w:spacing w:before="0" w:after="0"/>
              <w:jc w:val="center"/>
              <w:rPr>
                <w:rFonts w:eastAsia="Times New Roman"/>
                <w:color w:val="000000"/>
                <w:sz w:val="18"/>
                <w:szCs w:val="18"/>
              </w:rPr>
            </w:pPr>
            <w:r w:rsidRPr="0044733D">
              <w:rPr>
                <w:rFonts w:eastAsia="Times New Roman"/>
                <w:color w:val="000000"/>
                <w:sz w:val="18"/>
                <w:szCs w:val="18"/>
              </w:rPr>
              <w:t xml:space="preserve">ATC </w:t>
            </w:r>
            <w:proofErr w:type="spellStart"/>
            <w:r w:rsidRPr="0044733D">
              <w:rPr>
                <w:rFonts w:eastAsia="Times New Roman"/>
                <w:color w:val="000000"/>
                <w:sz w:val="18"/>
                <w:szCs w:val="18"/>
              </w:rPr>
              <w:t>MexHold</w:t>
            </w:r>
            <w:proofErr w:type="spellEnd"/>
          </w:p>
        </w:tc>
        <w:tc>
          <w:tcPr>
            <w:tcW w:w="3402" w:type="dxa"/>
            <w:tcBorders>
              <w:top w:val="single" w:sz="4" w:space="0" w:color="auto"/>
              <w:left w:val="single" w:sz="4" w:space="0" w:color="auto"/>
              <w:bottom w:val="single" w:sz="4" w:space="0" w:color="auto"/>
              <w:right w:val="single" w:sz="4" w:space="0" w:color="auto"/>
            </w:tcBorders>
          </w:tcPr>
          <w:p w14:paraId="4CD745F1" w14:textId="6D1E4CED" w:rsidR="00721CCE" w:rsidRPr="00792026" w:rsidRDefault="00721CCE" w:rsidP="00133294">
            <w:pPr>
              <w:spacing w:before="0" w:after="0"/>
              <w:jc w:val="right"/>
              <w:rPr>
                <w:rFonts w:eastAsia="Times New Roman"/>
                <w:color w:val="000000"/>
                <w:sz w:val="18"/>
                <w:szCs w:val="18"/>
                <w:highlight w:val="cyan"/>
              </w:rPr>
            </w:pPr>
            <w:r w:rsidRPr="0019632C">
              <w:rPr>
                <w:b/>
                <w:bCs/>
                <w:color w:val="0000CC"/>
                <w:sz w:val="19"/>
                <w:szCs w:val="19"/>
              </w:rPr>
              <w:t>“CONFIDENCIAL POR LEY (</w:t>
            </w:r>
            <w:r w:rsidR="00133294">
              <w:rPr>
                <w:b/>
                <w:bCs/>
                <w:color w:val="0000CC"/>
                <w:sz w:val="19"/>
                <w:szCs w:val="19"/>
              </w:rPr>
              <w:t>218</w:t>
            </w:r>
            <w:r w:rsidRPr="0019632C">
              <w:rPr>
                <w:b/>
                <w:bCs/>
                <w:color w:val="0000CC"/>
                <w:sz w:val="19"/>
                <w:szCs w:val="19"/>
              </w:rPr>
              <w:t>)”</w:t>
            </w:r>
          </w:p>
        </w:tc>
      </w:tr>
      <w:tr w:rsidR="00721CCE" w:rsidRPr="0052179C" w14:paraId="2089B20D" w14:textId="77777777" w:rsidTr="00133294">
        <w:tc>
          <w:tcPr>
            <w:tcW w:w="2547" w:type="dxa"/>
            <w:vMerge/>
            <w:vAlign w:val="center"/>
          </w:tcPr>
          <w:p w14:paraId="015CF549" w14:textId="77777777" w:rsidR="00721CCE" w:rsidRPr="00920D4E" w:rsidRDefault="00721CCE" w:rsidP="00721CCE">
            <w:pPr>
              <w:spacing w:before="0" w:after="0"/>
              <w:jc w:val="left"/>
              <w:rPr>
                <w:rFonts w:eastAsia="Times New Roman"/>
                <w:color w:val="000000"/>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663A9DCD" w14:textId="77777777" w:rsidR="00721CCE" w:rsidRPr="0044733D" w:rsidRDefault="00721CCE" w:rsidP="00721CCE">
            <w:pPr>
              <w:spacing w:before="0" w:after="0"/>
              <w:jc w:val="center"/>
              <w:rPr>
                <w:rFonts w:eastAsia="Times New Roman"/>
                <w:color w:val="000000"/>
                <w:sz w:val="18"/>
                <w:szCs w:val="18"/>
              </w:rPr>
            </w:pPr>
            <w:r w:rsidRPr="0044733D">
              <w:rPr>
                <w:rFonts w:eastAsia="Times New Roman"/>
                <w:color w:val="000000"/>
                <w:sz w:val="18"/>
                <w:szCs w:val="18"/>
              </w:rPr>
              <w:t xml:space="preserve">ATC México Holding </w:t>
            </w:r>
          </w:p>
        </w:tc>
        <w:tc>
          <w:tcPr>
            <w:tcW w:w="3402" w:type="dxa"/>
            <w:tcBorders>
              <w:top w:val="single" w:sz="4" w:space="0" w:color="auto"/>
              <w:left w:val="single" w:sz="4" w:space="0" w:color="auto"/>
              <w:bottom w:val="single" w:sz="4" w:space="0" w:color="auto"/>
              <w:right w:val="single" w:sz="4" w:space="0" w:color="auto"/>
            </w:tcBorders>
          </w:tcPr>
          <w:p w14:paraId="71C4A8B9" w14:textId="506A0942" w:rsidR="00721CCE" w:rsidRPr="00792026" w:rsidRDefault="00133294" w:rsidP="00721CCE">
            <w:pPr>
              <w:spacing w:before="0" w:after="0"/>
              <w:jc w:val="right"/>
              <w:rPr>
                <w:rFonts w:eastAsia="Times New Roman"/>
                <w:color w:val="000000"/>
                <w:sz w:val="18"/>
                <w:szCs w:val="18"/>
                <w:highlight w:val="cyan"/>
              </w:rPr>
            </w:pPr>
            <w:r>
              <w:rPr>
                <w:b/>
                <w:bCs/>
                <w:color w:val="0000CC"/>
                <w:sz w:val="19"/>
                <w:szCs w:val="19"/>
              </w:rPr>
              <w:t>“CONFIDENCIAL POR LEY (219</w:t>
            </w:r>
            <w:r w:rsidR="00721CCE" w:rsidRPr="0019632C">
              <w:rPr>
                <w:b/>
                <w:bCs/>
                <w:color w:val="0000CC"/>
                <w:sz w:val="19"/>
                <w:szCs w:val="19"/>
              </w:rPr>
              <w:t>)”</w:t>
            </w:r>
          </w:p>
        </w:tc>
      </w:tr>
      <w:tr w:rsidR="00721CCE" w:rsidRPr="0052179C" w14:paraId="0F089E2F" w14:textId="77777777" w:rsidTr="00133294">
        <w:tc>
          <w:tcPr>
            <w:tcW w:w="2547" w:type="dxa"/>
            <w:vAlign w:val="center"/>
          </w:tcPr>
          <w:p w14:paraId="5D80657A" w14:textId="77777777" w:rsidR="00721CCE" w:rsidRPr="00920D4E" w:rsidRDefault="00721CCE" w:rsidP="00721CCE">
            <w:pPr>
              <w:spacing w:before="0" w:after="0"/>
              <w:jc w:val="left"/>
              <w:rPr>
                <w:rFonts w:eastAsia="Times New Roman"/>
                <w:color w:val="000000"/>
                <w:sz w:val="18"/>
                <w:szCs w:val="18"/>
              </w:rPr>
            </w:pPr>
            <w:r w:rsidRPr="00920D4E">
              <w:rPr>
                <w:rFonts w:eastAsia="Times New Roman"/>
                <w:color w:val="000000"/>
                <w:sz w:val="18"/>
                <w:szCs w:val="18"/>
              </w:rPr>
              <w:t xml:space="preserve">ATC </w:t>
            </w:r>
            <w:proofErr w:type="spellStart"/>
            <w:r w:rsidRPr="00920D4E">
              <w:rPr>
                <w:rFonts w:eastAsia="Times New Roman"/>
                <w:color w:val="000000"/>
                <w:sz w:val="18"/>
                <w:szCs w:val="18"/>
              </w:rPr>
              <w:t>MexHold</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14:paraId="21C1E179" w14:textId="77777777" w:rsidR="00721CCE" w:rsidRPr="0044733D" w:rsidRDefault="00721CCE" w:rsidP="00721CCE">
            <w:pPr>
              <w:spacing w:before="0" w:after="0"/>
              <w:jc w:val="center"/>
              <w:rPr>
                <w:rFonts w:eastAsia="Times New Roman"/>
                <w:color w:val="000000"/>
                <w:sz w:val="18"/>
                <w:szCs w:val="18"/>
              </w:rPr>
            </w:pPr>
            <w:r w:rsidRPr="0044733D">
              <w:rPr>
                <w:rFonts w:eastAsia="Times New Roman"/>
                <w:color w:val="000000"/>
                <w:sz w:val="18"/>
                <w:szCs w:val="18"/>
              </w:rPr>
              <w:t xml:space="preserve">ATC México Holding </w:t>
            </w:r>
          </w:p>
        </w:tc>
        <w:tc>
          <w:tcPr>
            <w:tcW w:w="3402" w:type="dxa"/>
            <w:tcBorders>
              <w:top w:val="single" w:sz="4" w:space="0" w:color="auto"/>
              <w:left w:val="single" w:sz="4" w:space="0" w:color="auto"/>
              <w:bottom w:val="single" w:sz="4" w:space="0" w:color="auto"/>
              <w:right w:val="single" w:sz="4" w:space="0" w:color="auto"/>
            </w:tcBorders>
          </w:tcPr>
          <w:p w14:paraId="25F3A4DE" w14:textId="33DD6CCA" w:rsidR="00721CCE" w:rsidRPr="00792026" w:rsidRDefault="00133294" w:rsidP="00721CCE">
            <w:pPr>
              <w:spacing w:before="0" w:after="0"/>
              <w:jc w:val="right"/>
              <w:rPr>
                <w:rFonts w:eastAsia="Times New Roman"/>
                <w:color w:val="000000"/>
                <w:sz w:val="18"/>
                <w:szCs w:val="18"/>
                <w:highlight w:val="cyan"/>
              </w:rPr>
            </w:pPr>
            <w:r>
              <w:rPr>
                <w:b/>
                <w:bCs/>
                <w:color w:val="0000CC"/>
                <w:sz w:val="19"/>
                <w:szCs w:val="19"/>
              </w:rPr>
              <w:t>“CONFIDENCIAL POR LEY (220</w:t>
            </w:r>
            <w:r w:rsidR="00721CCE" w:rsidRPr="0019632C">
              <w:rPr>
                <w:b/>
                <w:bCs/>
                <w:color w:val="0000CC"/>
                <w:sz w:val="19"/>
                <w:szCs w:val="19"/>
              </w:rPr>
              <w:t>)”</w:t>
            </w:r>
          </w:p>
        </w:tc>
      </w:tr>
      <w:tr w:rsidR="00721CCE" w:rsidRPr="0052179C" w14:paraId="281A54D4" w14:textId="77777777" w:rsidTr="00133294">
        <w:tc>
          <w:tcPr>
            <w:tcW w:w="2547" w:type="dxa"/>
            <w:vAlign w:val="center"/>
          </w:tcPr>
          <w:p w14:paraId="58A93A21" w14:textId="77777777" w:rsidR="00721CCE" w:rsidRPr="0044733D" w:rsidRDefault="00721CCE" w:rsidP="00721CCE">
            <w:pPr>
              <w:spacing w:before="0" w:after="0"/>
              <w:jc w:val="left"/>
              <w:rPr>
                <w:rFonts w:eastAsia="Times New Roman"/>
                <w:color w:val="000000"/>
                <w:sz w:val="18"/>
                <w:szCs w:val="18"/>
              </w:rPr>
            </w:pPr>
            <w:r w:rsidRPr="0044733D">
              <w:rPr>
                <w:rFonts w:eastAsia="Times New Roman"/>
                <w:color w:val="000000"/>
                <w:sz w:val="18"/>
                <w:szCs w:val="18"/>
              </w:rPr>
              <w:t>ATC México Holding</w:t>
            </w:r>
          </w:p>
        </w:tc>
        <w:tc>
          <w:tcPr>
            <w:tcW w:w="3260" w:type="dxa"/>
            <w:tcBorders>
              <w:top w:val="single" w:sz="4" w:space="0" w:color="auto"/>
              <w:left w:val="single" w:sz="4" w:space="0" w:color="auto"/>
              <w:bottom w:val="single" w:sz="4" w:space="0" w:color="auto"/>
              <w:right w:val="single" w:sz="4" w:space="0" w:color="auto"/>
            </w:tcBorders>
            <w:vAlign w:val="center"/>
          </w:tcPr>
          <w:p w14:paraId="6F27E1A5" w14:textId="77777777" w:rsidR="00721CCE" w:rsidRPr="0044733D" w:rsidRDefault="00721CCE" w:rsidP="00721CCE">
            <w:pPr>
              <w:spacing w:before="0" w:after="0"/>
              <w:jc w:val="center"/>
              <w:rPr>
                <w:rFonts w:eastAsia="Times New Roman"/>
                <w:color w:val="000000"/>
                <w:sz w:val="18"/>
                <w:szCs w:val="18"/>
              </w:rPr>
            </w:pPr>
            <w:r w:rsidRPr="0044733D">
              <w:rPr>
                <w:rFonts w:eastAsia="Times New Roman"/>
                <w:color w:val="000000"/>
                <w:sz w:val="18"/>
                <w:szCs w:val="18"/>
              </w:rPr>
              <w:t>American Tower International Inc.</w:t>
            </w:r>
          </w:p>
        </w:tc>
        <w:tc>
          <w:tcPr>
            <w:tcW w:w="3402" w:type="dxa"/>
            <w:tcBorders>
              <w:top w:val="single" w:sz="4" w:space="0" w:color="auto"/>
              <w:left w:val="single" w:sz="4" w:space="0" w:color="auto"/>
              <w:bottom w:val="single" w:sz="4" w:space="0" w:color="auto"/>
              <w:right w:val="single" w:sz="4" w:space="0" w:color="auto"/>
            </w:tcBorders>
          </w:tcPr>
          <w:p w14:paraId="68087917" w14:textId="391D6B20" w:rsidR="00721CCE" w:rsidRPr="00792026" w:rsidRDefault="00133294" w:rsidP="00721CCE">
            <w:pPr>
              <w:spacing w:before="0" w:after="0"/>
              <w:jc w:val="right"/>
              <w:rPr>
                <w:rFonts w:eastAsia="Times New Roman"/>
                <w:color w:val="000000"/>
                <w:sz w:val="18"/>
                <w:szCs w:val="18"/>
                <w:highlight w:val="cyan"/>
              </w:rPr>
            </w:pPr>
            <w:r>
              <w:rPr>
                <w:b/>
                <w:bCs/>
                <w:color w:val="0000CC"/>
                <w:sz w:val="19"/>
                <w:szCs w:val="19"/>
              </w:rPr>
              <w:t>“CONFIDENCIAL POR LEY (221</w:t>
            </w:r>
            <w:r w:rsidR="00721CCE" w:rsidRPr="0019632C">
              <w:rPr>
                <w:b/>
                <w:bCs/>
                <w:color w:val="0000CC"/>
                <w:sz w:val="19"/>
                <w:szCs w:val="19"/>
              </w:rPr>
              <w:t>)”</w:t>
            </w:r>
          </w:p>
        </w:tc>
      </w:tr>
      <w:tr w:rsidR="00721CCE" w:rsidRPr="0052179C" w14:paraId="25DB1132" w14:textId="77777777" w:rsidTr="00133294">
        <w:tc>
          <w:tcPr>
            <w:tcW w:w="2547" w:type="dxa"/>
            <w:vAlign w:val="center"/>
          </w:tcPr>
          <w:p w14:paraId="15350AF5" w14:textId="77777777" w:rsidR="00721CCE" w:rsidRPr="0044733D" w:rsidRDefault="00721CCE" w:rsidP="00721CCE">
            <w:pPr>
              <w:spacing w:before="0" w:after="0"/>
              <w:jc w:val="left"/>
              <w:rPr>
                <w:rFonts w:eastAsia="Times New Roman"/>
                <w:color w:val="000000"/>
                <w:sz w:val="18"/>
                <w:szCs w:val="18"/>
              </w:rPr>
            </w:pPr>
            <w:r w:rsidRPr="0044733D">
              <w:rPr>
                <w:rFonts w:eastAsia="Times New Roman"/>
                <w:color w:val="000000"/>
                <w:sz w:val="18"/>
                <w:szCs w:val="18"/>
              </w:rPr>
              <w:t>American Tower International Inc.</w:t>
            </w:r>
          </w:p>
        </w:tc>
        <w:tc>
          <w:tcPr>
            <w:tcW w:w="3260" w:type="dxa"/>
            <w:tcBorders>
              <w:top w:val="single" w:sz="4" w:space="0" w:color="auto"/>
              <w:left w:val="single" w:sz="4" w:space="0" w:color="auto"/>
              <w:bottom w:val="single" w:sz="4" w:space="0" w:color="auto"/>
              <w:right w:val="single" w:sz="4" w:space="0" w:color="auto"/>
            </w:tcBorders>
            <w:vAlign w:val="center"/>
          </w:tcPr>
          <w:p w14:paraId="2EF2067D" w14:textId="77777777" w:rsidR="00721CCE" w:rsidRPr="0044733D" w:rsidRDefault="00721CCE" w:rsidP="00721CCE">
            <w:pPr>
              <w:spacing w:before="0" w:after="0"/>
              <w:jc w:val="center"/>
              <w:rPr>
                <w:rFonts w:eastAsia="Times New Roman"/>
                <w:color w:val="000000"/>
                <w:sz w:val="18"/>
                <w:szCs w:val="18"/>
              </w:rPr>
            </w:pPr>
            <w:r w:rsidRPr="0044733D">
              <w:rPr>
                <w:rFonts w:eastAsia="Times New Roman"/>
                <w:color w:val="000000"/>
                <w:sz w:val="18"/>
                <w:szCs w:val="18"/>
              </w:rPr>
              <w:t>American Tower LLC</w:t>
            </w:r>
          </w:p>
        </w:tc>
        <w:tc>
          <w:tcPr>
            <w:tcW w:w="3402" w:type="dxa"/>
            <w:tcBorders>
              <w:top w:val="single" w:sz="4" w:space="0" w:color="auto"/>
              <w:left w:val="single" w:sz="4" w:space="0" w:color="auto"/>
              <w:bottom w:val="single" w:sz="4" w:space="0" w:color="auto"/>
              <w:right w:val="single" w:sz="4" w:space="0" w:color="auto"/>
            </w:tcBorders>
          </w:tcPr>
          <w:p w14:paraId="15EFA6B4" w14:textId="53A68421" w:rsidR="00721CCE" w:rsidRPr="00792026" w:rsidRDefault="00133294" w:rsidP="00721CCE">
            <w:pPr>
              <w:spacing w:before="0" w:after="0"/>
              <w:jc w:val="right"/>
              <w:rPr>
                <w:rFonts w:eastAsia="Times New Roman"/>
                <w:color w:val="000000"/>
                <w:sz w:val="18"/>
                <w:szCs w:val="18"/>
                <w:highlight w:val="cyan"/>
              </w:rPr>
            </w:pPr>
            <w:r>
              <w:rPr>
                <w:b/>
                <w:bCs/>
                <w:color w:val="0000CC"/>
                <w:sz w:val="19"/>
                <w:szCs w:val="19"/>
              </w:rPr>
              <w:t>“CONFIDENCIAL POR LEY (222</w:t>
            </w:r>
            <w:r w:rsidR="00721CCE" w:rsidRPr="0019632C">
              <w:rPr>
                <w:b/>
                <w:bCs/>
                <w:color w:val="0000CC"/>
                <w:sz w:val="19"/>
                <w:szCs w:val="19"/>
              </w:rPr>
              <w:t>)”</w:t>
            </w:r>
          </w:p>
        </w:tc>
      </w:tr>
      <w:tr w:rsidR="00721CCE" w:rsidRPr="0052179C" w14:paraId="750523E6" w14:textId="77777777" w:rsidTr="00133294">
        <w:tc>
          <w:tcPr>
            <w:tcW w:w="2547" w:type="dxa"/>
            <w:vAlign w:val="center"/>
          </w:tcPr>
          <w:p w14:paraId="602F81C8" w14:textId="77777777" w:rsidR="00721CCE" w:rsidRPr="0044733D" w:rsidRDefault="00721CCE" w:rsidP="00721CCE">
            <w:pPr>
              <w:spacing w:before="0" w:after="0"/>
              <w:jc w:val="left"/>
              <w:rPr>
                <w:rFonts w:eastAsia="Times New Roman"/>
                <w:color w:val="000000"/>
                <w:sz w:val="18"/>
                <w:szCs w:val="18"/>
              </w:rPr>
            </w:pPr>
            <w:r w:rsidRPr="0044733D">
              <w:rPr>
                <w:rFonts w:eastAsia="Times New Roman"/>
                <w:color w:val="000000"/>
                <w:sz w:val="18"/>
                <w:szCs w:val="18"/>
              </w:rPr>
              <w:lastRenderedPageBreak/>
              <w:t>American Tower LLC</w:t>
            </w:r>
          </w:p>
        </w:tc>
        <w:tc>
          <w:tcPr>
            <w:tcW w:w="3260" w:type="dxa"/>
            <w:tcBorders>
              <w:top w:val="single" w:sz="4" w:space="0" w:color="auto"/>
              <w:left w:val="single" w:sz="4" w:space="0" w:color="auto"/>
              <w:bottom w:val="single" w:sz="4" w:space="0" w:color="auto"/>
              <w:right w:val="single" w:sz="4" w:space="0" w:color="auto"/>
            </w:tcBorders>
            <w:vAlign w:val="center"/>
          </w:tcPr>
          <w:p w14:paraId="1992AE99" w14:textId="77777777" w:rsidR="00721CCE" w:rsidRPr="0044733D" w:rsidRDefault="00721CCE" w:rsidP="00721CCE">
            <w:pPr>
              <w:spacing w:before="0" w:after="0"/>
              <w:jc w:val="center"/>
              <w:rPr>
                <w:rFonts w:eastAsia="Times New Roman"/>
                <w:color w:val="000000"/>
                <w:sz w:val="18"/>
                <w:szCs w:val="18"/>
              </w:rPr>
            </w:pPr>
            <w:r w:rsidRPr="0044733D">
              <w:rPr>
                <w:rFonts w:eastAsia="Times New Roman"/>
                <w:color w:val="000000"/>
                <w:sz w:val="18"/>
                <w:szCs w:val="18"/>
              </w:rPr>
              <w:t>ATC</w:t>
            </w:r>
          </w:p>
        </w:tc>
        <w:tc>
          <w:tcPr>
            <w:tcW w:w="3402" w:type="dxa"/>
            <w:tcBorders>
              <w:top w:val="single" w:sz="4" w:space="0" w:color="auto"/>
              <w:left w:val="single" w:sz="4" w:space="0" w:color="auto"/>
              <w:bottom w:val="single" w:sz="4" w:space="0" w:color="auto"/>
              <w:right w:val="single" w:sz="4" w:space="0" w:color="auto"/>
            </w:tcBorders>
          </w:tcPr>
          <w:p w14:paraId="2B40EE5D" w14:textId="0842BCF8" w:rsidR="00721CCE" w:rsidRPr="00792026" w:rsidRDefault="00133294" w:rsidP="00721CCE">
            <w:pPr>
              <w:spacing w:before="0" w:after="0"/>
              <w:jc w:val="right"/>
              <w:rPr>
                <w:rFonts w:eastAsia="Times New Roman"/>
                <w:color w:val="000000"/>
                <w:sz w:val="18"/>
                <w:szCs w:val="18"/>
                <w:highlight w:val="cyan"/>
              </w:rPr>
            </w:pPr>
            <w:r>
              <w:rPr>
                <w:b/>
                <w:bCs/>
                <w:color w:val="0000CC"/>
                <w:sz w:val="19"/>
                <w:szCs w:val="19"/>
              </w:rPr>
              <w:t>“CONFIDENCIAL POR LEY (223</w:t>
            </w:r>
            <w:r w:rsidR="00721CCE" w:rsidRPr="0019632C">
              <w:rPr>
                <w:b/>
                <w:bCs/>
                <w:color w:val="0000CC"/>
                <w:sz w:val="19"/>
                <w:szCs w:val="19"/>
              </w:rPr>
              <w:t>)”</w:t>
            </w:r>
          </w:p>
        </w:tc>
      </w:tr>
      <w:tr w:rsidR="00EE34BA" w:rsidRPr="0052179C" w14:paraId="75BF59CB" w14:textId="77777777" w:rsidTr="00133294">
        <w:tc>
          <w:tcPr>
            <w:tcW w:w="2547" w:type="dxa"/>
            <w:vMerge w:val="restart"/>
            <w:vAlign w:val="center"/>
          </w:tcPr>
          <w:p w14:paraId="613F1EA5" w14:textId="23C7BE13" w:rsidR="00EE34BA" w:rsidRPr="0044733D" w:rsidRDefault="00EE34BA" w:rsidP="00C257A9">
            <w:pPr>
              <w:spacing w:before="0" w:after="0"/>
              <w:jc w:val="left"/>
              <w:rPr>
                <w:rFonts w:eastAsia="Times New Roman"/>
                <w:color w:val="000000"/>
                <w:sz w:val="18"/>
                <w:szCs w:val="18"/>
              </w:rPr>
            </w:pPr>
            <w:r w:rsidRPr="0044733D">
              <w:rPr>
                <w:rFonts w:eastAsia="Times New Roman"/>
                <w:color w:val="000000"/>
                <w:sz w:val="18"/>
                <w:szCs w:val="18"/>
              </w:rPr>
              <w:t>MATC</w:t>
            </w:r>
          </w:p>
        </w:tc>
        <w:tc>
          <w:tcPr>
            <w:tcW w:w="3260" w:type="dxa"/>
            <w:tcBorders>
              <w:top w:val="single" w:sz="4" w:space="0" w:color="auto"/>
              <w:left w:val="single" w:sz="4" w:space="0" w:color="auto"/>
              <w:bottom w:val="single" w:sz="4" w:space="0" w:color="auto"/>
              <w:right w:val="single" w:sz="4" w:space="0" w:color="auto"/>
            </w:tcBorders>
            <w:vAlign w:val="center"/>
          </w:tcPr>
          <w:p w14:paraId="4D8795F4" w14:textId="77777777" w:rsidR="00EE34BA" w:rsidRPr="0044733D" w:rsidRDefault="00EE34BA" w:rsidP="00EE34BA">
            <w:pPr>
              <w:spacing w:before="0" w:after="0"/>
              <w:jc w:val="center"/>
              <w:rPr>
                <w:rFonts w:eastAsia="Times New Roman"/>
                <w:color w:val="000000"/>
                <w:sz w:val="18"/>
                <w:szCs w:val="18"/>
              </w:rPr>
            </w:pPr>
            <w:r w:rsidRPr="0044733D">
              <w:rPr>
                <w:rFonts w:eastAsia="Times New Roman"/>
                <w:color w:val="000000"/>
                <w:sz w:val="18"/>
                <w:szCs w:val="18"/>
              </w:rPr>
              <w:t xml:space="preserve">American Tower </w:t>
            </w:r>
            <w:proofErr w:type="spellStart"/>
            <w:r w:rsidRPr="0044733D">
              <w:rPr>
                <w:rFonts w:eastAsia="Times New Roman"/>
                <w:color w:val="000000"/>
                <w:sz w:val="18"/>
                <w:szCs w:val="18"/>
              </w:rPr>
              <w:t>Corporation</w:t>
            </w:r>
            <w:proofErr w:type="spellEnd"/>
            <w:r w:rsidRPr="0044733D">
              <w:rPr>
                <w:rFonts w:eastAsia="Times New Roman"/>
                <w:color w:val="000000"/>
                <w:sz w:val="18"/>
                <w:szCs w:val="18"/>
              </w:rPr>
              <w:t xml:space="preserve"> de México, S. de R.L. de C.V. (ATC de México)</w:t>
            </w:r>
          </w:p>
        </w:tc>
        <w:tc>
          <w:tcPr>
            <w:tcW w:w="3402" w:type="dxa"/>
            <w:tcBorders>
              <w:top w:val="single" w:sz="4" w:space="0" w:color="auto"/>
              <w:left w:val="single" w:sz="4" w:space="0" w:color="auto"/>
              <w:bottom w:val="single" w:sz="4" w:space="0" w:color="auto"/>
              <w:right w:val="single" w:sz="4" w:space="0" w:color="auto"/>
            </w:tcBorders>
            <w:vAlign w:val="center"/>
          </w:tcPr>
          <w:p w14:paraId="65908EB3" w14:textId="77777777" w:rsidR="00EE34BA" w:rsidRPr="00792026" w:rsidRDefault="00EE34BA" w:rsidP="00EE34BA">
            <w:pPr>
              <w:spacing w:before="0" w:after="0"/>
              <w:jc w:val="right"/>
              <w:rPr>
                <w:rFonts w:eastAsia="Times New Roman"/>
                <w:color w:val="000000"/>
                <w:sz w:val="18"/>
                <w:szCs w:val="18"/>
              </w:rPr>
            </w:pPr>
            <w:r w:rsidRPr="00792026">
              <w:rPr>
                <w:rFonts w:eastAsia="Times New Roman"/>
                <w:color w:val="000000"/>
                <w:sz w:val="18"/>
                <w:szCs w:val="18"/>
              </w:rPr>
              <w:t>99.99</w:t>
            </w:r>
          </w:p>
        </w:tc>
      </w:tr>
      <w:tr w:rsidR="00EE34BA" w:rsidRPr="0052179C" w14:paraId="3C62A6DA" w14:textId="77777777" w:rsidTr="00133294">
        <w:tc>
          <w:tcPr>
            <w:tcW w:w="2547" w:type="dxa"/>
            <w:vMerge/>
            <w:vAlign w:val="center"/>
          </w:tcPr>
          <w:p w14:paraId="48E4A8BF" w14:textId="77777777" w:rsidR="00EE34BA" w:rsidRPr="0044733D" w:rsidRDefault="00EE34BA" w:rsidP="00EE34BA">
            <w:pPr>
              <w:spacing w:before="0" w:after="0"/>
              <w:jc w:val="left"/>
              <w:rPr>
                <w:rFonts w:eastAsia="Times New Roman"/>
                <w:color w:val="000000"/>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072A85BA" w14:textId="77777777" w:rsidR="00EE34BA" w:rsidRPr="0044733D" w:rsidRDefault="00EE34BA" w:rsidP="00EE34BA">
            <w:pPr>
              <w:spacing w:before="0" w:after="0"/>
              <w:jc w:val="center"/>
              <w:rPr>
                <w:rFonts w:eastAsia="Times New Roman"/>
                <w:color w:val="000000"/>
                <w:sz w:val="18"/>
                <w:szCs w:val="18"/>
                <w:lang w:val="en-US"/>
              </w:rPr>
            </w:pPr>
            <w:r w:rsidRPr="0044733D">
              <w:rPr>
                <w:rFonts w:eastAsia="Times New Roman"/>
                <w:color w:val="000000"/>
                <w:sz w:val="18"/>
                <w:szCs w:val="18"/>
                <w:lang w:val="en-US"/>
              </w:rPr>
              <w:t>American Tower Services LLC (ATC Tower Services</w:t>
            </w:r>
            <w:r w:rsidRPr="0044733D">
              <w:rPr>
                <w:sz w:val="18"/>
                <w:szCs w:val="18"/>
                <w:lang w:val="en-US"/>
              </w:rPr>
              <w:t>)</w:t>
            </w:r>
          </w:p>
        </w:tc>
        <w:tc>
          <w:tcPr>
            <w:tcW w:w="3402" w:type="dxa"/>
            <w:tcBorders>
              <w:top w:val="single" w:sz="4" w:space="0" w:color="auto"/>
              <w:left w:val="single" w:sz="4" w:space="0" w:color="auto"/>
              <w:bottom w:val="single" w:sz="4" w:space="0" w:color="auto"/>
              <w:right w:val="single" w:sz="4" w:space="0" w:color="auto"/>
            </w:tcBorders>
            <w:vAlign w:val="center"/>
          </w:tcPr>
          <w:p w14:paraId="0558D7FD" w14:textId="77777777" w:rsidR="00EE34BA" w:rsidRPr="00792026" w:rsidRDefault="00EE34BA" w:rsidP="00EE34BA">
            <w:pPr>
              <w:spacing w:before="0" w:after="0"/>
              <w:jc w:val="right"/>
              <w:rPr>
                <w:rFonts w:eastAsia="Times New Roman"/>
                <w:color w:val="000000"/>
                <w:sz w:val="18"/>
                <w:szCs w:val="18"/>
              </w:rPr>
            </w:pPr>
            <w:r w:rsidRPr="00792026">
              <w:rPr>
                <w:rFonts w:eastAsia="Times New Roman"/>
                <w:color w:val="000000"/>
                <w:sz w:val="18"/>
                <w:szCs w:val="18"/>
              </w:rPr>
              <w:t>0.01</w:t>
            </w:r>
          </w:p>
        </w:tc>
      </w:tr>
      <w:tr w:rsidR="00721CCE" w:rsidRPr="0070740D" w14:paraId="1BF7D02E" w14:textId="77777777" w:rsidTr="00133294">
        <w:tc>
          <w:tcPr>
            <w:tcW w:w="2547" w:type="dxa"/>
            <w:vMerge w:val="restart"/>
            <w:vAlign w:val="center"/>
          </w:tcPr>
          <w:p w14:paraId="2FA7DDE6" w14:textId="77777777" w:rsidR="00721CCE" w:rsidRPr="0044733D" w:rsidRDefault="00721CCE" w:rsidP="00721CCE">
            <w:pPr>
              <w:spacing w:before="0" w:after="0"/>
              <w:jc w:val="left"/>
              <w:rPr>
                <w:rFonts w:eastAsia="Times New Roman"/>
                <w:color w:val="000000"/>
                <w:sz w:val="18"/>
                <w:szCs w:val="18"/>
              </w:rPr>
            </w:pPr>
            <w:r w:rsidRPr="0044733D">
              <w:rPr>
                <w:rFonts w:eastAsia="Times New Roman"/>
                <w:color w:val="000000"/>
                <w:sz w:val="18"/>
                <w:szCs w:val="18"/>
              </w:rPr>
              <w:t>ATC de México</w:t>
            </w:r>
          </w:p>
        </w:tc>
        <w:tc>
          <w:tcPr>
            <w:tcW w:w="3260" w:type="dxa"/>
            <w:tcBorders>
              <w:top w:val="single" w:sz="4" w:space="0" w:color="auto"/>
              <w:left w:val="single" w:sz="4" w:space="0" w:color="auto"/>
              <w:bottom w:val="single" w:sz="4" w:space="0" w:color="auto"/>
              <w:right w:val="single" w:sz="4" w:space="0" w:color="auto"/>
            </w:tcBorders>
            <w:vAlign w:val="center"/>
          </w:tcPr>
          <w:p w14:paraId="55F89F30" w14:textId="77777777" w:rsidR="00721CCE" w:rsidRPr="0044733D" w:rsidRDefault="00721CCE" w:rsidP="00721CCE">
            <w:pPr>
              <w:spacing w:before="0" w:after="0"/>
              <w:jc w:val="center"/>
              <w:rPr>
                <w:rFonts w:eastAsia="Times New Roman"/>
                <w:color w:val="000000"/>
                <w:sz w:val="18"/>
                <w:szCs w:val="18"/>
              </w:rPr>
            </w:pPr>
            <w:r w:rsidRPr="0044733D">
              <w:rPr>
                <w:rFonts w:eastAsia="Times New Roman"/>
                <w:sz w:val="18"/>
                <w:szCs w:val="18"/>
              </w:rPr>
              <w:t xml:space="preserve">ATC </w:t>
            </w:r>
          </w:p>
        </w:tc>
        <w:tc>
          <w:tcPr>
            <w:tcW w:w="3402" w:type="dxa"/>
            <w:tcBorders>
              <w:top w:val="single" w:sz="4" w:space="0" w:color="auto"/>
              <w:left w:val="single" w:sz="4" w:space="0" w:color="auto"/>
              <w:bottom w:val="single" w:sz="4" w:space="0" w:color="auto"/>
              <w:right w:val="single" w:sz="4" w:space="0" w:color="auto"/>
            </w:tcBorders>
          </w:tcPr>
          <w:p w14:paraId="3DFFDE16" w14:textId="124AAB86" w:rsidR="00721CCE" w:rsidRPr="00792026" w:rsidRDefault="00133294" w:rsidP="00721CCE">
            <w:pPr>
              <w:spacing w:before="0" w:after="0"/>
              <w:jc w:val="right"/>
              <w:rPr>
                <w:rFonts w:eastAsia="Times New Roman"/>
                <w:color w:val="000000"/>
                <w:sz w:val="18"/>
                <w:szCs w:val="18"/>
                <w:highlight w:val="cyan"/>
              </w:rPr>
            </w:pPr>
            <w:r>
              <w:rPr>
                <w:b/>
                <w:bCs/>
                <w:color w:val="0000CC"/>
                <w:sz w:val="19"/>
                <w:szCs w:val="19"/>
              </w:rPr>
              <w:t>“CONFIDENCIAL POR LEY (224</w:t>
            </w:r>
            <w:r w:rsidR="00721CCE" w:rsidRPr="000B780F">
              <w:rPr>
                <w:b/>
                <w:bCs/>
                <w:color w:val="0000CC"/>
                <w:sz w:val="19"/>
                <w:szCs w:val="19"/>
              </w:rPr>
              <w:t>)”</w:t>
            </w:r>
          </w:p>
        </w:tc>
      </w:tr>
      <w:tr w:rsidR="00721CCE" w:rsidRPr="0070740D" w14:paraId="06353626" w14:textId="77777777" w:rsidTr="00133294">
        <w:tc>
          <w:tcPr>
            <w:tcW w:w="2547" w:type="dxa"/>
            <w:vMerge/>
            <w:vAlign w:val="center"/>
          </w:tcPr>
          <w:p w14:paraId="0CFA348E" w14:textId="77777777" w:rsidR="00721CCE" w:rsidRPr="0044733D" w:rsidRDefault="00721CCE" w:rsidP="00721CCE">
            <w:pPr>
              <w:spacing w:before="0" w:after="0"/>
              <w:jc w:val="left"/>
              <w:rPr>
                <w:rFonts w:eastAsia="Times New Roman"/>
                <w:color w:val="000000"/>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75BED5C5" w14:textId="77777777" w:rsidR="00721CCE" w:rsidRPr="0044733D" w:rsidRDefault="00721CCE" w:rsidP="00721CCE">
            <w:pPr>
              <w:spacing w:before="0" w:after="0"/>
              <w:jc w:val="center"/>
              <w:rPr>
                <w:rFonts w:eastAsia="Times New Roman"/>
                <w:color w:val="000000"/>
                <w:sz w:val="18"/>
                <w:szCs w:val="18"/>
              </w:rPr>
            </w:pPr>
            <w:r w:rsidRPr="0044733D">
              <w:rPr>
                <w:rFonts w:eastAsia="Times New Roman"/>
                <w:sz w:val="18"/>
                <w:szCs w:val="18"/>
              </w:rPr>
              <w:t xml:space="preserve">ATC </w:t>
            </w:r>
            <w:proofErr w:type="spellStart"/>
            <w:r w:rsidRPr="0044733D">
              <w:rPr>
                <w:rFonts w:eastAsia="Times New Roman"/>
                <w:sz w:val="18"/>
                <w:szCs w:val="18"/>
              </w:rPr>
              <w:t>MexHold</w:t>
            </w:r>
            <w:proofErr w:type="spellEnd"/>
          </w:p>
        </w:tc>
        <w:tc>
          <w:tcPr>
            <w:tcW w:w="3402" w:type="dxa"/>
            <w:tcBorders>
              <w:top w:val="single" w:sz="4" w:space="0" w:color="auto"/>
              <w:left w:val="single" w:sz="4" w:space="0" w:color="auto"/>
              <w:bottom w:val="single" w:sz="4" w:space="0" w:color="auto"/>
              <w:right w:val="single" w:sz="4" w:space="0" w:color="auto"/>
            </w:tcBorders>
          </w:tcPr>
          <w:p w14:paraId="351BCA86" w14:textId="75C4ADD0" w:rsidR="00721CCE" w:rsidRPr="00792026" w:rsidRDefault="00133294" w:rsidP="00721CCE">
            <w:pPr>
              <w:spacing w:before="0" w:after="0"/>
              <w:jc w:val="right"/>
              <w:rPr>
                <w:rFonts w:eastAsia="Times New Roman"/>
                <w:color w:val="000000"/>
                <w:sz w:val="18"/>
                <w:szCs w:val="18"/>
                <w:highlight w:val="cyan"/>
              </w:rPr>
            </w:pPr>
            <w:r>
              <w:rPr>
                <w:b/>
                <w:bCs/>
                <w:color w:val="0000CC"/>
                <w:sz w:val="19"/>
                <w:szCs w:val="19"/>
              </w:rPr>
              <w:t>“CONFIDENCIAL POR LEY (225</w:t>
            </w:r>
            <w:r w:rsidR="00721CCE" w:rsidRPr="000B780F">
              <w:rPr>
                <w:b/>
                <w:bCs/>
                <w:color w:val="0000CC"/>
                <w:sz w:val="19"/>
                <w:szCs w:val="19"/>
              </w:rPr>
              <w:t>)”</w:t>
            </w:r>
          </w:p>
        </w:tc>
      </w:tr>
      <w:tr w:rsidR="00721CCE" w:rsidRPr="0052179C" w14:paraId="53386C64" w14:textId="77777777" w:rsidTr="00133294">
        <w:tc>
          <w:tcPr>
            <w:tcW w:w="2547" w:type="dxa"/>
            <w:vAlign w:val="center"/>
          </w:tcPr>
          <w:p w14:paraId="426AFD83" w14:textId="77777777" w:rsidR="00721CCE" w:rsidRPr="0044733D" w:rsidRDefault="00721CCE" w:rsidP="00721CCE">
            <w:pPr>
              <w:spacing w:before="0" w:after="0"/>
              <w:jc w:val="left"/>
              <w:rPr>
                <w:rFonts w:eastAsia="Times New Roman"/>
                <w:color w:val="000000"/>
                <w:sz w:val="18"/>
                <w:szCs w:val="18"/>
              </w:rPr>
            </w:pPr>
            <w:r w:rsidRPr="0044733D">
              <w:rPr>
                <w:rFonts w:eastAsia="Times New Roman"/>
                <w:color w:val="000000"/>
                <w:sz w:val="18"/>
                <w:szCs w:val="18"/>
              </w:rPr>
              <w:t xml:space="preserve">ATC Tower </w:t>
            </w:r>
            <w:proofErr w:type="spellStart"/>
            <w:r w:rsidRPr="0044733D">
              <w:rPr>
                <w:rFonts w:eastAsia="Times New Roman"/>
                <w:color w:val="000000"/>
                <w:sz w:val="18"/>
                <w:szCs w:val="18"/>
              </w:rPr>
              <w:t>Services</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14:paraId="1D8C5CCA" w14:textId="77777777" w:rsidR="00721CCE" w:rsidRPr="0044733D" w:rsidRDefault="00721CCE" w:rsidP="00721CCE">
            <w:pPr>
              <w:spacing w:before="0" w:after="0"/>
              <w:jc w:val="center"/>
              <w:rPr>
                <w:rFonts w:eastAsia="Times New Roman"/>
                <w:color w:val="000000"/>
                <w:sz w:val="18"/>
                <w:szCs w:val="18"/>
              </w:rPr>
            </w:pPr>
            <w:r w:rsidRPr="0044733D">
              <w:rPr>
                <w:rFonts w:eastAsia="Times New Roman"/>
                <w:color w:val="000000"/>
                <w:sz w:val="18"/>
                <w:szCs w:val="18"/>
              </w:rPr>
              <w:t>American Tower LLC</w:t>
            </w:r>
          </w:p>
        </w:tc>
        <w:tc>
          <w:tcPr>
            <w:tcW w:w="3402" w:type="dxa"/>
            <w:tcBorders>
              <w:top w:val="single" w:sz="4" w:space="0" w:color="auto"/>
              <w:left w:val="single" w:sz="4" w:space="0" w:color="auto"/>
              <w:bottom w:val="single" w:sz="4" w:space="0" w:color="auto"/>
              <w:right w:val="single" w:sz="4" w:space="0" w:color="auto"/>
            </w:tcBorders>
          </w:tcPr>
          <w:p w14:paraId="2CD06ED3" w14:textId="2956DF87" w:rsidR="00721CCE" w:rsidRPr="00792026" w:rsidRDefault="00133294" w:rsidP="00721CCE">
            <w:pPr>
              <w:spacing w:before="0" w:after="0"/>
              <w:jc w:val="right"/>
              <w:rPr>
                <w:rFonts w:eastAsia="Times New Roman"/>
                <w:color w:val="000000"/>
                <w:sz w:val="18"/>
                <w:szCs w:val="18"/>
                <w:highlight w:val="cyan"/>
              </w:rPr>
            </w:pPr>
            <w:r>
              <w:rPr>
                <w:b/>
                <w:bCs/>
                <w:color w:val="0000CC"/>
                <w:sz w:val="19"/>
                <w:szCs w:val="19"/>
              </w:rPr>
              <w:t>“CONFIDENCIAL POR LEY (226</w:t>
            </w:r>
            <w:r w:rsidR="00721CCE" w:rsidRPr="000B780F">
              <w:rPr>
                <w:b/>
                <w:bCs/>
                <w:color w:val="0000CC"/>
                <w:sz w:val="19"/>
                <w:szCs w:val="19"/>
              </w:rPr>
              <w:t>)”</w:t>
            </w:r>
          </w:p>
        </w:tc>
      </w:tr>
      <w:tr w:rsidR="00721CCE" w:rsidRPr="0052179C" w14:paraId="6B03A73B" w14:textId="77777777" w:rsidTr="00133294">
        <w:tc>
          <w:tcPr>
            <w:tcW w:w="2547" w:type="dxa"/>
            <w:vMerge w:val="restart"/>
            <w:vAlign w:val="center"/>
          </w:tcPr>
          <w:p w14:paraId="36A32D11" w14:textId="77777777" w:rsidR="00721CCE" w:rsidRPr="0044733D" w:rsidRDefault="00721CCE" w:rsidP="00721CCE">
            <w:pPr>
              <w:spacing w:before="0" w:after="0"/>
              <w:jc w:val="left"/>
              <w:rPr>
                <w:rFonts w:eastAsia="Times New Roman"/>
                <w:color w:val="000000"/>
                <w:sz w:val="18"/>
                <w:szCs w:val="18"/>
              </w:rPr>
            </w:pPr>
            <w:r w:rsidRPr="0044733D">
              <w:rPr>
                <w:rFonts w:eastAsia="Times New Roman"/>
                <w:color w:val="000000"/>
                <w:sz w:val="18"/>
                <w:szCs w:val="18"/>
              </w:rPr>
              <w:t>MATC Digital, S. de R.L. de C.V. (MATC Digital)</w:t>
            </w:r>
          </w:p>
        </w:tc>
        <w:tc>
          <w:tcPr>
            <w:tcW w:w="3260" w:type="dxa"/>
            <w:shd w:val="clear" w:color="auto" w:fill="auto"/>
            <w:vAlign w:val="center"/>
          </w:tcPr>
          <w:p w14:paraId="2D04BEDE" w14:textId="77777777" w:rsidR="00721CCE" w:rsidRPr="0044733D" w:rsidRDefault="00721CCE" w:rsidP="00721CCE">
            <w:pPr>
              <w:spacing w:before="0" w:after="0"/>
              <w:jc w:val="center"/>
              <w:rPr>
                <w:rFonts w:eastAsia="Times New Roman"/>
                <w:color w:val="000000"/>
                <w:sz w:val="18"/>
                <w:szCs w:val="18"/>
              </w:rPr>
            </w:pPr>
            <w:r w:rsidRPr="0044733D">
              <w:rPr>
                <w:rFonts w:eastAsia="Times New Roman"/>
                <w:color w:val="000000"/>
                <w:sz w:val="18"/>
                <w:szCs w:val="18"/>
              </w:rPr>
              <w:t>ATC de México</w:t>
            </w:r>
          </w:p>
        </w:tc>
        <w:tc>
          <w:tcPr>
            <w:tcW w:w="3402" w:type="dxa"/>
            <w:shd w:val="clear" w:color="auto" w:fill="auto"/>
          </w:tcPr>
          <w:p w14:paraId="2A1B0E63" w14:textId="005FC7A3" w:rsidR="00721CCE" w:rsidRPr="00792026" w:rsidRDefault="00133294" w:rsidP="00721CCE">
            <w:pPr>
              <w:spacing w:before="0" w:after="0"/>
              <w:jc w:val="right"/>
              <w:rPr>
                <w:rFonts w:eastAsia="Times New Roman"/>
                <w:color w:val="000000"/>
                <w:sz w:val="18"/>
                <w:szCs w:val="18"/>
                <w:highlight w:val="cyan"/>
              </w:rPr>
            </w:pPr>
            <w:r>
              <w:rPr>
                <w:b/>
                <w:bCs/>
                <w:color w:val="0000CC"/>
                <w:sz w:val="19"/>
                <w:szCs w:val="19"/>
              </w:rPr>
              <w:t>“CONFIDENCIAL POR LEY (227</w:t>
            </w:r>
            <w:r w:rsidR="00721CCE" w:rsidRPr="000B780F">
              <w:rPr>
                <w:b/>
                <w:bCs/>
                <w:color w:val="0000CC"/>
                <w:sz w:val="19"/>
                <w:szCs w:val="19"/>
              </w:rPr>
              <w:t>)”</w:t>
            </w:r>
          </w:p>
        </w:tc>
      </w:tr>
      <w:tr w:rsidR="00721CCE" w:rsidRPr="0052179C" w14:paraId="3FF44342" w14:textId="77777777" w:rsidTr="00133294">
        <w:tc>
          <w:tcPr>
            <w:tcW w:w="2547" w:type="dxa"/>
            <w:vMerge/>
            <w:vAlign w:val="center"/>
          </w:tcPr>
          <w:p w14:paraId="06337647" w14:textId="77777777" w:rsidR="00721CCE" w:rsidRPr="0044733D" w:rsidRDefault="00721CCE" w:rsidP="00721CCE">
            <w:pPr>
              <w:spacing w:before="0" w:after="0"/>
              <w:jc w:val="left"/>
              <w:rPr>
                <w:rFonts w:eastAsia="Times New Roman"/>
                <w:color w:val="000000"/>
                <w:sz w:val="18"/>
                <w:szCs w:val="18"/>
              </w:rPr>
            </w:pPr>
          </w:p>
        </w:tc>
        <w:tc>
          <w:tcPr>
            <w:tcW w:w="3260" w:type="dxa"/>
            <w:shd w:val="clear" w:color="auto" w:fill="auto"/>
            <w:vAlign w:val="center"/>
          </w:tcPr>
          <w:p w14:paraId="7F4D2E5F" w14:textId="77777777" w:rsidR="00721CCE" w:rsidRPr="0044733D" w:rsidRDefault="00721CCE" w:rsidP="00721CCE">
            <w:pPr>
              <w:spacing w:before="0" w:after="0"/>
              <w:jc w:val="center"/>
              <w:rPr>
                <w:rFonts w:eastAsia="Times New Roman"/>
                <w:color w:val="000000"/>
                <w:sz w:val="18"/>
                <w:szCs w:val="18"/>
              </w:rPr>
            </w:pPr>
            <w:r w:rsidRPr="0044733D">
              <w:rPr>
                <w:rFonts w:eastAsia="Times New Roman"/>
                <w:color w:val="000000"/>
                <w:sz w:val="18"/>
                <w:szCs w:val="18"/>
              </w:rPr>
              <w:t xml:space="preserve">ATC Tower </w:t>
            </w:r>
            <w:proofErr w:type="spellStart"/>
            <w:r w:rsidRPr="0044733D">
              <w:rPr>
                <w:rFonts w:eastAsia="Times New Roman"/>
                <w:color w:val="000000"/>
                <w:sz w:val="18"/>
                <w:szCs w:val="18"/>
              </w:rPr>
              <w:t>Services</w:t>
            </w:r>
            <w:proofErr w:type="spellEnd"/>
          </w:p>
        </w:tc>
        <w:tc>
          <w:tcPr>
            <w:tcW w:w="3402" w:type="dxa"/>
            <w:shd w:val="clear" w:color="auto" w:fill="auto"/>
          </w:tcPr>
          <w:p w14:paraId="4EF8F5A3" w14:textId="68736866" w:rsidR="00721CCE" w:rsidRPr="00792026" w:rsidRDefault="00133294" w:rsidP="00721CCE">
            <w:pPr>
              <w:spacing w:before="0" w:after="0"/>
              <w:jc w:val="right"/>
              <w:rPr>
                <w:rFonts w:eastAsia="Times New Roman"/>
                <w:color w:val="000000"/>
                <w:sz w:val="18"/>
                <w:szCs w:val="18"/>
                <w:highlight w:val="cyan"/>
              </w:rPr>
            </w:pPr>
            <w:r>
              <w:rPr>
                <w:b/>
                <w:bCs/>
                <w:color w:val="0000CC"/>
                <w:sz w:val="19"/>
                <w:szCs w:val="19"/>
              </w:rPr>
              <w:t>“CONFIDENCIAL POR LEY (228</w:t>
            </w:r>
            <w:r w:rsidR="00721CCE" w:rsidRPr="000B780F">
              <w:rPr>
                <w:b/>
                <w:bCs/>
                <w:color w:val="0000CC"/>
                <w:sz w:val="19"/>
                <w:szCs w:val="19"/>
              </w:rPr>
              <w:t>)”</w:t>
            </w:r>
          </w:p>
        </w:tc>
      </w:tr>
      <w:tr w:rsidR="00721CCE" w:rsidRPr="00EE34BA" w14:paraId="504AEC83" w14:textId="77777777" w:rsidTr="00133294">
        <w:tc>
          <w:tcPr>
            <w:tcW w:w="2547" w:type="dxa"/>
            <w:vMerge w:val="restart"/>
            <w:vAlign w:val="center"/>
          </w:tcPr>
          <w:p w14:paraId="18C51B0A" w14:textId="77777777" w:rsidR="00721CCE" w:rsidRPr="0044733D" w:rsidRDefault="00721CCE" w:rsidP="00721CCE">
            <w:pPr>
              <w:spacing w:before="0" w:after="0"/>
              <w:jc w:val="left"/>
              <w:rPr>
                <w:rFonts w:eastAsia="Times New Roman"/>
                <w:color w:val="000000"/>
                <w:sz w:val="18"/>
                <w:szCs w:val="18"/>
              </w:rPr>
            </w:pPr>
            <w:r w:rsidRPr="0044733D">
              <w:rPr>
                <w:rFonts w:eastAsia="Times New Roman"/>
                <w:color w:val="000000"/>
                <w:sz w:val="18"/>
                <w:szCs w:val="18"/>
              </w:rPr>
              <w:t>MATC Servicios, S. de R.L. de C.V.</w:t>
            </w:r>
          </w:p>
        </w:tc>
        <w:tc>
          <w:tcPr>
            <w:tcW w:w="3260" w:type="dxa"/>
            <w:shd w:val="clear" w:color="auto" w:fill="auto"/>
            <w:vAlign w:val="center"/>
          </w:tcPr>
          <w:p w14:paraId="5CAAFCDD" w14:textId="77777777" w:rsidR="00721CCE" w:rsidRPr="0044733D" w:rsidRDefault="00721CCE" w:rsidP="00721CCE">
            <w:pPr>
              <w:spacing w:before="0" w:after="0"/>
              <w:jc w:val="center"/>
              <w:rPr>
                <w:rFonts w:eastAsia="Times New Roman"/>
                <w:color w:val="000000"/>
                <w:sz w:val="18"/>
                <w:szCs w:val="18"/>
              </w:rPr>
            </w:pPr>
            <w:r w:rsidRPr="0044733D">
              <w:rPr>
                <w:rFonts w:eastAsia="Times New Roman"/>
                <w:color w:val="000000"/>
                <w:sz w:val="18"/>
                <w:szCs w:val="18"/>
              </w:rPr>
              <w:t>MATC Digital</w:t>
            </w:r>
          </w:p>
        </w:tc>
        <w:tc>
          <w:tcPr>
            <w:tcW w:w="3402" w:type="dxa"/>
            <w:shd w:val="clear" w:color="auto" w:fill="auto"/>
          </w:tcPr>
          <w:p w14:paraId="26B386E6" w14:textId="0D442206" w:rsidR="00721CCE" w:rsidRPr="00792026" w:rsidRDefault="00133294" w:rsidP="00721CCE">
            <w:pPr>
              <w:spacing w:before="0" w:after="0"/>
              <w:jc w:val="right"/>
              <w:rPr>
                <w:rFonts w:eastAsia="Times New Roman"/>
                <w:color w:val="000000"/>
                <w:sz w:val="18"/>
                <w:szCs w:val="18"/>
                <w:highlight w:val="cyan"/>
              </w:rPr>
            </w:pPr>
            <w:r>
              <w:rPr>
                <w:b/>
                <w:bCs/>
                <w:color w:val="0000CC"/>
                <w:sz w:val="19"/>
                <w:szCs w:val="19"/>
              </w:rPr>
              <w:t>“CONFIDENCIAL POR LEY (229</w:t>
            </w:r>
            <w:r w:rsidR="00721CCE" w:rsidRPr="000B780F">
              <w:rPr>
                <w:b/>
                <w:bCs/>
                <w:color w:val="0000CC"/>
                <w:sz w:val="19"/>
                <w:szCs w:val="19"/>
              </w:rPr>
              <w:t>)”</w:t>
            </w:r>
          </w:p>
        </w:tc>
      </w:tr>
      <w:tr w:rsidR="00721CCE" w:rsidRPr="00EE34BA" w14:paraId="6B1C722A" w14:textId="77777777" w:rsidTr="00133294">
        <w:tc>
          <w:tcPr>
            <w:tcW w:w="2547" w:type="dxa"/>
            <w:vMerge/>
            <w:vAlign w:val="center"/>
          </w:tcPr>
          <w:p w14:paraId="656037F4" w14:textId="77777777" w:rsidR="00721CCE" w:rsidRPr="0044733D" w:rsidRDefault="00721CCE" w:rsidP="00721CCE">
            <w:pPr>
              <w:spacing w:before="0" w:after="0"/>
              <w:jc w:val="left"/>
              <w:rPr>
                <w:rFonts w:eastAsia="Times New Roman"/>
                <w:color w:val="000000"/>
                <w:sz w:val="18"/>
                <w:szCs w:val="18"/>
              </w:rPr>
            </w:pPr>
          </w:p>
        </w:tc>
        <w:tc>
          <w:tcPr>
            <w:tcW w:w="3260" w:type="dxa"/>
            <w:shd w:val="clear" w:color="auto" w:fill="auto"/>
            <w:vAlign w:val="center"/>
          </w:tcPr>
          <w:p w14:paraId="374F67BA" w14:textId="77777777" w:rsidR="00721CCE" w:rsidRPr="0044733D" w:rsidRDefault="00721CCE" w:rsidP="00721CCE">
            <w:pPr>
              <w:spacing w:before="0" w:after="0"/>
              <w:jc w:val="center"/>
              <w:rPr>
                <w:rFonts w:eastAsia="Times New Roman"/>
                <w:color w:val="000000"/>
                <w:sz w:val="18"/>
                <w:szCs w:val="18"/>
              </w:rPr>
            </w:pPr>
            <w:r w:rsidRPr="0044733D">
              <w:rPr>
                <w:rFonts w:eastAsia="Times New Roman"/>
                <w:color w:val="000000"/>
                <w:sz w:val="18"/>
                <w:szCs w:val="18"/>
              </w:rPr>
              <w:t xml:space="preserve">ATC Tower </w:t>
            </w:r>
            <w:proofErr w:type="spellStart"/>
            <w:r w:rsidRPr="0044733D">
              <w:rPr>
                <w:rFonts w:eastAsia="Times New Roman"/>
                <w:color w:val="000000"/>
                <w:sz w:val="18"/>
                <w:szCs w:val="18"/>
              </w:rPr>
              <w:t>Services</w:t>
            </w:r>
            <w:proofErr w:type="spellEnd"/>
          </w:p>
        </w:tc>
        <w:tc>
          <w:tcPr>
            <w:tcW w:w="3402" w:type="dxa"/>
            <w:shd w:val="clear" w:color="auto" w:fill="auto"/>
          </w:tcPr>
          <w:p w14:paraId="7C4B2D79" w14:textId="79337DBF" w:rsidR="00721CCE" w:rsidRPr="00792026" w:rsidRDefault="00133294" w:rsidP="00721CCE">
            <w:pPr>
              <w:spacing w:before="0" w:after="0"/>
              <w:jc w:val="right"/>
              <w:rPr>
                <w:rFonts w:eastAsia="Times New Roman"/>
                <w:color w:val="000000"/>
                <w:sz w:val="18"/>
                <w:szCs w:val="18"/>
                <w:highlight w:val="cyan"/>
              </w:rPr>
            </w:pPr>
            <w:r>
              <w:rPr>
                <w:b/>
                <w:bCs/>
                <w:color w:val="0000CC"/>
                <w:sz w:val="19"/>
                <w:szCs w:val="19"/>
              </w:rPr>
              <w:t>“CONFIDENCIAL POR LEY (230</w:t>
            </w:r>
            <w:r w:rsidR="00721CCE" w:rsidRPr="000B780F">
              <w:rPr>
                <w:b/>
                <w:bCs/>
                <w:color w:val="0000CC"/>
                <w:sz w:val="19"/>
                <w:szCs w:val="19"/>
              </w:rPr>
              <w:t>)”</w:t>
            </w:r>
          </w:p>
        </w:tc>
      </w:tr>
      <w:tr w:rsidR="00721CCE" w:rsidRPr="00EE34BA" w14:paraId="2FF02023" w14:textId="77777777" w:rsidTr="00133294">
        <w:tc>
          <w:tcPr>
            <w:tcW w:w="2547" w:type="dxa"/>
            <w:vMerge w:val="restart"/>
            <w:vAlign w:val="center"/>
          </w:tcPr>
          <w:p w14:paraId="3D54B529" w14:textId="77777777" w:rsidR="00721CCE" w:rsidRPr="0044733D" w:rsidRDefault="00721CCE" w:rsidP="00721CCE">
            <w:pPr>
              <w:spacing w:before="0" w:after="0"/>
              <w:jc w:val="left"/>
              <w:rPr>
                <w:rFonts w:eastAsia="Times New Roman"/>
                <w:color w:val="000000"/>
                <w:sz w:val="18"/>
                <w:szCs w:val="18"/>
              </w:rPr>
            </w:pPr>
            <w:r w:rsidRPr="0044733D">
              <w:rPr>
                <w:rFonts w:eastAsia="Times New Roman"/>
                <w:color w:val="000000"/>
                <w:sz w:val="18"/>
                <w:szCs w:val="18"/>
              </w:rPr>
              <w:t>MATC Infraestructura, S. de R.L. de C.V.</w:t>
            </w:r>
          </w:p>
        </w:tc>
        <w:tc>
          <w:tcPr>
            <w:tcW w:w="3260" w:type="dxa"/>
            <w:shd w:val="clear" w:color="auto" w:fill="auto"/>
            <w:vAlign w:val="center"/>
          </w:tcPr>
          <w:p w14:paraId="75B6C221" w14:textId="77777777" w:rsidR="00721CCE" w:rsidRPr="0044733D" w:rsidRDefault="00721CCE" w:rsidP="00721CCE">
            <w:pPr>
              <w:spacing w:before="0" w:after="0"/>
              <w:jc w:val="center"/>
              <w:rPr>
                <w:rFonts w:eastAsia="Times New Roman"/>
                <w:color w:val="000000"/>
                <w:sz w:val="18"/>
                <w:szCs w:val="18"/>
              </w:rPr>
            </w:pPr>
            <w:r w:rsidRPr="0044733D">
              <w:rPr>
                <w:rFonts w:eastAsia="Times New Roman"/>
                <w:color w:val="000000"/>
                <w:sz w:val="18"/>
                <w:szCs w:val="18"/>
              </w:rPr>
              <w:t>ATC de México</w:t>
            </w:r>
          </w:p>
        </w:tc>
        <w:tc>
          <w:tcPr>
            <w:tcW w:w="3402" w:type="dxa"/>
            <w:shd w:val="clear" w:color="auto" w:fill="auto"/>
          </w:tcPr>
          <w:p w14:paraId="7F425CD4" w14:textId="6992AD6C" w:rsidR="00721CCE" w:rsidRPr="00792026" w:rsidRDefault="00133294" w:rsidP="00721CCE">
            <w:pPr>
              <w:spacing w:before="0" w:after="0"/>
              <w:jc w:val="right"/>
              <w:rPr>
                <w:rFonts w:eastAsia="Times New Roman"/>
                <w:color w:val="000000"/>
                <w:sz w:val="18"/>
                <w:szCs w:val="18"/>
                <w:highlight w:val="cyan"/>
              </w:rPr>
            </w:pPr>
            <w:r>
              <w:rPr>
                <w:b/>
                <w:bCs/>
                <w:color w:val="0000CC"/>
                <w:sz w:val="19"/>
                <w:szCs w:val="19"/>
              </w:rPr>
              <w:t>“CONFIDENCIAL POR LEY (231</w:t>
            </w:r>
            <w:r w:rsidR="00721CCE" w:rsidRPr="000B780F">
              <w:rPr>
                <w:b/>
                <w:bCs/>
                <w:color w:val="0000CC"/>
                <w:sz w:val="19"/>
                <w:szCs w:val="19"/>
              </w:rPr>
              <w:t>)”</w:t>
            </w:r>
          </w:p>
        </w:tc>
      </w:tr>
      <w:tr w:rsidR="00721CCE" w:rsidRPr="00EE34BA" w14:paraId="0646857E" w14:textId="77777777" w:rsidTr="00133294">
        <w:tc>
          <w:tcPr>
            <w:tcW w:w="2547" w:type="dxa"/>
            <w:vMerge/>
            <w:vAlign w:val="center"/>
          </w:tcPr>
          <w:p w14:paraId="2A0DA094" w14:textId="77777777" w:rsidR="00721CCE" w:rsidRPr="0044733D" w:rsidRDefault="00721CCE" w:rsidP="00721CCE">
            <w:pPr>
              <w:spacing w:before="0" w:after="0"/>
              <w:jc w:val="left"/>
              <w:rPr>
                <w:rFonts w:eastAsia="Times New Roman"/>
                <w:color w:val="000000"/>
                <w:sz w:val="18"/>
                <w:szCs w:val="18"/>
              </w:rPr>
            </w:pPr>
          </w:p>
        </w:tc>
        <w:tc>
          <w:tcPr>
            <w:tcW w:w="3260" w:type="dxa"/>
            <w:shd w:val="clear" w:color="auto" w:fill="auto"/>
            <w:vAlign w:val="center"/>
          </w:tcPr>
          <w:p w14:paraId="67D61AA4" w14:textId="77777777" w:rsidR="00721CCE" w:rsidRPr="0044733D" w:rsidRDefault="00721CCE" w:rsidP="00721CCE">
            <w:pPr>
              <w:spacing w:before="0" w:after="0"/>
              <w:jc w:val="center"/>
              <w:rPr>
                <w:rFonts w:eastAsia="Times New Roman"/>
                <w:color w:val="000000"/>
                <w:sz w:val="18"/>
                <w:szCs w:val="18"/>
              </w:rPr>
            </w:pPr>
            <w:r w:rsidRPr="0044733D">
              <w:rPr>
                <w:rFonts w:eastAsia="Times New Roman"/>
                <w:color w:val="000000"/>
                <w:sz w:val="18"/>
                <w:szCs w:val="18"/>
              </w:rPr>
              <w:t xml:space="preserve">ATC Tower </w:t>
            </w:r>
            <w:proofErr w:type="spellStart"/>
            <w:r w:rsidRPr="0044733D">
              <w:rPr>
                <w:rFonts w:eastAsia="Times New Roman"/>
                <w:color w:val="000000"/>
                <w:sz w:val="18"/>
                <w:szCs w:val="18"/>
              </w:rPr>
              <w:t>Services</w:t>
            </w:r>
            <w:proofErr w:type="spellEnd"/>
          </w:p>
        </w:tc>
        <w:tc>
          <w:tcPr>
            <w:tcW w:w="3402" w:type="dxa"/>
            <w:shd w:val="clear" w:color="auto" w:fill="auto"/>
          </w:tcPr>
          <w:p w14:paraId="1BC8ED5B" w14:textId="4746A0C2" w:rsidR="00721CCE" w:rsidRPr="00792026" w:rsidRDefault="00721CCE" w:rsidP="00721CCE">
            <w:pPr>
              <w:spacing w:before="0" w:after="0"/>
              <w:jc w:val="right"/>
              <w:rPr>
                <w:rFonts w:eastAsia="Times New Roman"/>
                <w:color w:val="000000"/>
                <w:sz w:val="18"/>
                <w:szCs w:val="18"/>
                <w:highlight w:val="cyan"/>
              </w:rPr>
            </w:pPr>
            <w:r w:rsidRPr="000B780F">
              <w:rPr>
                <w:b/>
                <w:bCs/>
                <w:color w:val="0000CC"/>
                <w:sz w:val="19"/>
                <w:szCs w:val="19"/>
              </w:rPr>
              <w:t>“</w:t>
            </w:r>
            <w:r w:rsidR="00133294">
              <w:rPr>
                <w:b/>
                <w:bCs/>
                <w:color w:val="0000CC"/>
                <w:sz w:val="19"/>
                <w:szCs w:val="19"/>
              </w:rPr>
              <w:t>CONFIDENCIAL POR LEY (232</w:t>
            </w:r>
            <w:r w:rsidRPr="000B780F">
              <w:rPr>
                <w:b/>
                <w:bCs/>
                <w:color w:val="0000CC"/>
                <w:sz w:val="19"/>
                <w:szCs w:val="19"/>
              </w:rPr>
              <w:t>)”</w:t>
            </w:r>
          </w:p>
        </w:tc>
      </w:tr>
      <w:tr w:rsidR="00721CCE" w:rsidRPr="00EE34BA" w14:paraId="3A6BFBA9" w14:textId="77777777" w:rsidTr="00133294">
        <w:tc>
          <w:tcPr>
            <w:tcW w:w="2547" w:type="dxa"/>
            <w:vMerge w:val="restart"/>
            <w:vAlign w:val="center"/>
          </w:tcPr>
          <w:p w14:paraId="5A7BE68C" w14:textId="77777777" w:rsidR="00721CCE" w:rsidRPr="0044733D" w:rsidRDefault="00721CCE" w:rsidP="00721CCE">
            <w:pPr>
              <w:spacing w:before="0" w:after="0"/>
              <w:jc w:val="left"/>
              <w:rPr>
                <w:rFonts w:eastAsia="Times New Roman"/>
                <w:color w:val="000000"/>
                <w:sz w:val="18"/>
                <w:szCs w:val="18"/>
              </w:rPr>
            </w:pPr>
            <w:r w:rsidRPr="0044733D">
              <w:rPr>
                <w:rFonts w:eastAsia="Times New Roman"/>
                <w:color w:val="000000"/>
                <w:sz w:val="18"/>
                <w:szCs w:val="18"/>
              </w:rPr>
              <w:t>Adquisiciones y Proyectos Inalámbricos, S. de R.L. de C.V.</w:t>
            </w:r>
          </w:p>
        </w:tc>
        <w:tc>
          <w:tcPr>
            <w:tcW w:w="3260" w:type="dxa"/>
            <w:shd w:val="clear" w:color="auto" w:fill="auto"/>
            <w:vAlign w:val="center"/>
          </w:tcPr>
          <w:p w14:paraId="5E487667" w14:textId="77777777" w:rsidR="00721CCE" w:rsidRPr="0044733D" w:rsidRDefault="00721CCE" w:rsidP="00721CCE">
            <w:pPr>
              <w:spacing w:before="0" w:after="0"/>
              <w:jc w:val="center"/>
              <w:rPr>
                <w:rFonts w:eastAsia="Times New Roman"/>
                <w:color w:val="000000"/>
                <w:sz w:val="18"/>
                <w:szCs w:val="18"/>
              </w:rPr>
            </w:pPr>
            <w:r w:rsidRPr="0044733D">
              <w:rPr>
                <w:rFonts w:eastAsia="Times New Roman"/>
                <w:color w:val="000000"/>
                <w:sz w:val="18"/>
                <w:szCs w:val="18"/>
              </w:rPr>
              <w:t>ATC de México</w:t>
            </w:r>
          </w:p>
        </w:tc>
        <w:tc>
          <w:tcPr>
            <w:tcW w:w="3402" w:type="dxa"/>
            <w:shd w:val="clear" w:color="auto" w:fill="auto"/>
          </w:tcPr>
          <w:p w14:paraId="1CF33CB0" w14:textId="77319635" w:rsidR="00721CCE" w:rsidRPr="00792026" w:rsidRDefault="00133294" w:rsidP="00721CCE">
            <w:pPr>
              <w:spacing w:before="0" w:after="0"/>
              <w:jc w:val="right"/>
              <w:rPr>
                <w:rFonts w:eastAsia="Times New Roman"/>
                <w:color w:val="000000"/>
                <w:sz w:val="18"/>
                <w:szCs w:val="18"/>
                <w:highlight w:val="cyan"/>
              </w:rPr>
            </w:pPr>
            <w:r>
              <w:rPr>
                <w:b/>
                <w:bCs/>
                <w:color w:val="0000CC"/>
                <w:sz w:val="19"/>
                <w:szCs w:val="19"/>
              </w:rPr>
              <w:t>“CONFIDENCIAL POR LEY (233</w:t>
            </w:r>
            <w:r w:rsidR="00721CCE" w:rsidRPr="000B780F">
              <w:rPr>
                <w:b/>
                <w:bCs/>
                <w:color w:val="0000CC"/>
                <w:sz w:val="19"/>
                <w:szCs w:val="19"/>
              </w:rPr>
              <w:t>)”</w:t>
            </w:r>
          </w:p>
        </w:tc>
      </w:tr>
      <w:tr w:rsidR="00721CCE" w:rsidRPr="00EE34BA" w14:paraId="0E66845A" w14:textId="77777777" w:rsidTr="00133294">
        <w:tc>
          <w:tcPr>
            <w:tcW w:w="2547" w:type="dxa"/>
            <w:vMerge/>
            <w:vAlign w:val="center"/>
          </w:tcPr>
          <w:p w14:paraId="5BA2666C" w14:textId="77777777" w:rsidR="00721CCE" w:rsidRPr="0044733D" w:rsidRDefault="00721CCE" w:rsidP="00721CCE">
            <w:pPr>
              <w:spacing w:before="0" w:after="0"/>
              <w:jc w:val="left"/>
              <w:rPr>
                <w:rFonts w:eastAsia="Times New Roman"/>
                <w:color w:val="000000"/>
                <w:sz w:val="18"/>
                <w:szCs w:val="18"/>
              </w:rPr>
            </w:pPr>
          </w:p>
        </w:tc>
        <w:tc>
          <w:tcPr>
            <w:tcW w:w="3260" w:type="dxa"/>
            <w:shd w:val="clear" w:color="auto" w:fill="auto"/>
            <w:vAlign w:val="center"/>
          </w:tcPr>
          <w:p w14:paraId="004029E2" w14:textId="77777777" w:rsidR="00721CCE" w:rsidRPr="0044733D" w:rsidRDefault="00721CCE" w:rsidP="00721CCE">
            <w:pPr>
              <w:spacing w:before="0" w:after="0"/>
              <w:jc w:val="center"/>
              <w:rPr>
                <w:rFonts w:eastAsia="Times New Roman"/>
                <w:color w:val="000000"/>
                <w:sz w:val="18"/>
                <w:szCs w:val="18"/>
              </w:rPr>
            </w:pPr>
            <w:r w:rsidRPr="0044733D">
              <w:rPr>
                <w:rFonts w:eastAsia="Times New Roman"/>
                <w:color w:val="000000"/>
                <w:sz w:val="18"/>
                <w:szCs w:val="18"/>
              </w:rPr>
              <w:t>ATC México Holding</w:t>
            </w:r>
          </w:p>
        </w:tc>
        <w:tc>
          <w:tcPr>
            <w:tcW w:w="3402" w:type="dxa"/>
            <w:shd w:val="clear" w:color="auto" w:fill="auto"/>
          </w:tcPr>
          <w:p w14:paraId="3893851D" w14:textId="403A6B5A" w:rsidR="00721CCE" w:rsidRPr="00792026" w:rsidRDefault="00133294" w:rsidP="00721CCE">
            <w:pPr>
              <w:spacing w:before="0" w:after="0"/>
              <w:jc w:val="right"/>
              <w:rPr>
                <w:rFonts w:eastAsia="Times New Roman"/>
                <w:color w:val="000000"/>
                <w:sz w:val="18"/>
                <w:szCs w:val="18"/>
                <w:highlight w:val="cyan"/>
              </w:rPr>
            </w:pPr>
            <w:r>
              <w:rPr>
                <w:b/>
                <w:bCs/>
                <w:color w:val="0000CC"/>
                <w:sz w:val="19"/>
                <w:szCs w:val="19"/>
              </w:rPr>
              <w:t>“CONFIDENCIAL POR LEY (234</w:t>
            </w:r>
            <w:r w:rsidR="00721CCE" w:rsidRPr="000B780F">
              <w:rPr>
                <w:b/>
                <w:bCs/>
                <w:color w:val="0000CC"/>
                <w:sz w:val="19"/>
                <w:szCs w:val="19"/>
              </w:rPr>
              <w:t>)”</w:t>
            </w:r>
          </w:p>
        </w:tc>
      </w:tr>
      <w:tr w:rsidR="00721CCE" w:rsidRPr="0052179C" w14:paraId="0C4846CE" w14:textId="77777777" w:rsidTr="00133294">
        <w:tc>
          <w:tcPr>
            <w:tcW w:w="2547" w:type="dxa"/>
            <w:vMerge w:val="restart"/>
            <w:vAlign w:val="center"/>
          </w:tcPr>
          <w:p w14:paraId="0DF03841" w14:textId="77777777" w:rsidR="00721CCE" w:rsidRPr="0044733D" w:rsidRDefault="00721CCE" w:rsidP="00721CCE">
            <w:pPr>
              <w:spacing w:before="0" w:after="0"/>
              <w:jc w:val="left"/>
              <w:rPr>
                <w:rFonts w:eastAsia="Times New Roman"/>
                <w:color w:val="000000"/>
                <w:sz w:val="18"/>
                <w:szCs w:val="18"/>
              </w:rPr>
            </w:pPr>
            <w:r w:rsidRPr="0044733D">
              <w:rPr>
                <w:rFonts w:eastAsia="Times New Roman"/>
                <w:color w:val="000000"/>
                <w:sz w:val="18"/>
                <w:szCs w:val="18"/>
              </w:rPr>
              <w:t xml:space="preserve">ATC </w:t>
            </w:r>
            <w:proofErr w:type="spellStart"/>
            <w:r w:rsidRPr="0044733D">
              <w:rPr>
                <w:rFonts w:eastAsia="Times New Roman"/>
                <w:color w:val="000000"/>
                <w:sz w:val="18"/>
                <w:szCs w:val="18"/>
              </w:rPr>
              <w:t>Latin</w:t>
            </w:r>
            <w:proofErr w:type="spellEnd"/>
            <w:r w:rsidRPr="0044733D">
              <w:rPr>
                <w:rFonts w:eastAsia="Times New Roman"/>
                <w:color w:val="000000"/>
                <w:sz w:val="18"/>
                <w:szCs w:val="18"/>
              </w:rPr>
              <w:t xml:space="preserve"> </w:t>
            </w:r>
            <w:proofErr w:type="spellStart"/>
            <w:r w:rsidRPr="0044733D">
              <w:rPr>
                <w:rFonts w:eastAsia="Times New Roman"/>
                <w:color w:val="000000"/>
                <w:sz w:val="18"/>
                <w:szCs w:val="18"/>
              </w:rPr>
              <w:t>America</w:t>
            </w:r>
            <w:proofErr w:type="spellEnd"/>
            <w:r w:rsidRPr="0044733D">
              <w:rPr>
                <w:rFonts w:eastAsia="Times New Roman"/>
                <w:color w:val="000000"/>
                <w:sz w:val="18"/>
                <w:szCs w:val="18"/>
              </w:rPr>
              <w:t>, S.A. de C.V. SOFOM, E.N.R.</w:t>
            </w:r>
          </w:p>
        </w:tc>
        <w:tc>
          <w:tcPr>
            <w:tcW w:w="3260" w:type="dxa"/>
            <w:shd w:val="clear" w:color="auto" w:fill="auto"/>
            <w:vAlign w:val="center"/>
          </w:tcPr>
          <w:p w14:paraId="53AADAFF" w14:textId="77777777" w:rsidR="00721CCE" w:rsidRPr="0044733D" w:rsidRDefault="00721CCE" w:rsidP="00721CCE">
            <w:pPr>
              <w:spacing w:before="0" w:after="0"/>
              <w:jc w:val="center"/>
              <w:rPr>
                <w:rFonts w:eastAsia="Times New Roman"/>
                <w:color w:val="000000"/>
                <w:sz w:val="18"/>
                <w:szCs w:val="18"/>
              </w:rPr>
            </w:pPr>
            <w:r w:rsidRPr="0044733D">
              <w:rPr>
                <w:rFonts w:eastAsia="Times New Roman"/>
                <w:color w:val="000000"/>
                <w:sz w:val="18"/>
                <w:szCs w:val="18"/>
              </w:rPr>
              <w:t xml:space="preserve">ATC </w:t>
            </w:r>
            <w:proofErr w:type="spellStart"/>
            <w:r w:rsidRPr="0044733D">
              <w:rPr>
                <w:rFonts w:eastAsia="Times New Roman"/>
                <w:color w:val="000000"/>
                <w:sz w:val="18"/>
                <w:szCs w:val="18"/>
              </w:rPr>
              <w:t>Mexhold</w:t>
            </w:r>
            <w:proofErr w:type="spellEnd"/>
          </w:p>
        </w:tc>
        <w:tc>
          <w:tcPr>
            <w:tcW w:w="3402" w:type="dxa"/>
            <w:shd w:val="clear" w:color="auto" w:fill="auto"/>
          </w:tcPr>
          <w:p w14:paraId="5CA04A1E" w14:textId="43193115" w:rsidR="00721CCE" w:rsidRPr="00792026" w:rsidRDefault="00721CCE" w:rsidP="00721CCE">
            <w:pPr>
              <w:spacing w:before="0" w:after="0"/>
              <w:jc w:val="right"/>
              <w:rPr>
                <w:rFonts w:eastAsia="Times New Roman"/>
                <w:color w:val="000000"/>
                <w:sz w:val="18"/>
                <w:szCs w:val="18"/>
                <w:highlight w:val="cyan"/>
              </w:rPr>
            </w:pPr>
            <w:r w:rsidRPr="000B780F">
              <w:rPr>
                <w:b/>
                <w:bCs/>
                <w:color w:val="0000CC"/>
                <w:sz w:val="19"/>
                <w:szCs w:val="19"/>
              </w:rPr>
              <w:t xml:space="preserve">“CONFIDENCIAL POR LEY </w:t>
            </w:r>
            <w:r w:rsidR="00133294">
              <w:rPr>
                <w:b/>
                <w:bCs/>
                <w:color w:val="0000CC"/>
                <w:sz w:val="19"/>
                <w:szCs w:val="19"/>
              </w:rPr>
              <w:t>(235</w:t>
            </w:r>
            <w:r w:rsidRPr="000B780F">
              <w:rPr>
                <w:b/>
                <w:bCs/>
                <w:color w:val="0000CC"/>
                <w:sz w:val="19"/>
                <w:szCs w:val="19"/>
              </w:rPr>
              <w:t>)”</w:t>
            </w:r>
          </w:p>
        </w:tc>
      </w:tr>
      <w:tr w:rsidR="00721CCE" w:rsidRPr="00713B16" w14:paraId="5035C068" w14:textId="77777777" w:rsidTr="00133294">
        <w:tc>
          <w:tcPr>
            <w:tcW w:w="2547" w:type="dxa"/>
            <w:vMerge/>
            <w:vAlign w:val="center"/>
          </w:tcPr>
          <w:p w14:paraId="4BD10183" w14:textId="77777777" w:rsidR="00721CCE" w:rsidRPr="00920D4E" w:rsidRDefault="00721CCE" w:rsidP="00721CCE">
            <w:pPr>
              <w:spacing w:before="0" w:after="0"/>
              <w:jc w:val="center"/>
              <w:rPr>
                <w:rFonts w:eastAsia="Times New Roman"/>
                <w:color w:val="000000"/>
                <w:sz w:val="18"/>
                <w:szCs w:val="18"/>
                <w:highlight w:val="blue"/>
              </w:rPr>
            </w:pPr>
          </w:p>
        </w:tc>
        <w:tc>
          <w:tcPr>
            <w:tcW w:w="3260" w:type="dxa"/>
            <w:shd w:val="clear" w:color="auto" w:fill="auto"/>
            <w:vAlign w:val="center"/>
          </w:tcPr>
          <w:p w14:paraId="2C33CCAB" w14:textId="77777777" w:rsidR="00721CCE" w:rsidRPr="0044733D" w:rsidRDefault="00721CCE" w:rsidP="00721CCE">
            <w:pPr>
              <w:spacing w:before="0" w:after="0"/>
              <w:jc w:val="center"/>
              <w:rPr>
                <w:rFonts w:eastAsia="Times New Roman"/>
                <w:color w:val="000000"/>
                <w:sz w:val="18"/>
                <w:szCs w:val="18"/>
              </w:rPr>
            </w:pPr>
            <w:r w:rsidRPr="0044733D">
              <w:rPr>
                <w:rFonts w:eastAsia="Times New Roman"/>
                <w:color w:val="000000"/>
                <w:sz w:val="18"/>
                <w:szCs w:val="18"/>
              </w:rPr>
              <w:t>ATC México Holding</w:t>
            </w:r>
          </w:p>
        </w:tc>
        <w:tc>
          <w:tcPr>
            <w:tcW w:w="3402" w:type="dxa"/>
            <w:shd w:val="clear" w:color="auto" w:fill="auto"/>
          </w:tcPr>
          <w:p w14:paraId="5A3F79F0" w14:textId="39F9B3A0" w:rsidR="00721CCE" w:rsidRPr="00792026" w:rsidRDefault="00133294" w:rsidP="00721CCE">
            <w:pPr>
              <w:spacing w:before="0" w:after="0"/>
              <w:jc w:val="right"/>
              <w:rPr>
                <w:rFonts w:eastAsia="Times New Roman"/>
                <w:color w:val="000000"/>
                <w:sz w:val="18"/>
                <w:szCs w:val="18"/>
                <w:highlight w:val="cyan"/>
              </w:rPr>
            </w:pPr>
            <w:r>
              <w:rPr>
                <w:b/>
                <w:bCs/>
                <w:color w:val="0000CC"/>
                <w:sz w:val="19"/>
                <w:szCs w:val="19"/>
              </w:rPr>
              <w:t>“CONFIDENCIAL POR LEY (236</w:t>
            </w:r>
            <w:r w:rsidR="00721CCE" w:rsidRPr="000B780F">
              <w:rPr>
                <w:b/>
                <w:bCs/>
                <w:color w:val="0000CC"/>
                <w:sz w:val="19"/>
                <w:szCs w:val="19"/>
              </w:rPr>
              <w:t>)”</w:t>
            </w:r>
          </w:p>
        </w:tc>
      </w:tr>
    </w:tbl>
    <w:p w14:paraId="392335EA" w14:textId="1C345566" w:rsidR="005B397C" w:rsidRPr="003A0DA1" w:rsidRDefault="005B397C" w:rsidP="003A0DA1">
      <w:pPr>
        <w:pStyle w:val="Notaalpie"/>
        <w:ind w:left="142" w:right="190"/>
        <w:rPr>
          <w:rFonts w:eastAsia="Calibri" w:cs="Times New Roman"/>
          <w:sz w:val="16"/>
        </w:rPr>
      </w:pPr>
      <w:r w:rsidRPr="003A0DA1">
        <w:rPr>
          <w:rFonts w:eastAsia="Calibri" w:cs="Times New Roman"/>
          <w:sz w:val="16"/>
        </w:rPr>
        <w:t xml:space="preserve">Fuente: Elaboración propia con información proporcionada por las Partes, contenida en Fojas </w:t>
      </w:r>
      <w:r w:rsidR="00C566B7" w:rsidRPr="003A0DA1">
        <w:rPr>
          <w:rFonts w:eastAsia="Calibri" w:cs="Times New Roman"/>
          <w:sz w:val="16"/>
        </w:rPr>
        <w:t>22, 716-717 y 1493-1494</w:t>
      </w:r>
      <w:r w:rsidR="006960EB" w:rsidRPr="003A0DA1">
        <w:rPr>
          <w:rFonts w:eastAsia="Calibri" w:cs="Times New Roman"/>
          <w:sz w:val="16"/>
        </w:rPr>
        <w:t xml:space="preserve"> </w:t>
      </w:r>
      <w:r w:rsidRPr="003A0DA1">
        <w:rPr>
          <w:rFonts w:eastAsia="Calibri" w:cs="Times New Roman"/>
          <w:sz w:val="16"/>
        </w:rPr>
        <w:t>del Expediente.</w:t>
      </w:r>
    </w:p>
    <w:p w14:paraId="16D82D93" w14:textId="6A6AD315" w:rsidR="006801D8" w:rsidRDefault="006801D8" w:rsidP="006801D8">
      <w:pPr>
        <w:pStyle w:val="Prrafodelista"/>
        <w:spacing w:after="120" w:line="276" w:lineRule="auto"/>
        <w:ind w:left="0"/>
        <w:contextualSpacing w:val="0"/>
      </w:pPr>
      <w:r w:rsidRPr="00E859A7">
        <w:t xml:space="preserve">Con base en la información proporcionada por las Partes, en el siguiente cuadro se presenta la información financiera de </w:t>
      </w:r>
      <w:r>
        <w:t>ATC</w:t>
      </w:r>
      <w:r w:rsidRPr="00E859A7">
        <w:t>.</w:t>
      </w:r>
    </w:p>
    <w:p w14:paraId="7E591287" w14:textId="0F5BC692" w:rsidR="006801D8" w:rsidRPr="00E859A7" w:rsidRDefault="006801D8" w:rsidP="003A0DA1">
      <w:pPr>
        <w:pStyle w:val="Sinespaciado"/>
        <w:keepNext/>
        <w:numPr>
          <w:ilvl w:val="0"/>
          <w:numId w:val="24"/>
        </w:numPr>
        <w:spacing w:before="120" w:after="120" w:line="276" w:lineRule="auto"/>
        <w:ind w:left="2268" w:right="48" w:hanging="1275"/>
        <w:jc w:val="both"/>
        <w:rPr>
          <w:rFonts w:ascii="ITC Avant Garde" w:hAnsi="ITC Avant Garde"/>
          <w:b/>
        </w:rPr>
      </w:pPr>
      <w:r w:rsidRPr="00E859A7">
        <w:rPr>
          <w:rFonts w:ascii="ITC Avant Garde" w:hAnsi="ITC Avant Garde"/>
          <w:b/>
        </w:rPr>
        <w:t xml:space="preserve">Cifras financieras </w:t>
      </w:r>
      <w:r w:rsidR="00783AA2">
        <w:rPr>
          <w:rFonts w:ascii="ITC Avant Garde" w:hAnsi="ITC Avant Garde"/>
          <w:b/>
        </w:rPr>
        <w:t xml:space="preserve">consolidadas </w:t>
      </w:r>
      <w:r w:rsidRPr="00E859A7">
        <w:rPr>
          <w:rFonts w:ascii="ITC Avant Garde" w:hAnsi="ITC Avant Garde"/>
          <w:b/>
        </w:rPr>
        <w:t xml:space="preserve">de </w:t>
      </w:r>
      <w:r>
        <w:rPr>
          <w:rFonts w:ascii="ITC Avant Garde" w:hAnsi="ITC Avant Garde"/>
          <w:b/>
        </w:rPr>
        <w:t>ATC</w:t>
      </w: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Cuadro 20."/>
        <w:tblDescription w:val="Señala cuales son la cifras financieras consolidadas de ATC"/>
      </w:tblPr>
      <w:tblGrid>
        <w:gridCol w:w="2522"/>
        <w:gridCol w:w="3290"/>
        <w:gridCol w:w="3334"/>
      </w:tblGrid>
      <w:tr w:rsidR="006801D8" w:rsidRPr="0030526C" w14:paraId="2B5DEBC0" w14:textId="77777777" w:rsidTr="00133294">
        <w:trPr>
          <w:trHeight w:val="20"/>
          <w:tblHeader/>
          <w:jc w:val="center"/>
        </w:trPr>
        <w:tc>
          <w:tcPr>
            <w:tcW w:w="2522" w:type="dxa"/>
            <w:shd w:val="clear" w:color="auto" w:fill="92D050"/>
            <w:vAlign w:val="center"/>
            <w:hideMark/>
          </w:tcPr>
          <w:p w14:paraId="3A28B2BD" w14:textId="77777777" w:rsidR="006801D8" w:rsidRPr="00C1349E" w:rsidRDefault="006801D8" w:rsidP="006801D8">
            <w:pPr>
              <w:keepNext/>
              <w:spacing w:before="0" w:after="0" w:line="240" w:lineRule="auto"/>
              <w:jc w:val="center"/>
              <w:rPr>
                <w:rFonts w:eastAsia="Times New Roman"/>
                <w:b/>
                <w:bCs/>
                <w:sz w:val="18"/>
                <w:szCs w:val="18"/>
              </w:rPr>
            </w:pPr>
            <w:r w:rsidRPr="00C1349E">
              <w:rPr>
                <w:rFonts w:eastAsia="Times New Roman"/>
                <w:b/>
                <w:bCs/>
                <w:sz w:val="18"/>
                <w:szCs w:val="18"/>
              </w:rPr>
              <w:t>Concepto (</w:t>
            </w:r>
            <w:r>
              <w:rPr>
                <w:rFonts w:eastAsia="Times New Roman"/>
                <w:b/>
                <w:bCs/>
                <w:sz w:val="18"/>
                <w:szCs w:val="18"/>
              </w:rPr>
              <w:t>USD</w:t>
            </w:r>
            <w:r w:rsidRPr="00C1349E">
              <w:rPr>
                <w:rFonts w:eastAsia="Times New Roman"/>
                <w:b/>
                <w:bCs/>
                <w:sz w:val="18"/>
                <w:szCs w:val="18"/>
              </w:rPr>
              <w:t xml:space="preserve"> nominales)</w:t>
            </w:r>
          </w:p>
        </w:tc>
        <w:tc>
          <w:tcPr>
            <w:tcW w:w="3290" w:type="dxa"/>
            <w:shd w:val="clear" w:color="auto" w:fill="92D050"/>
            <w:vAlign w:val="center"/>
            <w:hideMark/>
          </w:tcPr>
          <w:p w14:paraId="465DD381" w14:textId="77777777" w:rsidR="006801D8" w:rsidRPr="00C1349E" w:rsidRDefault="006801D8" w:rsidP="00B17419">
            <w:pPr>
              <w:keepNext/>
              <w:spacing w:before="0" w:after="0" w:line="240" w:lineRule="auto"/>
              <w:jc w:val="center"/>
              <w:rPr>
                <w:rFonts w:eastAsia="Times New Roman"/>
                <w:b/>
                <w:bCs/>
                <w:sz w:val="18"/>
                <w:szCs w:val="18"/>
              </w:rPr>
            </w:pPr>
            <w:r w:rsidRPr="00C1349E">
              <w:rPr>
                <w:b/>
                <w:sz w:val="18"/>
                <w:szCs w:val="18"/>
              </w:rPr>
              <w:t xml:space="preserve">diciembre de </w:t>
            </w:r>
            <w:r w:rsidRPr="00C1349E">
              <w:rPr>
                <w:rFonts w:eastAsia="Times New Roman"/>
                <w:b/>
                <w:bCs/>
                <w:sz w:val="18"/>
                <w:szCs w:val="18"/>
              </w:rPr>
              <w:t>2016</w:t>
            </w:r>
          </w:p>
        </w:tc>
        <w:tc>
          <w:tcPr>
            <w:tcW w:w="3334" w:type="dxa"/>
            <w:shd w:val="clear" w:color="auto" w:fill="92D050"/>
            <w:vAlign w:val="center"/>
          </w:tcPr>
          <w:p w14:paraId="1887C359" w14:textId="77777777" w:rsidR="006801D8" w:rsidRPr="00C1349E" w:rsidRDefault="006801D8" w:rsidP="00B17419">
            <w:pPr>
              <w:keepNext/>
              <w:spacing w:before="0" w:after="0" w:line="240" w:lineRule="auto"/>
              <w:jc w:val="center"/>
              <w:rPr>
                <w:rFonts w:eastAsia="Times New Roman"/>
                <w:b/>
                <w:bCs/>
                <w:sz w:val="18"/>
                <w:szCs w:val="18"/>
              </w:rPr>
            </w:pPr>
            <w:r w:rsidRPr="00C1349E">
              <w:rPr>
                <w:b/>
                <w:sz w:val="18"/>
                <w:szCs w:val="18"/>
              </w:rPr>
              <w:t xml:space="preserve">diciembre de </w:t>
            </w:r>
            <w:r w:rsidRPr="00C1349E">
              <w:rPr>
                <w:rFonts w:eastAsia="Times New Roman"/>
                <w:b/>
                <w:bCs/>
                <w:sz w:val="18"/>
                <w:szCs w:val="18"/>
              </w:rPr>
              <w:t>2015</w:t>
            </w:r>
          </w:p>
        </w:tc>
      </w:tr>
      <w:tr w:rsidR="00721CCE" w:rsidRPr="00C1349E" w14:paraId="7E86F490" w14:textId="77777777" w:rsidTr="00133294">
        <w:trPr>
          <w:trHeight w:val="20"/>
          <w:jc w:val="center"/>
        </w:trPr>
        <w:tc>
          <w:tcPr>
            <w:tcW w:w="2522" w:type="dxa"/>
            <w:shd w:val="clear" w:color="auto" w:fill="auto"/>
            <w:vAlign w:val="center"/>
            <w:hideMark/>
          </w:tcPr>
          <w:p w14:paraId="4D29E3FD" w14:textId="77777777" w:rsidR="00721CCE" w:rsidRPr="00C1349E" w:rsidRDefault="00721CCE" w:rsidP="00721CCE">
            <w:pPr>
              <w:keepNext/>
              <w:spacing w:before="0" w:after="0" w:line="240" w:lineRule="auto"/>
              <w:rPr>
                <w:rFonts w:eastAsia="Times New Roman"/>
                <w:color w:val="000000"/>
                <w:sz w:val="18"/>
                <w:szCs w:val="18"/>
              </w:rPr>
            </w:pPr>
            <w:r w:rsidRPr="00C1349E">
              <w:rPr>
                <w:rFonts w:eastAsia="Times New Roman"/>
                <w:color w:val="000000"/>
                <w:sz w:val="18"/>
                <w:szCs w:val="18"/>
              </w:rPr>
              <w:t>Ingresos</w:t>
            </w:r>
          </w:p>
        </w:tc>
        <w:tc>
          <w:tcPr>
            <w:tcW w:w="3290" w:type="dxa"/>
            <w:shd w:val="clear" w:color="auto" w:fill="auto"/>
          </w:tcPr>
          <w:p w14:paraId="5B1C4670" w14:textId="261537AF" w:rsidR="00721CCE" w:rsidRPr="00AF14C3" w:rsidRDefault="00133294" w:rsidP="00133294">
            <w:pPr>
              <w:keepNext/>
              <w:spacing w:before="0" w:after="0" w:line="240" w:lineRule="auto"/>
              <w:ind w:right="190"/>
              <w:rPr>
                <w:rFonts w:eastAsia="Times New Roman"/>
                <w:color w:val="000000"/>
                <w:sz w:val="18"/>
                <w:szCs w:val="18"/>
                <w:highlight w:val="cyan"/>
              </w:rPr>
            </w:pPr>
            <w:r>
              <w:rPr>
                <w:b/>
                <w:bCs/>
                <w:color w:val="0000CC"/>
                <w:sz w:val="19"/>
                <w:szCs w:val="19"/>
              </w:rPr>
              <w:t>“CONFIDENCIAL POR LEY (237</w:t>
            </w:r>
            <w:r w:rsidR="00721CCE" w:rsidRPr="002E7D60">
              <w:rPr>
                <w:b/>
                <w:bCs/>
                <w:color w:val="0000CC"/>
                <w:sz w:val="19"/>
                <w:szCs w:val="19"/>
              </w:rPr>
              <w:t>)”</w:t>
            </w:r>
          </w:p>
        </w:tc>
        <w:tc>
          <w:tcPr>
            <w:tcW w:w="3334" w:type="dxa"/>
          </w:tcPr>
          <w:p w14:paraId="66C7153F" w14:textId="3CC819C5" w:rsidR="00721CCE" w:rsidRPr="00AF14C3" w:rsidRDefault="00721CCE" w:rsidP="00133294">
            <w:pPr>
              <w:keepNext/>
              <w:spacing w:before="0" w:after="0" w:line="240" w:lineRule="auto"/>
              <w:ind w:right="190"/>
              <w:rPr>
                <w:rFonts w:eastAsia="Times New Roman"/>
                <w:color w:val="000000"/>
                <w:sz w:val="18"/>
                <w:szCs w:val="18"/>
                <w:highlight w:val="cyan"/>
              </w:rPr>
            </w:pPr>
            <w:r w:rsidRPr="002E7D60">
              <w:rPr>
                <w:b/>
                <w:bCs/>
                <w:color w:val="0000CC"/>
                <w:sz w:val="19"/>
                <w:szCs w:val="19"/>
              </w:rPr>
              <w:t>“CONFIDENCIAL POR LEY (</w:t>
            </w:r>
            <w:r w:rsidR="00133294">
              <w:rPr>
                <w:b/>
                <w:bCs/>
                <w:color w:val="0000CC"/>
                <w:sz w:val="19"/>
                <w:szCs w:val="19"/>
              </w:rPr>
              <w:t>238</w:t>
            </w:r>
            <w:r w:rsidRPr="002E7D60">
              <w:rPr>
                <w:b/>
                <w:bCs/>
                <w:color w:val="0000CC"/>
                <w:sz w:val="19"/>
                <w:szCs w:val="19"/>
              </w:rPr>
              <w:t>)”</w:t>
            </w:r>
          </w:p>
        </w:tc>
      </w:tr>
      <w:tr w:rsidR="00721CCE" w:rsidRPr="00C1349E" w14:paraId="07B5DD18" w14:textId="77777777" w:rsidTr="00133294">
        <w:trPr>
          <w:trHeight w:val="20"/>
          <w:jc w:val="center"/>
        </w:trPr>
        <w:tc>
          <w:tcPr>
            <w:tcW w:w="2522" w:type="dxa"/>
            <w:shd w:val="clear" w:color="auto" w:fill="auto"/>
            <w:vAlign w:val="center"/>
            <w:hideMark/>
          </w:tcPr>
          <w:p w14:paraId="1A6140FC" w14:textId="77777777" w:rsidR="00721CCE" w:rsidRPr="00C1349E" w:rsidRDefault="00721CCE" w:rsidP="00721CCE">
            <w:pPr>
              <w:keepNext/>
              <w:spacing w:before="0" w:after="0" w:line="240" w:lineRule="auto"/>
              <w:rPr>
                <w:rFonts w:eastAsia="Times New Roman"/>
                <w:color w:val="000000"/>
                <w:sz w:val="18"/>
                <w:szCs w:val="18"/>
              </w:rPr>
            </w:pPr>
            <w:r w:rsidRPr="00C1349E">
              <w:rPr>
                <w:rFonts w:eastAsia="Times New Roman"/>
                <w:color w:val="000000"/>
                <w:sz w:val="18"/>
                <w:szCs w:val="18"/>
              </w:rPr>
              <w:t xml:space="preserve">Utilidad (pérdida) neta </w:t>
            </w:r>
          </w:p>
        </w:tc>
        <w:tc>
          <w:tcPr>
            <w:tcW w:w="3290" w:type="dxa"/>
            <w:shd w:val="clear" w:color="auto" w:fill="auto"/>
          </w:tcPr>
          <w:p w14:paraId="2006C303" w14:textId="6F153DFD" w:rsidR="00721CCE" w:rsidRPr="00AF14C3" w:rsidRDefault="00721CCE" w:rsidP="00133294">
            <w:pPr>
              <w:keepNext/>
              <w:spacing w:before="0" w:after="0" w:line="240" w:lineRule="auto"/>
              <w:ind w:right="190"/>
              <w:rPr>
                <w:rFonts w:eastAsia="Times New Roman"/>
                <w:color w:val="000000"/>
                <w:sz w:val="18"/>
                <w:szCs w:val="18"/>
                <w:highlight w:val="cyan"/>
              </w:rPr>
            </w:pPr>
            <w:r w:rsidRPr="002E7D60">
              <w:rPr>
                <w:b/>
                <w:bCs/>
                <w:color w:val="0000CC"/>
                <w:sz w:val="19"/>
                <w:szCs w:val="19"/>
              </w:rPr>
              <w:t>“CONFIDEN</w:t>
            </w:r>
            <w:r w:rsidR="00133294">
              <w:rPr>
                <w:b/>
                <w:bCs/>
                <w:color w:val="0000CC"/>
                <w:sz w:val="19"/>
                <w:szCs w:val="19"/>
              </w:rPr>
              <w:t>CIAL POR LEY (239</w:t>
            </w:r>
            <w:r w:rsidRPr="002E7D60">
              <w:rPr>
                <w:b/>
                <w:bCs/>
                <w:color w:val="0000CC"/>
                <w:sz w:val="19"/>
                <w:szCs w:val="19"/>
              </w:rPr>
              <w:t>)”</w:t>
            </w:r>
          </w:p>
        </w:tc>
        <w:tc>
          <w:tcPr>
            <w:tcW w:w="3334" w:type="dxa"/>
          </w:tcPr>
          <w:p w14:paraId="3E741E29" w14:textId="675F7346" w:rsidR="00721CCE" w:rsidRPr="00AF14C3" w:rsidRDefault="00721CCE" w:rsidP="00133294">
            <w:pPr>
              <w:keepNext/>
              <w:spacing w:before="0" w:after="0" w:line="240" w:lineRule="auto"/>
              <w:ind w:right="190"/>
              <w:rPr>
                <w:rFonts w:eastAsia="Times New Roman"/>
                <w:color w:val="000000"/>
                <w:sz w:val="18"/>
                <w:szCs w:val="18"/>
                <w:highlight w:val="cyan"/>
              </w:rPr>
            </w:pPr>
            <w:r w:rsidRPr="002E7D60">
              <w:rPr>
                <w:b/>
                <w:bCs/>
                <w:color w:val="0000CC"/>
                <w:sz w:val="19"/>
                <w:szCs w:val="19"/>
              </w:rPr>
              <w:t>“CONFIDENCIAL POR LEY (</w:t>
            </w:r>
            <w:r w:rsidR="00133294">
              <w:rPr>
                <w:b/>
                <w:bCs/>
                <w:color w:val="0000CC"/>
                <w:sz w:val="19"/>
                <w:szCs w:val="19"/>
              </w:rPr>
              <w:t>240</w:t>
            </w:r>
            <w:r w:rsidRPr="002E7D60">
              <w:rPr>
                <w:b/>
                <w:bCs/>
                <w:color w:val="0000CC"/>
                <w:sz w:val="19"/>
                <w:szCs w:val="19"/>
              </w:rPr>
              <w:t>)”</w:t>
            </w:r>
          </w:p>
        </w:tc>
      </w:tr>
      <w:tr w:rsidR="00721CCE" w:rsidRPr="00C1349E" w14:paraId="0C45E08C" w14:textId="77777777" w:rsidTr="00133294">
        <w:trPr>
          <w:trHeight w:val="20"/>
          <w:jc w:val="center"/>
        </w:trPr>
        <w:tc>
          <w:tcPr>
            <w:tcW w:w="2522" w:type="dxa"/>
            <w:shd w:val="clear" w:color="auto" w:fill="auto"/>
            <w:vAlign w:val="center"/>
            <w:hideMark/>
          </w:tcPr>
          <w:p w14:paraId="66EF9F28" w14:textId="77777777" w:rsidR="00721CCE" w:rsidRPr="00C1349E" w:rsidRDefault="00721CCE" w:rsidP="00721CCE">
            <w:pPr>
              <w:keepNext/>
              <w:spacing w:before="0" w:after="0" w:line="240" w:lineRule="auto"/>
              <w:rPr>
                <w:rFonts w:eastAsia="Times New Roman"/>
                <w:b/>
                <w:color w:val="000000"/>
                <w:sz w:val="18"/>
                <w:szCs w:val="18"/>
              </w:rPr>
            </w:pPr>
            <w:r w:rsidRPr="00C1349E">
              <w:rPr>
                <w:rFonts w:eastAsia="Times New Roman"/>
                <w:b/>
                <w:color w:val="000000"/>
                <w:sz w:val="18"/>
                <w:szCs w:val="18"/>
              </w:rPr>
              <w:t>Activos</w:t>
            </w:r>
          </w:p>
        </w:tc>
        <w:tc>
          <w:tcPr>
            <w:tcW w:w="3290" w:type="dxa"/>
            <w:shd w:val="clear" w:color="auto" w:fill="auto"/>
          </w:tcPr>
          <w:p w14:paraId="11B9BFA4" w14:textId="2C789D52" w:rsidR="00721CCE" w:rsidRPr="00AF14C3" w:rsidRDefault="00133294" w:rsidP="00133294">
            <w:pPr>
              <w:keepNext/>
              <w:spacing w:before="0" w:after="0" w:line="240" w:lineRule="auto"/>
              <w:ind w:right="190"/>
              <w:rPr>
                <w:rFonts w:eastAsia="Times New Roman"/>
                <w:b/>
                <w:color w:val="000000"/>
                <w:sz w:val="18"/>
                <w:szCs w:val="18"/>
                <w:highlight w:val="cyan"/>
              </w:rPr>
            </w:pPr>
            <w:r>
              <w:rPr>
                <w:b/>
                <w:bCs/>
                <w:color w:val="0000CC"/>
                <w:sz w:val="19"/>
                <w:szCs w:val="19"/>
              </w:rPr>
              <w:t>“CONFIDENCIAL POR LEY (241</w:t>
            </w:r>
            <w:r w:rsidR="00721CCE" w:rsidRPr="002E7D60">
              <w:rPr>
                <w:b/>
                <w:bCs/>
                <w:color w:val="0000CC"/>
                <w:sz w:val="19"/>
                <w:szCs w:val="19"/>
              </w:rPr>
              <w:t>)”</w:t>
            </w:r>
          </w:p>
        </w:tc>
        <w:tc>
          <w:tcPr>
            <w:tcW w:w="3334" w:type="dxa"/>
          </w:tcPr>
          <w:p w14:paraId="1DF99E98" w14:textId="3667E994" w:rsidR="00721CCE" w:rsidRPr="00AF14C3" w:rsidRDefault="00721CCE" w:rsidP="00133294">
            <w:pPr>
              <w:keepNext/>
              <w:spacing w:before="0" w:after="0" w:line="240" w:lineRule="auto"/>
              <w:ind w:right="190"/>
              <w:rPr>
                <w:rFonts w:eastAsia="Times New Roman"/>
                <w:b/>
                <w:color w:val="000000"/>
                <w:sz w:val="18"/>
                <w:szCs w:val="18"/>
                <w:highlight w:val="cyan"/>
              </w:rPr>
            </w:pPr>
            <w:r w:rsidRPr="002E7D60">
              <w:rPr>
                <w:b/>
                <w:bCs/>
                <w:color w:val="0000CC"/>
                <w:sz w:val="19"/>
                <w:szCs w:val="19"/>
              </w:rPr>
              <w:t>“CONFIDENCIAL POR LEY (</w:t>
            </w:r>
            <w:r w:rsidR="00133294">
              <w:rPr>
                <w:b/>
                <w:bCs/>
                <w:color w:val="0000CC"/>
                <w:sz w:val="19"/>
                <w:szCs w:val="19"/>
              </w:rPr>
              <w:t>242</w:t>
            </w:r>
            <w:r w:rsidRPr="002E7D60">
              <w:rPr>
                <w:b/>
                <w:bCs/>
                <w:color w:val="0000CC"/>
                <w:sz w:val="19"/>
                <w:szCs w:val="19"/>
              </w:rPr>
              <w:t>)”</w:t>
            </w:r>
          </w:p>
        </w:tc>
      </w:tr>
    </w:tbl>
    <w:p w14:paraId="6FC41E98" w14:textId="77777777" w:rsidR="006801D8" w:rsidRDefault="006801D8" w:rsidP="00871249">
      <w:pPr>
        <w:pStyle w:val="Notaalpie"/>
        <w:ind w:left="1134" w:right="1040"/>
        <w:rPr>
          <w:rFonts w:eastAsia="Calibri" w:cs="Times New Roman"/>
          <w:sz w:val="16"/>
        </w:rPr>
      </w:pPr>
      <w:r w:rsidRPr="00C1349E">
        <w:rPr>
          <w:rFonts w:eastAsia="Calibri" w:cs="Times New Roman"/>
          <w:sz w:val="16"/>
        </w:rPr>
        <w:t xml:space="preserve">Fuente: Elaboración propia con información contenida en Fojas </w:t>
      </w:r>
      <w:r>
        <w:rPr>
          <w:rFonts w:eastAsia="Calibri" w:cs="Times New Roman"/>
          <w:sz w:val="16"/>
        </w:rPr>
        <w:t>1432-1433</w:t>
      </w:r>
      <w:r w:rsidR="00871249">
        <w:rPr>
          <w:rFonts w:eastAsia="Calibri" w:cs="Times New Roman"/>
          <w:sz w:val="16"/>
        </w:rPr>
        <w:t xml:space="preserve"> y 1486-1489</w:t>
      </w:r>
      <w:r w:rsidRPr="00C1349E">
        <w:rPr>
          <w:rFonts w:eastAsia="Calibri" w:cs="Times New Roman"/>
          <w:sz w:val="16"/>
        </w:rPr>
        <w:t xml:space="preserve"> del Expediente.</w:t>
      </w:r>
    </w:p>
    <w:p w14:paraId="2F330EBF" w14:textId="77777777" w:rsidR="003A0DA1" w:rsidRPr="004B1E7C" w:rsidRDefault="003F2BCB" w:rsidP="004B1E7C">
      <w:pPr>
        <w:rPr>
          <w:b/>
        </w:rPr>
      </w:pPr>
      <w:bookmarkStart w:id="52" w:name="_Toc511061422"/>
      <w:r w:rsidRPr="004B1E7C">
        <w:rPr>
          <w:b/>
        </w:rPr>
        <w:t xml:space="preserve">4.3.4. </w:t>
      </w:r>
      <w:r w:rsidR="003A0DA1" w:rsidRPr="004B1E7C">
        <w:rPr>
          <w:b/>
        </w:rPr>
        <w:t>GIE al que pertenecen los Compradores</w:t>
      </w:r>
      <w:bookmarkEnd w:id="52"/>
    </w:p>
    <w:p w14:paraId="54C98F26" w14:textId="77777777" w:rsidR="006C507A" w:rsidRDefault="006C507A" w:rsidP="006C507A">
      <w:pPr>
        <w:pStyle w:val="Prrafodelista"/>
        <w:spacing w:after="120" w:line="276" w:lineRule="auto"/>
        <w:ind w:left="0"/>
        <w:contextualSpacing w:val="0"/>
        <w:rPr>
          <w:rFonts w:eastAsia="Times New Roman"/>
          <w:color w:val="000000"/>
          <w:lang w:val="es-MX"/>
        </w:rPr>
      </w:pPr>
      <w:r w:rsidRPr="00383106">
        <w:rPr>
          <w:rFonts w:eastAsia="Times New Roman"/>
          <w:color w:val="000000"/>
          <w:lang w:val="es-MX"/>
        </w:rPr>
        <w:t xml:space="preserve">En virtud de las relaciones </w:t>
      </w:r>
      <w:r w:rsidRPr="0010136E">
        <w:rPr>
          <w:rFonts w:eastAsia="Times New Roman"/>
          <w:color w:val="000000"/>
          <w:lang w:val="es-MX"/>
        </w:rPr>
        <w:t>patrimoniales y corporativas descritas en los numerales 4.3.1, 4.3.2 y 4.3.3 de esta resolución, s</w:t>
      </w:r>
      <w:r w:rsidRPr="00383106">
        <w:rPr>
          <w:rFonts w:eastAsia="Times New Roman"/>
          <w:color w:val="000000"/>
          <w:lang w:val="es-MX"/>
        </w:rPr>
        <w:t xml:space="preserve">e identifica que los Compradores forman parte de un conjunto de empresas que conforman un GIE controlado en última instancia por </w:t>
      </w:r>
      <w:r w:rsidRPr="003A0DA1">
        <w:rPr>
          <w:rFonts w:eastAsia="Times New Roman"/>
          <w:b/>
          <w:color w:val="000000"/>
          <w:lang w:val="es-MX"/>
        </w:rPr>
        <w:t>ATC</w:t>
      </w:r>
      <w:r w:rsidRPr="00383106">
        <w:rPr>
          <w:rFonts w:eastAsia="Times New Roman"/>
          <w:color w:val="000000"/>
          <w:lang w:val="es-MX"/>
        </w:rPr>
        <w:t xml:space="preserve"> al que se le denominará </w:t>
      </w:r>
      <w:r w:rsidRPr="00383106">
        <w:rPr>
          <w:rFonts w:eastAsia="Times New Roman"/>
          <w:b/>
          <w:color w:val="000000"/>
          <w:lang w:val="es-MX"/>
        </w:rPr>
        <w:t>GIE Grupo ATC</w:t>
      </w:r>
      <w:r w:rsidRPr="00383106">
        <w:rPr>
          <w:rFonts w:eastAsia="Times New Roman"/>
          <w:color w:val="000000"/>
          <w:lang w:val="es-MX"/>
        </w:rPr>
        <w:t xml:space="preserve">. </w:t>
      </w:r>
    </w:p>
    <w:p w14:paraId="538595DF" w14:textId="77777777" w:rsidR="006C507A" w:rsidRDefault="006C507A" w:rsidP="006C507A">
      <w:pPr>
        <w:pStyle w:val="Prrafodelista"/>
        <w:spacing w:after="120" w:line="276" w:lineRule="auto"/>
        <w:ind w:left="0"/>
        <w:contextualSpacing w:val="0"/>
        <w:rPr>
          <w:rFonts w:eastAsia="Times New Roman"/>
          <w:color w:val="000000"/>
          <w:lang w:val="es-MX"/>
        </w:rPr>
      </w:pPr>
      <w:r w:rsidRPr="00600D55">
        <w:rPr>
          <w:rFonts w:eastAsia="Times New Roman"/>
          <w:color w:val="000000"/>
          <w:lang w:val="es-MX"/>
        </w:rPr>
        <w:t xml:space="preserve">Las Partes señalaron </w:t>
      </w:r>
      <w:r>
        <w:rPr>
          <w:rFonts w:eastAsia="Times New Roman"/>
          <w:color w:val="000000"/>
          <w:lang w:val="es-MX"/>
        </w:rPr>
        <w:t>lo siguiente respecto a la participación del GIE Grupo ATC en el sector de telecomunicaciones en México:</w:t>
      </w:r>
    </w:p>
    <w:p w14:paraId="46D36986" w14:textId="77777777" w:rsidR="006C507A" w:rsidRDefault="006C507A" w:rsidP="006C507A">
      <w:pPr>
        <w:pStyle w:val="Prrafodelista"/>
        <w:spacing w:after="120" w:line="276" w:lineRule="auto"/>
        <w:ind w:left="567"/>
        <w:contextualSpacing w:val="0"/>
        <w:rPr>
          <w:rFonts w:eastAsia="Times New Roman"/>
          <w:color w:val="000000"/>
          <w:sz w:val="20"/>
          <w:lang w:val="es-MX"/>
        </w:rPr>
      </w:pPr>
      <w:r w:rsidRPr="00C5417C">
        <w:rPr>
          <w:rFonts w:eastAsia="Times New Roman"/>
          <w:color w:val="000000"/>
          <w:sz w:val="20"/>
          <w:lang w:val="es-MX"/>
        </w:rPr>
        <w:lastRenderedPageBreak/>
        <w:t>“</w:t>
      </w:r>
      <w:r w:rsidRPr="00C5417C">
        <w:rPr>
          <w:rFonts w:eastAsia="Times New Roman"/>
          <w:i/>
          <w:color w:val="000000"/>
          <w:sz w:val="20"/>
          <w:lang w:val="es-MX"/>
        </w:rPr>
        <w:t xml:space="preserve">salvo por CFCA, </w:t>
      </w:r>
      <w:proofErr w:type="spellStart"/>
      <w:r w:rsidRPr="00C5417C">
        <w:rPr>
          <w:rFonts w:eastAsia="Times New Roman"/>
          <w:i/>
          <w:color w:val="000000"/>
          <w:sz w:val="20"/>
          <w:lang w:val="es-MX"/>
        </w:rPr>
        <w:t>Telco</w:t>
      </w:r>
      <w:proofErr w:type="spellEnd"/>
      <w:r w:rsidRPr="00C5417C">
        <w:rPr>
          <w:rFonts w:eastAsia="Times New Roman"/>
          <w:i/>
          <w:color w:val="000000"/>
          <w:sz w:val="20"/>
          <w:lang w:val="es-MX"/>
        </w:rPr>
        <w:t xml:space="preserve">, MATC </w:t>
      </w:r>
      <w:proofErr w:type="spellStart"/>
      <w:r w:rsidRPr="00C5417C">
        <w:rPr>
          <w:rFonts w:eastAsia="Times New Roman"/>
          <w:i/>
          <w:color w:val="000000"/>
          <w:sz w:val="20"/>
          <w:lang w:val="es-MX"/>
        </w:rPr>
        <w:t>Fibraoptica</w:t>
      </w:r>
      <w:proofErr w:type="spellEnd"/>
      <w:r w:rsidRPr="00C5417C">
        <w:rPr>
          <w:rFonts w:eastAsia="Times New Roman"/>
          <w:i/>
          <w:color w:val="000000"/>
          <w:sz w:val="20"/>
          <w:lang w:val="es-MX"/>
        </w:rPr>
        <w:t xml:space="preserve">, S. de R.L. de C.V. y MATC Digital, S. de R.L. de C.V., </w:t>
      </w:r>
      <w:r w:rsidRPr="006C507A">
        <w:rPr>
          <w:rFonts w:eastAsia="Times New Roman"/>
          <w:i/>
          <w:color w:val="000000"/>
          <w:sz w:val="20"/>
          <w:u w:val="single"/>
          <w:lang w:val="es-MX"/>
        </w:rPr>
        <w:t xml:space="preserve">American Tower </w:t>
      </w:r>
      <w:proofErr w:type="spellStart"/>
      <w:r w:rsidRPr="006C507A">
        <w:rPr>
          <w:rFonts w:eastAsia="Times New Roman"/>
          <w:i/>
          <w:color w:val="000000"/>
          <w:sz w:val="20"/>
          <w:u w:val="single"/>
          <w:lang w:val="es-MX"/>
        </w:rPr>
        <w:t>Corporation</w:t>
      </w:r>
      <w:proofErr w:type="spellEnd"/>
      <w:r w:rsidRPr="006C507A">
        <w:rPr>
          <w:rFonts w:eastAsia="Times New Roman"/>
          <w:i/>
          <w:color w:val="000000"/>
          <w:sz w:val="20"/>
          <w:u w:val="single"/>
          <w:lang w:val="es-MX"/>
        </w:rPr>
        <w:t xml:space="preserve">, ATC </w:t>
      </w:r>
      <w:proofErr w:type="spellStart"/>
      <w:r w:rsidRPr="006C507A">
        <w:rPr>
          <w:rFonts w:eastAsia="Times New Roman"/>
          <w:i/>
          <w:color w:val="000000"/>
          <w:sz w:val="20"/>
          <w:u w:val="single"/>
          <w:lang w:val="es-MX"/>
        </w:rPr>
        <w:t>MexHold</w:t>
      </w:r>
      <w:proofErr w:type="spellEnd"/>
      <w:r w:rsidRPr="006C507A">
        <w:rPr>
          <w:rFonts w:eastAsia="Times New Roman"/>
          <w:i/>
          <w:color w:val="000000"/>
          <w:sz w:val="20"/>
          <w:u w:val="single"/>
          <w:lang w:val="es-MX"/>
        </w:rPr>
        <w:t xml:space="preserve"> y ATC HFM no tienen participación en otras sociedades, asociaciones o empresas que participen en el sector telecomunicaciones</w:t>
      </w:r>
      <w:r w:rsidRPr="00C5417C">
        <w:rPr>
          <w:rFonts w:eastAsia="Times New Roman"/>
          <w:i/>
          <w:color w:val="000000"/>
          <w:sz w:val="20"/>
          <w:lang w:val="es-MX"/>
        </w:rPr>
        <w:t>.</w:t>
      </w:r>
      <w:r w:rsidRPr="00C5417C">
        <w:rPr>
          <w:rFonts w:eastAsia="Times New Roman"/>
          <w:color w:val="000000"/>
          <w:sz w:val="20"/>
          <w:lang w:val="es-MX"/>
        </w:rPr>
        <w:t>”</w:t>
      </w:r>
      <w:r w:rsidRPr="00C5417C">
        <w:rPr>
          <w:rFonts w:eastAsia="Times New Roman"/>
          <w:color w:val="000000"/>
          <w:sz w:val="20"/>
          <w:vertAlign w:val="superscript"/>
          <w:lang w:val="es-MX"/>
        </w:rPr>
        <w:footnoteReference w:id="42"/>
      </w:r>
    </w:p>
    <w:p w14:paraId="37840788" w14:textId="77777777" w:rsidR="006C507A" w:rsidRPr="00B17419" w:rsidRDefault="006C507A" w:rsidP="006C507A">
      <w:pPr>
        <w:pStyle w:val="Prrafodelista"/>
        <w:spacing w:after="120" w:line="276" w:lineRule="auto"/>
        <w:ind w:left="567"/>
        <w:contextualSpacing w:val="0"/>
        <w:rPr>
          <w:rFonts w:eastAsia="Times New Roman"/>
          <w:color w:val="000000"/>
          <w:sz w:val="20"/>
          <w:lang w:val="es-MX"/>
        </w:rPr>
      </w:pPr>
      <w:r w:rsidRPr="00C5417C">
        <w:rPr>
          <w:rFonts w:eastAsia="Times New Roman"/>
          <w:i/>
          <w:color w:val="000000"/>
          <w:sz w:val="20"/>
          <w:lang w:val="es-MX"/>
        </w:rPr>
        <w:t>“</w:t>
      </w:r>
      <w:r>
        <w:rPr>
          <w:rFonts w:eastAsia="Times New Roman"/>
          <w:i/>
          <w:color w:val="000000"/>
          <w:sz w:val="20"/>
          <w:lang w:val="es-MX"/>
        </w:rPr>
        <w:t xml:space="preserve">(…) </w:t>
      </w:r>
      <w:r w:rsidRPr="003A0DA1">
        <w:rPr>
          <w:rFonts w:eastAsia="Times New Roman"/>
          <w:i/>
          <w:color w:val="000000"/>
          <w:sz w:val="20"/>
          <w:u w:val="single"/>
          <w:lang w:val="es-MX"/>
        </w:rPr>
        <w:t xml:space="preserve">ninguna de ATC, </w:t>
      </w:r>
      <w:proofErr w:type="spellStart"/>
      <w:r w:rsidRPr="003A0DA1">
        <w:rPr>
          <w:rFonts w:eastAsia="Times New Roman"/>
          <w:i/>
          <w:color w:val="000000"/>
          <w:sz w:val="20"/>
          <w:u w:val="single"/>
          <w:lang w:val="es-MX"/>
        </w:rPr>
        <w:t>MexHold</w:t>
      </w:r>
      <w:proofErr w:type="spellEnd"/>
      <w:r w:rsidRPr="003A0DA1">
        <w:rPr>
          <w:rFonts w:eastAsia="Times New Roman"/>
          <w:i/>
          <w:color w:val="000000"/>
          <w:sz w:val="20"/>
          <w:u w:val="single"/>
          <w:lang w:val="es-MX"/>
        </w:rPr>
        <w:t xml:space="preserve">, ATC HFM, CFCA, </w:t>
      </w:r>
      <w:proofErr w:type="spellStart"/>
      <w:r w:rsidRPr="003A0DA1">
        <w:rPr>
          <w:rFonts w:eastAsia="Times New Roman"/>
          <w:i/>
          <w:color w:val="000000"/>
          <w:sz w:val="20"/>
          <w:u w:val="single"/>
          <w:lang w:val="es-MX"/>
        </w:rPr>
        <w:t>Telco</w:t>
      </w:r>
      <w:proofErr w:type="spellEnd"/>
      <w:r w:rsidRPr="003A0DA1">
        <w:rPr>
          <w:rFonts w:eastAsia="Times New Roman"/>
          <w:i/>
          <w:color w:val="000000"/>
          <w:sz w:val="20"/>
          <w:u w:val="single"/>
          <w:lang w:val="es-MX"/>
        </w:rPr>
        <w:t>, ni sus accionistas directos e indirectos, consejeros, gerentes y/o directivos participan en</w:t>
      </w:r>
      <w:r w:rsidRPr="00C5417C">
        <w:rPr>
          <w:rFonts w:eastAsia="Times New Roman"/>
          <w:i/>
          <w:color w:val="000000"/>
          <w:sz w:val="20"/>
          <w:lang w:val="es-MX"/>
        </w:rPr>
        <w:t xml:space="preserve"> (i) </w:t>
      </w:r>
      <w:r>
        <w:rPr>
          <w:rFonts w:eastAsia="Times New Roman"/>
          <w:i/>
          <w:color w:val="000000"/>
          <w:sz w:val="20"/>
          <w:lang w:val="es-MX"/>
        </w:rPr>
        <w:t>ór</w:t>
      </w:r>
      <w:r w:rsidRPr="00C5417C">
        <w:rPr>
          <w:rFonts w:eastAsia="Times New Roman"/>
          <w:i/>
          <w:color w:val="000000"/>
          <w:sz w:val="20"/>
          <w:lang w:val="es-MX"/>
        </w:rPr>
        <w:t>ganos encargados de tomar las decisiones, (ii) puestos de directivos, gerentes, administradores o sus equivalentes o (iii) en el capital social con participaciones accionarias o societarias directas e/o indirectas, superiores al 5% (cinco por ciento), de sociedades que cuenten, directa o indirectamente, con algún título de concesión, autorización, o permiso que les permita ofrecer servicios de telecomunicaciones dentro del territorio nacional.”</w:t>
      </w:r>
      <w:r w:rsidRPr="00C5417C">
        <w:rPr>
          <w:rFonts w:eastAsia="Times New Roman"/>
          <w:color w:val="000000"/>
          <w:sz w:val="20"/>
          <w:vertAlign w:val="superscript"/>
          <w:lang w:val="es-MX"/>
        </w:rPr>
        <w:t xml:space="preserve"> </w:t>
      </w:r>
      <w:r w:rsidRPr="00874FA4">
        <w:rPr>
          <w:rFonts w:eastAsia="Times New Roman"/>
          <w:color w:val="000000"/>
          <w:sz w:val="20"/>
          <w:vertAlign w:val="superscript"/>
          <w:lang w:val="es-MX"/>
        </w:rPr>
        <w:footnoteReference w:id="43"/>
      </w:r>
      <w:r w:rsidR="00A3202E">
        <w:rPr>
          <w:rFonts w:eastAsia="Times New Roman"/>
          <w:color w:val="000000"/>
          <w:sz w:val="20"/>
          <w:vertAlign w:val="superscript"/>
          <w:lang w:val="es-MX"/>
        </w:rPr>
        <w:t xml:space="preserve"> </w:t>
      </w:r>
      <w:r w:rsidRPr="00B17419">
        <w:rPr>
          <w:rFonts w:eastAsia="Times New Roman"/>
          <w:color w:val="000000"/>
          <w:sz w:val="20"/>
          <w:lang w:val="es-MX"/>
        </w:rPr>
        <w:t>[Énfasis añadido]</w:t>
      </w:r>
    </w:p>
    <w:p w14:paraId="5F21BBAE" w14:textId="77777777" w:rsidR="006C507A" w:rsidRPr="00383106" w:rsidRDefault="006C507A" w:rsidP="006C507A">
      <w:pPr>
        <w:pStyle w:val="Prrafodelista"/>
        <w:spacing w:after="120" w:line="276" w:lineRule="auto"/>
        <w:ind w:left="0"/>
        <w:contextualSpacing w:val="0"/>
        <w:rPr>
          <w:rFonts w:eastAsia="Times New Roman"/>
          <w:color w:val="000000"/>
          <w:lang w:val="es-MX"/>
        </w:rPr>
      </w:pPr>
      <w:r>
        <w:rPr>
          <w:rFonts w:eastAsia="Times New Roman"/>
          <w:color w:val="000000"/>
          <w:lang w:val="es-MX"/>
        </w:rPr>
        <w:t xml:space="preserve">De acuerdo con lo anterior, se identifica que </w:t>
      </w:r>
      <w:r w:rsidRPr="00B17419">
        <w:rPr>
          <w:rFonts w:eastAsia="Times New Roman"/>
          <w:b/>
          <w:color w:val="000000"/>
          <w:lang w:val="es-MX"/>
        </w:rPr>
        <w:t>entre las personas que forman parte del GIE Grupo</w:t>
      </w:r>
      <w:r w:rsidRPr="00383106">
        <w:rPr>
          <w:rFonts w:eastAsia="Times New Roman"/>
          <w:color w:val="000000"/>
          <w:lang w:val="es-MX"/>
        </w:rPr>
        <w:t xml:space="preserve"> </w:t>
      </w:r>
      <w:r w:rsidRPr="006C507A">
        <w:rPr>
          <w:rFonts w:eastAsia="Times New Roman"/>
          <w:b/>
          <w:color w:val="000000"/>
          <w:lang w:val="es-MX"/>
        </w:rPr>
        <w:t>ATC se encuentran ATC, lo</w:t>
      </w:r>
      <w:r w:rsidRPr="00A3202E">
        <w:rPr>
          <w:rFonts w:eastAsia="Times New Roman"/>
          <w:b/>
          <w:color w:val="000000"/>
          <w:lang w:val="es-MX"/>
        </w:rPr>
        <w:t xml:space="preserve">s Compradores, así como las subsidiarias de ATC identificadas en el Cuadro 19. </w:t>
      </w:r>
      <w:r w:rsidR="003F2BCB" w:rsidRPr="00A3202E">
        <w:rPr>
          <w:rFonts w:eastAsia="Times New Roman"/>
          <w:b/>
          <w:color w:val="000000"/>
          <w:lang w:val="es-MX"/>
        </w:rPr>
        <w:t>A partir</w:t>
      </w:r>
      <w:r w:rsidR="003F2BCB" w:rsidRPr="006C507A">
        <w:rPr>
          <w:rFonts w:eastAsia="Times New Roman"/>
          <w:b/>
          <w:color w:val="000000"/>
          <w:lang w:val="es-MX"/>
        </w:rPr>
        <w:t xml:space="preserve"> de la Operación</w:t>
      </w:r>
      <w:r w:rsidR="003F2BCB">
        <w:rPr>
          <w:rFonts w:eastAsia="Times New Roman"/>
          <w:b/>
          <w:color w:val="000000"/>
          <w:lang w:val="es-MX"/>
        </w:rPr>
        <w:t>, l</w:t>
      </w:r>
      <w:r w:rsidRPr="006C507A">
        <w:rPr>
          <w:rFonts w:eastAsia="Times New Roman"/>
          <w:b/>
          <w:color w:val="000000"/>
          <w:lang w:val="es-MX"/>
        </w:rPr>
        <w:t xml:space="preserve">as Sociedades Adquiridas también forman parte del GIE Grupo </w:t>
      </w:r>
      <w:r w:rsidR="00A3202E">
        <w:rPr>
          <w:rFonts w:eastAsia="Times New Roman"/>
          <w:b/>
          <w:color w:val="000000"/>
          <w:lang w:val="es-MX"/>
        </w:rPr>
        <w:t>ATC</w:t>
      </w:r>
      <w:r w:rsidRPr="006C507A">
        <w:rPr>
          <w:rFonts w:eastAsia="Times New Roman"/>
          <w:b/>
          <w:color w:val="000000"/>
          <w:lang w:val="es-MX"/>
        </w:rPr>
        <w:t>.</w:t>
      </w:r>
      <w:r w:rsidRPr="00B17419">
        <w:rPr>
          <w:rStyle w:val="Refdenotaalpie"/>
        </w:rPr>
        <w:footnoteReference w:id="44"/>
      </w:r>
    </w:p>
    <w:p w14:paraId="2C29E2CC" w14:textId="77777777" w:rsidR="00125707" w:rsidRPr="004B1E7C" w:rsidRDefault="002F4699" w:rsidP="004B1E7C">
      <w:pPr>
        <w:rPr>
          <w:b/>
        </w:rPr>
      </w:pPr>
      <w:bookmarkStart w:id="53" w:name="_Toc511061423"/>
      <w:r w:rsidRPr="004B1E7C">
        <w:rPr>
          <w:b/>
        </w:rPr>
        <w:t xml:space="preserve">4.3.5. </w:t>
      </w:r>
      <w:r w:rsidR="00125707" w:rsidRPr="004B1E7C">
        <w:rPr>
          <w:b/>
        </w:rPr>
        <w:t>Actividades del GIE Grupo ATC</w:t>
      </w:r>
      <w:bookmarkEnd w:id="53"/>
    </w:p>
    <w:p w14:paraId="5DEE64C1" w14:textId="77777777" w:rsidR="00973EC3" w:rsidRPr="001C6B1E" w:rsidRDefault="00973EC3" w:rsidP="001C6B1E">
      <w:pPr>
        <w:pStyle w:val="Prrafodelista"/>
        <w:spacing w:after="120" w:line="276" w:lineRule="auto"/>
        <w:ind w:left="0"/>
        <w:contextualSpacing w:val="0"/>
        <w:rPr>
          <w:rFonts w:eastAsia="Times New Roman"/>
          <w:color w:val="000000"/>
          <w:lang w:val="es-MX"/>
        </w:rPr>
      </w:pPr>
      <w:r w:rsidRPr="001C6B1E">
        <w:rPr>
          <w:rFonts w:eastAsia="Times New Roman"/>
          <w:color w:val="000000"/>
          <w:lang w:val="es-MX"/>
        </w:rPr>
        <w:t>De acuerdo con la información proporcionada por las Partes, e</w:t>
      </w:r>
      <w:r w:rsidR="001A343E" w:rsidRPr="001C6B1E">
        <w:rPr>
          <w:rFonts w:eastAsia="Times New Roman"/>
          <w:color w:val="000000"/>
          <w:lang w:val="es-MX"/>
        </w:rPr>
        <w:t xml:space="preserve">l GIE Grupo ATC </w:t>
      </w:r>
      <w:r w:rsidR="00161216" w:rsidRPr="001C6B1E">
        <w:rPr>
          <w:rFonts w:eastAsia="Times New Roman"/>
          <w:color w:val="000000"/>
          <w:lang w:val="es-MX"/>
        </w:rPr>
        <w:t>realiza las siguientes actividades económicas</w:t>
      </w:r>
      <w:r w:rsidR="00D7109F" w:rsidRPr="00D7109F">
        <w:rPr>
          <w:rFonts w:eastAsia="Times New Roman"/>
          <w:color w:val="000000"/>
          <w:lang w:val="es-MX"/>
        </w:rPr>
        <w:t xml:space="preserve"> </w:t>
      </w:r>
      <w:r w:rsidR="005A1B61">
        <w:rPr>
          <w:rFonts w:eastAsia="Times New Roman"/>
          <w:color w:val="000000"/>
          <w:lang w:val="es-MX"/>
        </w:rPr>
        <w:t>en</w:t>
      </w:r>
      <w:r w:rsidR="00D7109F" w:rsidRPr="00383106">
        <w:rPr>
          <w:rFonts w:eastAsia="Times New Roman"/>
          <w:color w:val="000000"/>
          <w:lang w:val="es-MX"/>
        </w:rPr>
        <w:t xml:space="preserve"> los sectores de telecomunicaciones y radiodifusión</w:t>
      </w:r>
      <w:r w:rsidR="00161216" w:rsidRPr="001C6B1E">
        <w:rPr>
          <w:rFonts w:eastAsia="Times New Roman"/>
          <w:color w:val="000000"/>
          <w:lang w:val="es-MX"/>
        </w:rPr>
        <w:t>:</w:t>
      </w:r>
    </w:p>
    <w:p w14:paraId="1D9C263E" w14:textId="77777777" w:rsidR="00973EC3" w:rsidRPr="00CC06A8" w:rsidRDefault="001A343E" w:rsidP="00CC06A8">
      <w:pPr>
        <w:pStyle w:val="Prrafodelista"/>
        <w:numPr>
          <w:ilvl w:val="0"/>
          <w:numId w:val="50"/>
        </w:numPr>
        <w:spacing w:after="120" w:line="276" w:lineRule="auto"/>
        <w:ind w:left="567"/>
        <w:contextualSpacing w:val="0"/>
        <w:rPr>
          <w:rFonts w:eastAsia="Times New Roman"/>
          <w:color w:val="000000"/>
          <w:lang w:val="es-MX"/>
        </w:rPr>
      </w:pPr>
      <w:r w:rsidRPr="00CC06A8">
        <w:rPr>
          <w:rFonts w:eastAsia="Times New Roman"/>
          <w:color w:val="000000"/>
          <w:lang w:val="es-MX"/>
        </w:rPr>
        <w:t>“</w:t>
      </w:r>
      <w:r w:rsidR="000B32AA" w:rsidRPr="00CC06A8">
        <w:rPr>
          <w:rFonts w:eastAsia="Times New Roman"/>
          <w:i/>
          <w:color w:val="000000"/>
          <w:lang w:val="es-MX"/>
        </w:rPr>
        <w:t>rentar instalaciones</w:t>
      </w:r>
      <w:r w:rsidRPr="00CC06A8">
        <w:rPr>
          <w:rFonts w:eastAsia="Times New Roman"/>
          <w:i/>
          <w:color w:val="000000"/>
          <w:lang w:val="es-MX"/>
        </w:rPr>
        <w:t xml:space="preserve"> (torres de telecomunicaciones) para la transmisión de señales de telecomunicaciones por parte de los distintos concesionarios de servicios de telefonía, transmisión inalámbrica de datos, radio y televisión y otros.</w:t>
      </w:r>
      <w:r w:rsidRPr="00CC06A8">
        <w:rPr>
          <w:rFonts w:eastAsia="Times New Roman"/>
          <w:color w:val="000000"/>
          <w:lang w:val="es-MX"/>
        </w:rPr>
        <w:t>”</w:t>
      </w:r>
      <w:r w:rsidRPr="00CC06A8">
        <w:rPr>
          <w:rFonts w:eastAsia="Times New Roman"/>
          <w:color w:val="000000"/>
          <w:vertAlign w:val="superscript"/>
          <w:lang w:val="es-MX"/>
        </w:rPr>
        <w:footnoteReference w:id="45"/>
      </w:r>
    </w:p>
    <w:p w14:paraId="0A73E21B" w14:textId="77777777" w:rsidR="00973EC3" w:rsidRPr="00CC06A8" w:rsidRDefault="00973EC3" w:rsidP="00CC06A8">
      <w:pPr>
        <w:pStyle w:val="Prrafodelista"/>
        <w:numPr>
          <w:ilvl w:val="0"/>
          <w:numId w:val="50"/>
        </w:numPr>
        <w:spacing w:after="120" w:line="276" w:lineRule="auto"/>
        <w:ind w:left="567"/>
        <w:contextualSpacing w:val="0"/>
        <w:rPr>
          <w:rFonts w:eastAsia="Times New Roman"/>
          <w:color w:val="000000"/>
          <w:lang w:val="es-MX"/>
        </w:rPr>
      </w:pPr>
      <w:r w:rsidRPr="00CC06A8">
        <w:rPr>
          <w:rFonts w:eastAsia="Times New Roman"/>
          <w:color w:val="000000"/>
          <w:lang w:val="es-MX"/>
        </w:rPr>
        <w:t>“</w:t>
      </w:r>
      <w:r w:rsidRPr="00CC06A8">
        <w:rPr>
          <w:rFonts w:eastAsia="Times New Roman"/>
          <w:i/>
          <w:color w:val="000000"/>
          <w:lang w:val="es-MX"/>
        </w:rPr>
        <w:t xml:space="preserve">construye, es propietaria, </w:t>
      </w:r>
      <w:r w:rsidRPr="0044733D">
        <w:rPr>
          <w:rFonts w:eastAsia="Times New Roman"/>
          <w:i/>
          <w:color w:val="000000"/>
          <w:lang w:val="es-MX"/>
        </w:rPr>
        <w:t>opera, arrienda y comercializa sitios de telecomunicaciones, incluyendo todo tipo de torres</w:t>
      </w:r>
      <w:r w:rsidRPr="00CC06A8">
        <w:rPr>
          <w:rFonts w:eastAsia="Times New Roman"/>
          <w:i/>
          <w:color w:val="000000"/>
          <w:lang w:val="es-MX"/>
        </w:rPr>
        <w:t xml:space="preserve"> y otras estructuras de soporte e instalaciones empleadas en la instalación de equipos de telecomunicaciones.</w:t>
      </w:r>
      <w:r w:rsidRPr="00CC06A8">
        <w:rPr>
          <w:rFonts w:eastAsia="Times New Roman"/>
          <w:color w:val="000000"/>
          <w:lang w:val="es-MX"/>
        </w:rPr>
        <w:t>”</w:t>
      </w:r>
      <w:r w:rsidRPr="00CC06A8">
        <w:rPr>
          <w:rFonts w:eastAsia="Times New Roman"/>
          <w:color w:val="000000"/>
          <w:vertAlign w:val="superscript"/>
          <w:lang w:val="es-MX"/>
        </w:rPr>
        <w:footnoteReference w:id="46"/>
      </w:r>
    </w:p>
    <w:p w14:paraId="1AB5E786" w14:textId="77777777" w:rsidR="0055412C" w:rsidRPr="00CC06A8" w:rsidRDefault="0055412C" w:rsidP="00CC06A8">
      <w:pPr>
        <w:pStyle w:val="Prrafodelista"/>
        <w:numPr>
          <w:ilvl w:val="0"/>
          <w:numId w:val="50"/>
        </w:numPr>
        <w:spacing w:after="120" w:line="276" w:lineRule="auto"/>
        <w:ind w:left="567"/>
        <w:contextualSpacing w:val="0"/>
        <w:rPr>
          <w:rFonts w:eastAsia="Times New Roman"/>
          <w:color w:val="000000"/>
          <w:lang w:val="es-MX"/>
        </w:rPr>
      </w:pPr>
      <w:r w:rsidRPr="00CC06A8">
        <w:rPr>
          <w:rFonts w:eastAsia="Times New Roman"/>
          <w:color w:val="000000"/>
          <w:lang w:val="es-MX"/>
        </w:rPr>
        <w:t>Tiene actividades en Estados Unidos, Brasil, Chile, Colombia, Costa Rica, Alemania, Ghana, India, México, Nigeria, Perú, Sudáfrica y Uganda</w:t>
      </w:r>
      <w:r w:rsidR="003F277C">
        <w:rPr>
          <w:rFonts w:eastAsia="Times New Roman"/>
          <w:color w:val="000000"/>
          <w:lang w:val="es-MX"/>
        </w:rPr>
        <w:t>.</w:t>
      </w:r>
      <w:r w:rsidRPr="00CC06A8">
        <w:rPr>
          <w:rFonts w:eastAsia="Times New Roman"/>
          <w:color w:val="000000"/>
          <w:vertAlign w:val="superscript"/>
          <w:lang w:val="es-MX"/>
        </w:rPr>
        <w:footnoteReference w:id="47"/>
      </w:r>
    </w:p>
    <w:p w14:paraId="4F7FBE9E" w14:textId="77777777" w:rsidR="003F277C" w:rsidRPr="00A3202E" w:rsidRDefault="00973EC3" w:rsidP="00A3202E">
      <w:pPr>
        <w:pStyle w:val="Prrafodelista"/>
        <w:numPr>
          <w:ilvl w:val="0"/>
          <w:numId w:val="50"/>
        </w:numPr>
        <w:spacing w:after="120" w:line="276" w:lineRule="auto"/>
        <w:ind w:left="567"/>
        <w:contextualSpacing w:val="0"/>
        <w:rPr>
          <w:rFonts w:cs="ITC Avant Garde"/>
          <w:bCs/>
        </w:rPr>
      </w:pPr>
      <w:r w:rsidRPr="009D3CF5">
        <w:rPr>
          <w:rFonts w:eastAsia="Times New Roman"/>
          <w:color w:val="000000"/>
          <w:lang w:val="es-MX"/>
        </w:rPr>
        <w:t xml:space="preserve">A partir de la Operación, </w:t>
      </w:r>
      <w:r w:rsidR="00E26470" w:rsidRPr="003F277C">
        <w:rPr>
          <w:rFonts w:eastAsia="Times New Roman"/>
          <w:color w:val="000000"/>
          <w:lang w:val="es-MX"/>
        </w:rPr>
        <w:t xml:space="preserve">provee servicios de telecomunicaciones fijos: Acceso a Internet Fijo y Enlaces </w:t>
      </w:r>
      <w:r w:rsidR="005A1B61" w:rsidRPr="003F277C">
        <w:rPr>
          <w:rFonts w:eastAsia="Times New Roman"/>
          <w:color w:val="000000"/>
          <w:lang w:val="es-MX"/>
        </w:rPr>
        <w:t>d</w:t>
      </w:r>
      <w:r w:rsidR="00E26470" w:rsidRPr="003F277C">
        <w:rPr>
          <w:rFonts w:eastAsia="Times New Roman"/>
          <w:color w:val="000000"/>
          <w:lang w:val="es-MX"/>
        </w:rPr>
        <w:t>edicados, a través de</w:t>
      </w:r>
      <w:r w:rsidR="00CB087C" w:rsidRPr="003F277C">
        <w:rPr>
          <w:rFonts w:eastAsia="Times New Roman"/>
          <w:color w:val="000000"/>
          <w:lang w:val="es-MX"/>
        </w:rPr>
        <w:t xml:space="preserve"> una red de fibra óptica que “</w:t>
      </w:r>
      <w:r w:rsidR="00CB087C" w:rsidRPr="003F277C">
        <w:rPr>
          <w:rFonts w:eastAsia="Times New Roman"/>
          <w:i/>
          <w:color w:val="000000"/>
          <w:lang w:val="es-MX"/>
        </w:rPr>
        <w:t xml:space="preserve">da servicio en las 20 principales ciudades del país: Ciudad de México, Monterrey, Guadalajara, Tijuana, Mexicali, Ensenada, Toluca, Querétaro, Aguascalientes, Celaya, León, Irapuato, Puebla, Mérida, Xalapa, Veracruz, Villahermosa, Tuxtla </w:t>
      </w:r>
      <w:r w:rsidR="00CB087C" w:rsidRPr="003F277C">
        <w:rPr>
          <w:rFonts w:eastAsia="Times New Roman"/>
          <w:i/>
          <w:color w:val="000000"/>
          <w:lang w:val="es-MX"/>
        </w:rPr>
        <w:lastRenderedPageBreak/>
        <w:t xml:space="preserve">Gutiérrez, San Luis Potosí y Cuernavaca. Adicionalmente cuenta con una red de cobertura extendida en nueve ciudades de Estados Unidos. CFCA dispone de una red de fibra óptica, con infraestructura propia, que tiene una extensión aproximada de 4,400 km. A través de esta se prestan servicios de banda ancha entre 2 Mb hasta más de 10 </w:t>
      </w:r>
      <w:proofErr w:type="spellStart"/>
      <w:r w:rsidR="00CB087C" w:rsidRPr="003F277C">
        <w:rPr>
          <w:rFonts w:eastAsia="Times New Roman"/>
          <w:i/>
          <w:color w:val="000000"/>
          <w:lang w:val="es-MX"/>
        </w:rPr>
        <w:t>Gbps</w:t>
      </w:r>
      <w:proofErr w:type="spellEnd"/>
      <w:r w:rsidR="00CB087C" w:rsidRPr="003F277C">
        <w:rPr>
          <w:rFonts w:eastAsia="Times New Roman"/>
          <w:i/>
          <w:color w:val="000000"/>
          <w:lang w:val="es-MX"/>
        </w:rPr>
        <w:t xml:space="preserve"> primordialmente a empresas, así como enlaces dedicados para ofrecer conectividad tanto de voz como de datos.</w:t>
      </w:r>
      <w:r w:rsidR="00CB087C" w:rsidRPr="003F277C">
        <w:rPr>
          <w:rFonts w:eastAsia="Times New Roman"/>
          <w:color w:val="000000"/>
          <w:lang w:val="es-MX"/>
        </w:rPr>
        <w:t>”</w:t>
      </w:r>
      <w:r w:rsidR="00CB087C" w:rsidRPr="00CC06A8">
        <w:rPr>
          <w:rFonts w:eastAsia="Times New Roman"/>
          <w:color w:val="000000"/>
          <w:vertAlign w:val="superscript"/>
          <w:lang w:val="es-MX"/>
        </w:rPr>
        <w:footnoteReference w:id="48"/>
      </w:r>
      <w:r w:rsidR="003F277C" w:rsidRPr="009D3CF5">
        <w:rPr>
          <w:rFonts w:eastAsia="Times New Roman"/>
          <w:color w:val="000000"/>
          <w:lang w:val="es-MX"/>
        </w:rPr>
        <w:t xml:space="preserve"> </w:t>
      </w:r>
    </w:p>
    <w:p w14:paraId="72C0A36A" w14:textId="77777777" w:rsidR="005A1B61" w:rsidRDefault="005A1B61" w:rsidP="00A3202E">
      <w:pPr>
        <w:rPr>
          <w:rFonts w:eastAsia="Times New Roman"/>
          <w:color w:val="000000"/>
          <w:lang w:val="es-MX"/>
        </w:rPr>
      </w:pPr>
      <w:r w:rsidRPr="00A3202E">
        <w:rPr>
          <w:rFonts w:eastAsia="Times New Roman"/>
          <w:color w:val="000000"/>
          <w:lang w:val="es-MX"/>
        </w:rPr>
        <w:t>Con base en la información proporcionada por las Partes y el Registro Público de Concesiones, en el siguiente cuadro se describen las concesiones, autorizaciones y permisos otorgados al GIE Grupo ATC para proveer servicios de telecomunicaciones en México.</w:t>
      </w:r>
    </w:p>
    <w:p w14:paraId="634A088D" w14:textId="77777777" w:rsidR="009D3CF5" w:rsidRDefault="009D3CF5" w:rsidP="003F277C">
      <w:pPr>
        <w:rPr>
          <w:rFonts w:cs="ITC Avant Garde"/>
          <w:bCs/>
        </w:rPr>
        <w:sectPr w:rsidR="009D3CF5" w:rsidSect="00FE6F79">
          <w:pgSz w:w="12240" w:h="15840"/>
          <w:pgMar w:top="1985" w:right="1418" w:bottom="1701" w:left="1418" w:header="578" w:footer="569" w:gutter="0"/>
          <w:cols w:space="708"/>
          <w:docGrid w:linePitch="360"/>
        </w:sectPr>
      </w:pPr>
    </w:p>
    <w:p w14:paraId="2A36EA8E" w14:textId="77777777" w:rsidR="005A1B61" w:rsidRPr="00D06515" w:rsidRDefault="005A1B61" w:rsidP="00AD43D7">
      <w:pPr>
        <w:pStyle w:val="Sinespaciado"/>
        <w:keepNext/>
        <w:numPr>
          <w:ilvl w:val="0"/>
          <w:numId w:val="24"/>
        </w:numPr>
        <w:spacing w:before="120" w:after="120" w:line="276" w:lineRule="auto"/>
        <w:ind w:left="1418" w:right="48" w:hanging="1275"/>
        <w:jc w:val="both"/>
        <w:rPr>
          <w:rFonts w:ascii="ITC Avant Garde" w:hAnsi="ITC Avant Garde"/>
          <w:b/>
        </w:rPr>
      </w:pPr>
      <w:r w:rsidRPr="00D06515">
        <w:rPr>
          <w:rFonts w:ascii="ITC Avant Garde" w:hAnsi="ITC Avant Garde"/>
          <w:b/>
        </w:rPr>
        <w:lastRenderedPageBreak/>
        <w:t xml:space="preserve">Concesiones, autorizaciones y permisos del GIE Grupo ATC </w:t>
      </w:r>
      <w:r w:rsidR="00AD43D7">
        <w:rPr>
          <w:rFonts w:ascii="ITC Avant Garde" w:hAnsi="ITC Avant Garde"/>
          <w:b/>
        </w:rPr>
        <w:t>(después de la Operación)</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Cuadro 21."/>
        <w:tblDescription w:val="Indica cuales son las concesiones, autorizaciones y permisos del GIE Grupo ATC (después de la Operación)"/>
      </w:tblPr>
      <w:tblGrid>
        <w:gridCol w:w="567"/>
        <w:gridCol w:w="1436"/>
        <w:gridCol w:w="974"/>
        <w:gridCol w:w="1696"/>
        <w:gridCol w:w="2835"/>
        <w:gridCol w:w="2126"/>
        <w:gridCol w:w="2268"/>
        <w:gridCol w:w="2268"/>
      </w:tblGrid>
      <w:tr w:rsidR="00952B55" w:rsidRPr="0027363F" w14:paraId="4C606FE9" w14:textId="77777777" w:rsidTr="001700E5">
        <w:trPr>
          <w:trHeight w:val="20"/>
          <w:tblHeader/>
          <w:jc w:val="center"/>
        </w:trPr>
        <w:tc>
          <w:tcPr>
            <w:tcW w:w="567" w:type="dxa"/>
            <w:shd w:val="clear" w:color="auto" w:fill="92D050"/>
            <w:noWrap/>
            <w:vAlign w:val="center"/>
            <w:hideMark/>
          </w:tcPr>
          <w:p w14:paraId="17D1218E" w14:textId="77777777" w:rsidR="00952B55" w:rsidRPr="00D06515" w:rsidRDefault="00952B55" w:rsidP="00952B55">
            <w:pPr>
              <w:spacing w:before="0" w:after="0" w:line="240" w:lineRule="auto"/>
              <w:jc w:val="center"/>
              <w:rPr>
                <w:rFonts w:eastAsia="Times New Roman"/>
                <w:b/>
                <w:color w:val="000000"/>
                <w:sz w:val="18"/>
                <w:szCs w:val="18"/>
              </w:rPr>
            </w:pPr>
            <w:r w:rsidRPr="00D06515">
              <w:rPr>
                <w:rFonts w:eastAsia="Times New Roman"/>
                <w:b/>
                <w:color w:val="000000"/>
                <w:sz w:val="18"/>
                <w:szCs w:val="18"/>
              </w:rPr>
              <w:t>No.</w:t>
            </w:r>
          </w:p>
        </w:tc>
        <w:tc>
          <w:tcPr>
            <w:tcW w:w="1436" w:type="dxa"/>
            <w:shd w:val="clear" w:color="auto" w:fill="92D050"/>
            <w:noWrap/>
            <w:vAlign w:val="center"/>
            <w:hideMark/>
          </w:tcPr>
          <w:p w14:paraId="4D010181" w14:textId="77777777" w:rsidR="00952B55" w:rsidRPr="00D06515" w:rsidRDefault="00952B55" w:rsidP="00952B55">
            <w:pPr>
              <w:spacing w:before="0" w:after="0" w:line="240" w:lineRule="auto"/>
              <w:jc w:val="center"/>
              <w:rPr>
                <w:rFonts w:eastAsia="Times New Roman"/>
                <w:b/>
                <w:color w:val="000000"/>
                <w:sz w:val="18"/>
                <w:szCs w:val="18"/>
              </w:rPr>
            </w:pPr>
            <w:r w:rsidRPr="00D06515">
              <w:rPr>
                <w:rFonts w:eastAsia="Times New Roman"/>
                <w:b/>
                <w:color w:val="000000"/>
                <w:sz w:val="18"/>
                <w:szCs w:val="18"/>
              </w:rPr>
              <w:t>Folio electrónico</w:t>
            </w:r>
          </w:p>
        </w:tc>
        <w:tc>
          <w:tcPr>
            <w:tcW w:w="974" w:type="dxa"/>
            <w:shd w:val="clear" w:color="auto" w:fill="92D050"/>
            <w:vAlign w:val="center"/>
          </w:tcPr>
          <w:p w14:paraId="3AA37F31" w14:textId="77777777" w:rsidR="00952B55" w:rsidRPr="00D06515" w:rsidRDefault="00952B55" w:rsidP="00952B55">
            <w:pPr>
              <w:spacing w:before="0" w:after="0" w:line="240" w:lineRule="auto"/>
              <w:ind w:right="-1"/>
              <w:jc w:val="center"/>
              <w:rPr>
                <w:b/>
                <w:sz w:val="18"/>
                <w:szCs w:val="18"/>
              </w:rPr>
            </w:pPr>
            <w:r>
              <w:rPr>
                <w:b/>
                <w:sz w:val="18"/>
                <w:szCs w:val="18"/>
              </w:rPr>
              <w:t>Titular</w:t>
            </w:r>
          </w:p>
        </w:tc>
        <w:tc>
          <w:tcPr>
            <w:tcW w:w="1696" w:type="dxa"/>
            <w:shd w:val="clear" w:color="auto" w:fill="92D050"/>
            <w:vAlign w:val="center"/>
          </w:tcPr>
          <w:p w14:paraId="2D533FA9" w14:textId="77777777" w:rsidR="00952B55" w:rsidRDefault="00952B55" w:rsidP="00952B55">
            <w:pPr>
              <w:spacing w:before="0" w:after="0" w:line="240" w:lineRule="auto"/>
              <w:ind w:right="-1"/>
              <w:jc w:val="center"/>
              <w:rPr>
                <w:b/>
                <w:sz w:val="18"/>
                <w:szCs w:val="18"/>
              </w:rPr>
            </w:pPr>
            <w:r w:rsidRPr="00D06515">
              <w:rPr>
                <w:b/>
                <w:sz w:val="18"/>
                <w:szCs w:val="18"/>
              </w:rPr>
              <w:t>Concesión/</w:t>
            </w:r>
          </w:p>
          <w:p w14:paraId="6DBE0D75" w14:textId="77777777" w:rsidR="00952B55" w:rsidRDefault="00952B55" w:rsidP="00952B55">
            <w:pPr>
              <w:spacing w:before="0" w:after="0" w:line="240" w:lineRule="auto"/>
              <w:ind w:right="-1"/>
              <w:jc w:val="center"/>
              <w:rPr>
                <w:b/>
                <w:sz w:val="18"/>
                <w:szCs w:val="18"/>
              </w:rPr>
            </w:pPr>
            <w:r>
              <w:rPr>
                <w:b/>
                <w:sz w:val="18"/>
                <w:szCs w:val="18"/>
              </w:rPr>
              <w:t>A</w:t>
            </w:r>
            <w:r w:rsidRPr="00D06515">
              <w:rPr>
                <w:b/>
                <w:sz w:val="18"/>
                <w:szCs w:val="18"/>
              </w:rPr>
              <w:t>utorización/</w:t>
            </w:r>
          </w:p>
          <w:p w14:paraId="2F174441" w14:textId="77777777" w:rsidR="00952B55" w:rsidRPr="00D06515" w:rsidRDefault="00952B55" w:rsidP="00952B55">
            <w:pPr>
              <w:spacing w:before="0" w:after="0" w:line="240" w:lineRule="auto"/>
              <w:ind w:right="-1"/>
              <w:jc w:val="center"/>
              <w:rPr>
                <w:rFonts w:eastAsia="Times New Roman"/>
                <w:b/>
                <w:bCs/>
                <w:color w:val="000000"/>
                <w:sz w:val="18"/>
                <w:szCs w:val="18"/>
              </w:rPr>
            </w:pPr>
            <w:r w:rsidRPr="00D06515">
              <w:rPr>
                <w:b/>
                <w:sz w:val="18"/>
                <w:szCs w:val="18"/>
              </w:rPr>
              <w:t>Permiso</w:t>
            </w:r>
          </w:p>
        </w:tc>
        <w:tc>
          <w:tcPr>
            <w:tcW w:w="2835" w:type="dxa"/>
            <w:shd w:val="clear" w:color="auto" w:fill="92D050"/>
            <w:vAlign w:val="center"/>
            <w:hideMark/>
          </w:tcPr>
          <w:p w14:paraId="2AA24A1B" w14:textId="77777777" w:rsidR="00952B55" w:rsidRPr="00D06515" w:rsidRDefault="00952B55" w:rsidP="00952B55">
            <w:pPr>
              <w:spacing w:before="0" w:after="0" w:line="240" w:lineRule="auto"/>
              <w:jc w:val="center"/>
              <w:rPr>
                <w:rFonts w:eastAsia="Times New Roman"/>
                <w:b/>
                <w:bCs/>
                <w:color w:val="000000"/>
                <w:sz w:val="18"/>
                <w:szCs w:val="18"/>
              </w:rPr>
            </w:pPr>
            <w:r w:rsidRPr="00D06515">
              <w:rPr>
                <w:rFonts w:eastAsia="Times New Roman"/>
                <w:b/>
                <w:bCs/>
                <w:color w:val="000000"/>
                <w:sz w:val="18"/>
                <w:szCs w:val="18"/>
              </w:rPr>
              <w:t>Cobertura</w:t>
            </w:r>
          </w:p>
        </w:tc>
        <w:tc>
          <w:tcPr>
            <w:tcW w:w="2126" w:type="dxa"/>
            <w:shd w:val="clear" w:color="auto" w:fill="92D050"/>
            <w:vAlign w:val="center"/>
            <w:hideMark/>
          </w:tcPr>
          <w:p w14:paraId="2F01B524" w14:textId="77777777" w:rsidR="00952B55" w:rsidRPr="00D06515" w:rsidRDefault="00952B55" w:rsidP="00952B55">
            <w:pPr>
              <w:spacing w:before="0" w:after="0" w:line="240" w:lineRule="auto"/>
              <w:jc w:val="center"/>
              <w:rPr>
                <w:rFonts w:eastAsia="Times New Roman"/>
                <w:b/>
                <w:bCs/>
                <w:color w:val="000000"/>
                <w:sz w:val="18"/>
                <w:szCs w:val="18"/>
              </w:rPr>
            </w:pPr>
            <w:r w:rsidRPr="00D06515">
              <w:rPr>
                <w:rFonts w:eastAsia="Times New Roman"/>
                <w:b/>
                <w:bCs/>
                <w:color w:val="000000"/>
                <w:sz w:val="18"/>
                <w:szCs w:val="18"/>
              </w:rPr>
              <w:t>Servicios autorizados</w:t>
            </w:r>
          </w:p>
        </w:tc>
        <w:tc>
          <w:tcPr>
            <w:tcW w:w="2268" w:type="dxa"/>
            <w:shd w:val="clear" w:color="auto" w:fill="92D050"/>
            <w:vAlign w:val="center"/>
          </w:tcPr>
          <w:p w14:paraId="6F8EFCEB" w14:textId="77777777" w:rsidR="00952B55" w:rsidRPr="00D06515" w:rsidRDefault="00952B55" w:rsidP="00952B55">
            <w:pPr>
              <w:spacing w:before="0" w:after="0" w:line="240" w:lineRule="auto"/>
              <w:jc w:val="center"/>
              <w:rPr>
                <w:rFonts w:eastAsia="Times New Roman"/>
                <w:b/>
                <w:bCs/>
                <w:color w:val="000000"/>
                <w:sz w:val="18"/>
                <w:szCs w:val="18"/>
              </w:rPr>
            </w:pPr>
            <w:r w:rsidRPr="00D06515">
              <w:rPr>
                <w:rFonts w:eastAsia="Times New Roman"/>
                <w:b/>
                <w:bCs/>
                <w:color w:val="000000"/>
                <w:sz w:val="18"/>
                <w:szCs w:val="18"/>
              </w:rPr>
              <w:t xml:space="preserve">Servicios </w:t>
            </w:r>
            <w:r>
              <w:rPr>
                <w:rFonts w:eastAsia="Times New Roman"/>
                <w:b/>
                <w:bCs/>
                <w:color w:val="000000"/>
                <w:sz w:val="18"/>
                <w:szCs w:val="18"/>
              </w:rPr>
              <w:t>prestados</w:t>
            </w:r>
          </w:p>
        </w:tc>
        <w:tc>
          <w:tcPr>
            <w:tcW w:w="2268" w:type="dxa"/>
            <w:shd w:val="clear" w:color="auto" w:fill="92D050"/>
            <w:vAlign w:val="center"/>
          </w:tcPr>
          <w:p w14:paraId="5B89B137" w14:textId="77777777" w:rsidR="00952B55" w:rsidRPr="0027363F" w:rsidRDefault="00952B55" w:rsidP="00952B55">
            <w:pPr>
              <w:spacing w:before="0" w:after="0" w:line="240" w:lineRule="auto"/>
              <w:jc w:val="center"/>
              <w:rPr>
                <w:rFonts w:eastAsia="Times New Roman"/>
                <w:b/>
                <w:bCs/>
                <w:color w:val="000000"/>
                <w:sz w:val="18"/>
                <w:szCs w:val="18"/>
              </w:rPr>
            </w:pPr>
            <w:r w:rsidRPr="00D06515">
              <w:rPr>
                <w:rFonts w:eastAsia="Times New Roman"/>
                <w:b/>
                <w:bCs/>
                <w:color w:val="000000"/>
                <w:sz w:val="18"/>
                <w:szCs w:val="18"/>
              </w:rPr>
              <w:t>Vigencia</w:t>
            </w:r>
          </w:p>
        </w:tc>
      </w:tr>
      <w:tr w:rsidR="00952B55" w:rsidRPr="0027363F" w14:paraId="1BC89ED1" w14:textId="77777777" w:rsidTr="00C26AE9">
        <w:trPr>
          <w:trHeight w:val="20"/>
          <w:jc w:val="center"/>
        </w:trPr>
        <w:tc>
          <w:tcPr>
            <w:tcW w:w="567" w:type="dxa"/>
            <w:shd w:val="clear" w:color="auto" w:fill="auto"/>
            <w:noWrap/>
            <w:vAlign w:val="center"/>
            <w:hideMark/>
          </w:tcPr>
          <w:p w14:paraId="2AB20AD3" w14:textId="77777777" w:rsidR="00952B55" w:rsidRPr="00D06515" w:rsidRDefault="00952B55" w:rsidP="00952B55">
            <w:pPr>
              <w:spacing w:before="0" w:after="0" w:line="240" w:lineRule="auto"/>
              <w:jc w:val="center"/>
              <w:rPr>
                <w:rFonts w:eastAsia="Times New Roman"/>
                <w:color w:val="000000"/>
                <w:sz w:val="18"/>
                <w:szCs w:val="18"/>
              </w:rPr>
            </w:pPr>
            <w:r w:rsidRPr="00D06515">
              <w:rPr>
                <w:rFonts w:eastAsia="Times New Roman"/>
                <w:color w:val="000000"/>
                <w:sz w:val="18"/>
                <w:szCs w:val="18"/>
              </w:rPr>
              <w:t>1</w:t>
            </w:r>
          </w:p>
        </w:tc>
        <w:tc>
          <w:tcPr>
            <w:tcW w:w="1436" w:type="dxa"/>
            <w:shd w:val="clear" w:color="auto" w:fill="auto"/>
            <w:noWrap/>
            <w:vAlign w:val="center"/>
            <w:hideMark/>
          </w:tcPr>
          <w:p w14:paraId="0B55F794" w14:textId="77777777" w:rsidR="00952B55" w:rsidRPr="00D06515" w:rsidRDefault="00952B55" w:rsidP="00952B55">
            <w:pPr>
              <w:spacing w:before="0" w:after="0" w:line="240" w:lineRule="auto"/>
              <w:jc w:val="left"/>
              <w:rPr>
                <w:rFonts w:eastAsia="Times New Roman"/>
                <w:color w:val="000000"/>
                <w:sz w:val="18"/>
                <w:szCs w:val="18"/>
              </w:rPr>
            </w:pPr>
            <w:r w:rsidRPr="00D06515">
              <w:rPr>
                <w:rFonts w:eastAsia="Times New Roman"/>
                <w:color w:val="000000"/>
                <w:sz w:val="18"/>
                <w:szCs w:val="18"/>
              </w:rPr>
              <w:t>FET096199CO-516733</w:t>
            </w:r>
          </w:p>
        </w:tc>
        <w:tc>
          <w:tcPr>
            <w:tcW w:w="974" w:type="dxa"/>
            <w:vAlign w:val="center"/>
          </w:tcPr>
          <w:p w14:paraId="7C07A1B5" w14:textId="77777777" w:rsidR="00952B55" w:rsidRPr="00D06515" w:rsidRDefault="00952B55" w:rsidP="00952B55">
            <w:pPr>
              <w:spacing w:before="0" w:after="0" w:line="240" w:lineRule="auto"/>
              <w:jc w:val="left"/>
              <w:rPr>
                <w:rFonts w:eastAsia="Times New Roman"/>
                <w:color w:val="000000"/>
                <w:sz w:val="18"/>
                <w:szCs w:val="18"/>
              </w:rPr>
            </w:pPr>
            <w:r w:rsidRPr="00D06515">
              <w:rPr>
                <w:rFonts w:eastAsia="Times New Roman"/>
                <w:color w:val="000000"/>
                <w:sz w:val="18"/>
                <w:szCs w:val="18"/>
              </w:rPr>
              <w:t>MATC</w:t>
            </w:r>
          </w:p>
        </w:tc>
        <w:tc>
          <w:tcPr>
            <w:tcW w:w="1696" w:type="dxa"/>
            <w:vAlign w:val="center"/>
          </w:tcPr>
          <w:p w14:paraId="4BD39EC1" w14:textId="77777777" w:rsidR="00952B55" w:rsidRPr="00D7109F" w:rsidRDefault="00952B55" w:rsidP="00952B55">
            <w:pPr>
              <w:spacing w:before="0" w:after="0" w:line="240" w:lineRule="auto"/>
              <w:jc w:val="center"/>
              <w:rPr>
                <w:rFonts w:eastAsia="Times New Roman"/>
                <w:b/>
                <w:color w:val="000000"/>
                <w:sz w:val="18"/>
                <w:szCs w:val="18"/>
              </w:rPr>
            </w:pPr>
            <w:r w:rsidRPr="00D7109F">
              <w:rPr>
                <w:b/>
                <w:sz w:val="18"/>
                <w:szCs w:val="18"/>
              </w:rPr>
              <w:t>Concesión única</w:t>
            </w:r>
          </w:p>
        </w:tc>
        <w:tc>
          <w:tcPr>
            <w:tcW w:w="2835" w:type="dxa"/>
            <w:shd w:val="clear" w:color="auto" w:fill="auto"/>
            <w:noWrap/>
            <w:vAlign w:val="center"/>
            <w:hideMark/>
          </w:tcPr>
          <w:p w14:paraId="107E31A6" w14:textId="77777777" w:rsidR="00952B55" w:rsidRPr="00D06515" w:rsidRDefault="00952B55" w:rsidP="00C26AE9">
            <w:pPr>
              <w:spacing w:before="0" w:after="0" w:line="240" w:lineRule="auto"/>
              <w:jc w:val="center"/>
              <w:rPr>
                <w:rFonts w:eastAsia="Times New Roman"/>
                <w:color w:val="000000"/>
                <w:sz w:val="18"/>
                <w:szCs w:val="18"/>
              </w:rPr>
            </w:pPr>
            <w:r w:rsidRPr="00D06515">
              <w:rPr>
                <w:rFonts w:eastAsia="Times New Roman"/>
                <w:color w:val="000000"/>
                <w:sz w:val="18"/>
                <w:szCs w:val="18"/>
              </w:rPr>
              <w:t>Nacional</w:t>
            </w:r>
          </w:p>
        </w:tc>
        <w:tc>
          <w:tcPr>
            <w:tcW w:w="2126" w:type="dxa"/>
            <w:shd w:val="clear" w:color="auto" w:fill="auto"/>
            <w:noWrap/>
            <w:vAlign w:val="center"/>
            <w:hideMark/>
          </w:tcPr>
          <w:p w14:paraId="5443777C" w14:textId="77777777" w:rsidR="00952B55" w:rsidRPr="00D06515" w:rsidRDefault="00952B55" w:rsidP="00952B55">
            <w:pPr>
              <w:spacing w:before="0" w:after="0" w:line="240" w:lineRule="auto"/>
              <w:ind w:left="18"/>
              <w:jc w:val="left"/>
              <w:rPr>
                <w:rFonts w:eastAsia="Times New Roman"/>
                <w:color w:val="000000"/>
                <w:sz w:val="18"/>
                <w:szCs w:val="18"/>
              </w:rPr>
            </w:pPr>
            <w:r w:rsidRPr="00D06515">
              <w:rPr>
                <w:sz w:val="18"/>
                <w:szCs w:val="23"/>
              </w:rPr>
              <w:t>Cualquier servicio técnicamente posible</w:t>
            </w:r>
            <w:r>
              <w:rPr>
                <w:sz w:val="18"/>
                <w:szCs w:val="23"/>
              </w:rPr>
              <w:t>.</w:t>
            </w:r>
          </w:p>
        </w:tc>
        <w:tc>
          <w:tcPr>
            <w:tcW w:w="2268" w:type="dxa"/>
            <w:vAlign w:val="center"/>
          </w:tcPr>
          <w:p w14:paraId="3B4BA325" w14:textId="77777777" w:rsidR="00952B55" w:rsidRPr="00D06515" w:rsidRDefault="00B92CA8" w:rsidP="00C26AE9">
            <w:pPr>
              <w:spacing w:before="0" w:after="0" w:line="240" w:lineRule="auto"/>
              <w:jc w:val="center"/>
              <w:rPr>
                <w:rFonts w:eastAsia="Times New Roman"/>
                <w:color w:val="000000"/>
                <w:sz w:val="18"/>
                <w:szCs w:val="18"/>
              </w:rPr>
            </w:pPr>
            <w:r>
              <w:rPr>
                <w:sz w:val="18"/>
                <w:szCs w:val="23"/>
              </w:rPr>
              <w:t xml:space="preserve">Al inicio de la concesión: </w:t>
            </w:r>
            <w:r w:rsidR="00952B55">
              <w:rPr>
                <w:sz w:val="18"/>
                <w:szCs w:val="23"/>
              </w:rPr>
              <w:t>E</w:t>
            </w:r>
            <w:r w:rsidR="00952B55" w:rsidRPr="00D06515">
              <w:rPr>
                <w:sz w:val="18"/>
                <w:szCs w:val="23"/>
              </w:rPr>
              <w:t>nlaces dedicados</w:t>
            </w:r>
            <w:r w:rsidR="00952B55">
              <w:rPr>
                <w:sz w:val="18"/>
                <w:szCs w:val="23"/>
              </w:rPr>
              <w:t xml:space="preserve"> </w:t>
            </w:r>
            <w:r w:rsidR="00952B55">
              <w:rPr>
                <w:rFonts w:eastAsia="Times New Roman"/>
                <w:color w:val="000000"/>
                <w:sz w:val="18"/>
                <w:szCs w:val="18"/>
              </w:rPr>
              <w:t xml:space="preserve">en </w:t>
            </w:r>
            <w:r w:rsidR="00952B55" w:rsidRPr="00D06515">
              <w:rPr>
                <w:rFonts w:eastAsia="Times New Roman"/>
                <w:color w:val="000000"/>
                <w:sz w:val="18"/>
                <w:szCs w:val="18"/>
              </w:rPr>
              <w:t>León y</w:t>
            </w:r>
          </w:p>
          <w:p w14:paraId="5FBE86C6" w14:textId="77777777" w:rsidR="00952B55" w:rsidRPr="00D06515" w:rsidRDefault="00952B55" w:rsidP="00C26AE9">
            <w:pPr>
              <w:spacing w:before="0" w:after="0" w:line="240" w:lineRule="auto"/>
              <w:jc w:val="center"/>
              <w:rPr>
                <w:rFonts w:eastAsia="Times New Roman"/>
                <w:color w:val="000000"/>
                <w:sz w:val="18"/>
                <w:szCs w:val="18"/>
              </w:rPr>
            </w:pPr>
            <w:r w:rsidRPr="00D06515">
              <w:rPr>
                <w:rFonts w:eastAsia="Times New Roman"/>
                <w:color w:val="000000"/>
                <w:sz w:val="18"/>
                <w:szCs w:val="18"/>
              </w:rPr>
              <w:t>Silao, Guanajuato</w:t>
            </w:r>
          </w:p>
        </w:tc>
        <w:tc>
          <w:tcPr>
            <w:tcW w:w="2268" w:type="dxa"/>
            <w:vAlign w:val="center"/>
          </w:tcPr>
          <w:p w14:paraId="2B454CF2" w14:textId="77777777" w:rsidR="00952B55" w:rsidRPr="00D06515" w:rsidRDefault="00952B55" w:rsidP="00C26AE9">
            <w:pPr>
              <w:spacing w:before="0" w:after="0" w:line="240" w:lineRule="auto"/>
              <w:jc w:val="center"/>
              <w:rPr>
                <w:rFonts w:eastAsia="Times New Roman"/>
                <w:color w:val="000000"/>
                <w:sz w:val="18"/>
                <w:szCs w:val="18"/>
              </w:rPr>
            </w:pPr>
            <w:r w:rsidRPr="00D06515">
              <w:rPr>
                <w:rFonts w:eastAsia="Times New Roman"/>
                <w:color w:val="000000"/>
                <w:sz w:val="18"/>
                <w:szCs w:val="18"/>
              </w:rPr>
              <w:t>08-09-2017</w:t>
            </w:r>
          </w:p>
          <w:p w14:paraId="1CA5B2CA" w14:textId="77777777" w:rsidR="00952B55" w:rsidRPr="0027363F" w:rsidRDefault="00952B55" w:rsidP="00C26AE9">
            <w:pPr>
              <w:spacing w:before="0" w:after="0" w:line="240" w:lineRule="auto"/>
              <w:jc w:val="center"/>
              <w:rPr>
                <w:rFonts w:eastAsia="Times New Roman"/>
                <w:color w:val="000000"/>
                <w:sz w:val="18"/>
                <w:szCs w:val="18"/>
              </w:rPr>
            </w:pPr>
            <w:r w:rsidRPr="00D06515">
              <w:rPr>
                <w:rFonts w:eastAsia="Times New Roman"/>
                <w:color w:val="000000"/>
                <w:sz w:val="18"/>
                <w:szCs w:val="18"/>
              </w:rPr>
              <w:t>08-09-2047</w:t>
            </w:r>
          </w:p>
        </w:tc>
      </w:tr>
      <w:tr w:rsidR="00952B55" w:rsidRPr="0027363F" w14:paraId="739C31DE" w14:textId="77777777" w:rsidTr="00C26AE9">
        <w:trPr>
          <w:trHeight w:val="20"/>
          <w:jc w:val="center"/>
        </w:trPr>
        <w:tc>
          <w:tcPr>
            <w:tcW w:w="567" w:type="dxa"/>
            <w:shd w:val="clear" w:color="auto" w:fill="auto"/>
            <w:noWrap/>
            <w:vAlign w:val="center"/>
          </w:tcPr>
          <w:p w14:paraId="7A816A93" w14:textId="77777777" w:rsidR="00952B55" w:rsidRPr="00D06515" w:rsidRDefault="00952B55" w:rsidP="00952B55">
            <w:pPr>
              <w:spacing w:before="0" w:after="0" w:line="240" w:lineRule="auto"/>
              <w:jc w:val="center"/>
              <w:rPr>
                <w:rFonts w:eastAsia="Times New Roman"/>
                <w:color w:val="000000"/>
                <w:sz w:val="18"/>
                <w:szCs w:val="18"/>
              </w:rPr>
            </w:pPr>
            <w:r>
              <w:rPr>
                <w:rFonts w:eastAsia="Times New Roman"/>
                <w:color w:val="000000"/>
                <w:sz w:val="18"/>
                <w:szCs w:val="18"/>
              </w:rPr>
              <w:t>2</w:t>
            </w:r>
          </w:p>
        </w:tc>
        <w:tc>
          <w:tcPr>
            <w:tcW w:w="1436" w:type="dxa"/>
            <w:shd w:val="clear" w:color="auto" w:fill="auto"/>
            <w:noWrap/>
            <w:vAlign w:val="center"/>
          </w:tcPr>
          <w:p w14:paraId="51E28183" w14:textId="77777777" w:rsidR="00952B55" w:rsidRPr="0027363F" w:rsidRDefault="00952B55" w:rsidP="00952B55">
            <w:pPr>
              <w:spacing w:before="0" w:after="0" w:line="240" w:lineRule="auto"/>
              <w:jc w:val="left"/>
              <w:rPr>
                <w:rFonts w:eastAsia="Times New Roman"/>
                <w:color w:val="000000"/>
                <w:sz w:val="18"/>
                <w:szCs w:val="18"/>
              </w:rPr>
            </w:pPr>
            <w:r w:rsidRPr="0027363F">
              <w:rPr>
                <w:rFonts w:eastAsia="Times New Roman"/>
                <w:color w:val="000000"/>
                <w:sz w:val="18"/>
                <w:szCs w:val="18"/>
              </w:rPr>
              <w:t>FET096234AU-516</w:t>
            </w:r>
            <w:r>
              <w:rPr>
                <w:rFonts w:eastAsia="Times New Roman"/>
                <w:color w:val="000000"/>
                <w:sz w:val="18"/>
                <w:szCs w:val="18"/>
              </w:rPr>
              <w:t>879</w:t>
            </w:r>
          </w:p>
        </w:tc>
        <w:tc>
          <w:tcPr>
            <w:tcW w:w="974" w:type="dxa"/>
            <w:vAlign w:val="center"/>
          </w:tcPr>
          <w:p w14:paraId="798F5F05" w14:textId="77777777" w:rsidR="00952B55" w:rsidRPr="0027363F" w:rsidRDefault="00952B55" w:rsidP="00952B55">
            <w:pPr>
              <w:spacing w:before="0" w:after="0" w:line="240" w:lineRule="auto"/>
              <w:jc w:val="left"/>
              <w:rPr>
                <w:rFonts w:eastAsia="Times New Roman"/>
                <w:color w:val="000000"/>
                <w:sz w:val="18"/>
                <w:szCs w:val="18"/>
              </w:rPr>
            </w:pPr>
            <w:r>
              <w:rPr>
                <w:rFonts w:eastAsia="Times New Roman"/>
                <w:color w:val="000000"/>
                <w:sz w:val="18"/>
                <w:szCs w:val="18"/>
              </w:rPr>
              <w:t>CFCA</w:t>
            </w:r>
          </w:p>
        </w:tc>
        <w:tc>
          <w:tcPr>
            <w:tcW w:w="1696" w:type="dxa"/>
            <w:vAlign w:val="center"/>
          </w:tcPr>
          <w:p w14:paraId="0C3D3A41" w14:textId="77777777" w:rsidR="00952B55" w:rsidRPr="0027363F" w:rsidRDefault="00952B55" w:rsidP="00952B55">
            <w:pPr>
              <w:spacing w:before="0" w:after="0" w:line="240" w:lineRule="auto"/>
              <w:jc w:val="center"/>
              <w:rPr>
                <w:rFonts w:eastAsia="Times New Roman"/>
                <w:color w:val="000000"/>
                <w:sz w:val="18"/>
                <w:szCs w:val="18"/>
              </w:rPr>
            </w:pPr>
            <w:r w:rsidRPr="00D7109F">
              <w:rPr>
                <w:rFonts w:eastAsia="Times New Roman"/>
                <w:b/>
                <w:color w:val="000000"/>
                <w:sz w:val="18"/>
                <w:szCs w:val="18"/>
              </w:rPr>
              <w:t>Autorización</w:t>
            </w:r>
            <w:r w:rsidRPr="0027363F">
              <w:rPr>
                <w:rFonts w:eastAsia="Times New Roman"/>
                <w:color w:val="000000"/>
                <w:sz w:val="18"/>
                <w:szCs w:val="18"/>
              </w:rPr>
              <w:t xml:space="preserve"> para establecer, operar o explotar una </w:t>
            </w:r>
            <w:r w:rsidRPr="0027363F">
              <w:rPr>
                <w:rFonts w:eastAsia="Times New Roman"/>
                <w:b/>
                <w:color w:val="000000"/>
                <w:sz w:val="18"/>
                <w:szCs w:val="18"/>
              </w:rPr>
              <w:t>comercializadora</w:t>
            </w:r>
          </w:p>
        </w:tc>
        <w:tc>
          <w:tcPr>
            <w:tcW w:w="2835" w:type="dxa"/>
            <w:shd w:val="clear" w:color="auto" w:fill="auto"/>
            <w:noWrap/>
            <w:vAlign w:val="center"/>
          </w:tcPr>
          <w:p w14:paraId="23F097C5" w14:textId="77777777" w:rsidR="00952B55" w:rsidRPr="0027363F" w:rsidRDefault="00952B55" w:rsidP="00C26AE9">
            <w:pPr>
              <w:spacing w:before="0" w:after="0" w:line="240" w:lineRule="auto"/>
              <w:jc w:val="center"/>
              <w:rPr>
                <w:rFonts w:eastAsia="Times New Roman"/>
                <w:color w:val="000000"/>
                <w:sz w:val="18"/>
                <w:szCs w:val="18"/>
              </w:rPr>
            </w:pPr>
            <w:r w:rsidRPr="0027363F">
              <w:rPr>
                <w:rFonts w:eastAsia="Times New Roman"/>
                <w:color w:val="000000"/>
                <w:sz w:val="18"/>
                <w:szCs w:val="18"/>
              </w:rPr>
              <w:t>Nacional</w:t>
            </w:r>
          </w:p>
        </w:tc>
        <w:tc>
          <w:tcPr>
            <w:tcW w:w="2126" w:type="dxa"/>
            <w:shd w:val="clear" w:color="auto" w:fill="auto"/>
            <w:noWrap/>
            <w:vAlign w:val="center"/>
          </w:tcPr>
          <w:p w14:paraId="5FFB3755" w14:textId="77777777" w:rsidR="00952B55" w:rsidRPr="0027363F" w:rsidRDefault="00952B55" w:rsidP="00952B55">
            <w:pPr>
              <w:spacing w:before="0" w:after="0" w:line="240" w:lineRule="auto"/>
              <w:jc w:val="left"/>
              <w:rPr>
                <w:rFonts w:eastAsia="Times New Roman"/>
                <w:color w:val="000000"/>
                <w:sz w:val="18"/>
                <w:szCs w:val="18"/>
              </w:rPr>
            </w:pPr>
            <w:r w:rsidRPr="0027363F">
              <w:rPr>
                <w:rFonts w:eastAsia="Times New Roman"/>
                <w:color w:val="000000"/>
                <w:sz w:val="18"/>
                <w:szCs w:val="18"/>
              </w:rPr>
              <w:t>Comercializar:</w:t>
            </w:r>
          </w:p>
          <w:p w14:paraId="43869EC1" w14:textId="77777777" w:rsidR="00952B55" w:rsidRPr="0027363F" w:rsidRDefault="00952B55" w:rsidP="00952B55">
            <w:pPr>
              <w:spacing w:before="0" w:after="0" w:line="240" w:lineRule="auto"/>
              <w:ind w:left="212"/>
              <w:jc w:val="left"/>
              <w:rPr>
                <w:rFonts w:eastAsia="Times New Roman"/>
                <w:color w:val="000000"/>
                <w:sz w:val="18"/>
                <w:szCs w:val="18"/>
              </w:rPr>
            </w:pPr>
            <w:r>
              <w:rPr>
                <w:rFonts w:eastAsia="Times New Roman"/>
                <w:color w:val="000000"/>
                <w:sz w:val="18"/>
                <w:szCs w:val="18"/>
              </w:rPr>
              <w:t>Acceso a Internet</w:t>
            </w:r>
          </w:p>
          <w:p w14:paraId="1E853B04" w14:textId="77777777" w:rsidR="00952B55" w:rsidRPr="0027363F" w:rsidRDefault="00952B55" w:rsidP="00952B55">
            <w:pPr>
              <w:spacing w:before="0" w:after="0" w:line="240" w:lineRule="auto"/>
              <w:ind w:left="212"/>
              <w:jc w:val="left"/>
              <w:rPr>
                <w:rFonts w:eastAsia="Times New Roman"/>
                <w:color w:val="000000"/>
                <w:sz w:val="18"/>
                <w:szCs w:val="18"/>
              </w:rPr>
            </w:pPr>
            <w:r>
              <w:rPr>
                <w:rFonts w:eastAsia="Times New Roman"/>
                <w:color w:val="000000"/>
                <w:sz w:val="18"/>
                <w:szCs w:val="18"/>
              </w:rPr>
              <w:t>Enlaces dedicados</w:t>
            </w:r>
          </w:p>
          <w:p w14:paraId="7835C751" w14:textId="77777777" w:rsidR="00952B55" w:rsidRPr="0027363F" w:rsidRDefault="00952B55" w:rsidP="00952B55">
            <w:pPr>
              <w:spacing w:before="0" w:after="0" w:line="240" w:lineRule="auto"/>
              <w:ind w:left="212"/>
              <w:jc w:val="left"/>
              <w:rPr>
                <w:rFonts w:eastAsia="Times New Roman"/>
                <w:color w:val="000000"/>
                <w:sz w:val="18"/>
                <w:szCs w:val="18"/>
              </w:rPr>
            </w:pPr>
            <w:r w:rsidRPr="0027363F">
              <w:rPr>
                <w:rFonts w:eastAsia="Times New Roman"/>
                <w:color w:val="000000"/>
                <w:sz w:val="18"/>
                <w:szCs w:val="18"/>
              </w:rPr>
              <w:t>Transmisión de datos</w:t>
            </w:r>
          </w:p>
        </w:tc>
        <w:tc>
          <w:tcPr>
            <w:tcW w:w="2268" w:type="dxa"/>
            <w:vAlign w:val="center"/>
          </w:tcPr>
          <w:p w14:paraId="422C577A" w14:textId="77777777" w:rsidR="00952B55" w:rsidRPr="0027363F" w:rsidRDefault="0093190F" w:rsidP="00C26AE9">
            <w:pPr>
              <w:spacing w:before="0" w:after="0" w:line="240" w:lineRule="auto"/>
              <w:jc w:val="center"/>
              <w:rPr>
                <w:rFonts w:eastAsia="Times New Roman"/>
                <w:color w:val="000000"/>
                <w:sz w:val="18"/>
                <w:szCs w:val="18"/>
              </w:rPr>
            </w:pPr>
            <w:r>
              <w:rPr>
                <w:rFonts w:eastAsia="Times New Roman"/>
                <w:color w:val="000000"/>
                <w:sz w:val="18"/>
                <w:szCs w:val="18"/>
              </w:rPr>
              <w:t>Acceso a Internet y Enlaces dedicados</w:t>
            </w:r>
          </w:p>
        </w:tc>
        <w:tc>
          <w:tcPr>
            <w:tcW w:w="2268" w:type="dxa"/>
            <w:vAlign w:val="center"/>
          </w:tcPr>
          <w:p w14:paraId="3A24B046" w14:textId="77777777" w:rsidR="00952B55" w:rsidRPr="0027363F" w:rsidRDefault="00952B55" w:rsidP="00C26AE9">
            <w:pPr>
              <w:spacing w:before="0" w:after="0" w:line="240" w:lineRule="auto"/>
              <w:jc w:val="center"/>
              <w:rPr>
                <w:rFonts w:eastAsia="Times New Roman"/>
                <w:color w:val="000000"/>
                <w:sz w:val="18"/>
                <w:szCs w:val="18"/>
              </w:rPr>
            </w:pPr>
            <w:r w:rsidRPr="0027363F">
              <w:rPr>
                <w:rFonts w:eastAsia="Times New Roman"/>
                <w:color w:val="000000"/>
                <w:sz w:val="18"/>
                <w:szCs w:val="18"/>
              </w:rPr>
              <w:t>18-10-2017</w:t>
            </w:r>
          </w:p>
          <w:p w14:paraId="2C8B35D0" w14:textId="77777777" w:rsidR="00952B55" w:rsidRPr="0027363F" w:rsidRDefault="00952B55" w:rsidP="00C26AE9">
            <w:pPr>
              <w:spacing w:before="0" w:after="0" w:line="240" w:lineRule="auto"/>
              <w:jc w:val="center"/>
              <w:rPr>
                <w:rFonts w:eastAsia="Times New Roman"/>
                <w:color w:val="000000"/>
                <w:sz w:val="18"/>
                <w:szCs w:val="18"/>
              </w:rPr>
            </w:pPr>
            <w:r w:rsidRPr="0027363F">
              <w:rPr>
                <w:rFonts w:eastAsia="Times New Roman"/>
                <w:color w:val="000000"/>
                <w:sz w:val="18"/>
                <w:szCs w:val="18"/>
              </w:rPr>
              <w:t>18-10-2027</w:t>
            </w:r>
          </w:p>
        </w:tc>
      </w:tr>
      <w:tr w:rsidR="00952B55" w:rsidRPr="0027363F" w14:paraId="41CAEF3A" w14:textId="77777777" w:rsidTr="00C26AE9">
        <w:trPr>
          <w:trHeight w:val="20"/>
          <w:jc w:val="center"/>
        </w:trPr>
        <w:tc>
          <w:tcPr>
            <w:tcW w:w="567" w:type="dxa"/>
            <w:shd w:val="clear" w:color="auto" w:fill="auto"/>
            <w:noWrap/>
            <w:vAlign w:val="center"/>
          </w:tcPr>
          <w:p w14:paraId="4A321286" w14:textId="77777777" w:rsidR="00952B55" w:rsidRDefault="00952B55" w:rsidP="00952B55">
            <w:pPr>
              <w:spacing w:before="0" w:after="0" w:line="240" w:lineRule="auto"/>
              <w:jc w:val="center"/>
              <w:rPr>
                <w:rFonts w:eastAsia="Times New Roman"/>
                <w:color w:val="000000"/>
                <w:sz w:val="18"/>
                <w:szCs w:val="18"/>
              </w:rPr>
            </w:pPr>
            <w:r>
              <w:rPr>
                <w:rFonts w:eastAsia="Times New Roman"/>
                <w:color w:val="000000"/>
                <w:sz w:val="18"/>
                <w:szCs w:val="18"/>
              </w:rPr>
              <w:t>3</w:t>
            </w:r>
          </w:p>
        </w:tc>
        <w:tc>
          <w:tcPr>
            <w:tcW w:w="1436" w:type="dxa"/>
            <w:shd w:val="clear" w:color="auto" w:fill="auto"/>
            <w:noWrap/>
            <w:vAlign w:val="center"/>
          </w:tcPr>
          <w:p w14:paraId="7DFD88B3" w14:textId="77777777" w:rsidR="00952B55" w:rsidRPr="0027363F" w:rsidRDefault="00952B55" w:rsidP="00952B55">
            <w:pPr>
              <w:spacing w:before="0" w:after="0" w:line="240" w:lineRule="auto"/>
              <w:jc w:val="left"/>
              <w:rPr>
                <w:rFonts w:eastAsia="Times New Roman"/>
                <w:color w:val="000000"/>
                <w:sz w:val="18"/>
                <w:szCs w:val="18"/>
              </w:rPr>
            </w:pPr>
            <w:r>
              <w:rPr>
                <w:rFonts w:eastAsia="Times New Roman"/>
                <w:color w:val="000000"/>
                <w:sz w:val="18"/>
                <w:szCs w:val="18"/>
              </w:rPr>
              <w:t>N.D.</w:t>
            </w:r>
          </w:p>
        </w:tc>
        <w:tc>
          <w:tcPr>
            <w:tcW w:w="974" w:type="dxa"/>
            <w:vAlign w:val="center"/>
          </w:tcPr>
          <w:p w14:paraId="02723C0F" w14:textId="77777777" w:rsidR="00952B55" w:rsidRDefault="00952B55" w:rsidP="00952B55">
            <w:pPr>
              <w:spacing w:before="0" w:after="0" w:line="240" w:lineRule="auto"/>
              <w:jc w:val="left"/>
              <w:rPr>
                <w:rFonts w:eastAsia="Times New Roman"/>
                <w:color w:val="000000"/>
                <w:sz w:val="18"/>
                <w:szCs w:val="18"/>
              </w:rPr>
            </w:pPr>
            <w:proofErr w:type="spellStart"/>
            <w:r>
              <w:rPr>
                <w:rFonts w:eastAsia="Times New Roman"/>
                <w:color w:val="000000"/>
                <w:sz w:val="18"/>
                <w:szCs w:val="18"/>
              </w:rPr>
              <w:t>Telco</w:t>
            </w:r>
            <w:proofErr w:type="spellEnd"/>
          </w:p>
        </w:tc>
        <w:tc>
          <w:tcPr>
            <w:tcW w:w="1696" w:type="dxa"/>
            <w:vAlign w:val="center"/>
          </w:tcPr>
          <w:p w14:paraId="7376B6D4" w14:textId="77777777" w:rsidR="00952B55" w:rsidRPr="00D7109F" w:rsidRDefault="00952B55" w:rsidP="00952B55">
            <w:pPr>
              <w:spacing w:before="0" w:after="0" w:line="240" w:lineRule="auto"/>
              <w:jc w:val="center"/>
              <w:rPr>
                <w:rFonts w:eastAsia="Times New Roman"/>
                <w:b/>
                <w:color w:val="000000"/>
                <w:sz w:val="18"/>
                <w:szCs w:val="18"/>
              </w:rPr>
            </w:pPr>
            <w:r>
              <w:rPr>
                <w:rFonts w:eastAsia="Times New Roman"/>
                <w:b/>
                <w:color w:val="000000"/>
                <w:sz w:val="18"/>
                <w:szCs w:val="18"/>
              </w:rPr>
              <w:t>Concesión única</w:t>
            </w:r>
            <w:r>
              <w:rPr>
                <w:rStyle w:val="Refdenotaalpie"/>
                <w:rFonts w:eastAsia="Times New Roman"/>
                <w:color w:val="000000"/>
                <w:lang w:val="es-MX"/>
              </w:rPr>
              <w:footnoteReference w:id="49"/>
            </w:r>
          </w:p>
        </w:tc>
        <w:tc>
          <w:tcPr>
            <w:tcW w:w="2835" w:type="dxa"/>
            <w:shd w:val="clear" w:color="auto" w:fill="auto"/>
            <w:noWrap/>
            <w:vAlign w:val="center"/>
          </w:tcPr>
          <w:p w14:paraId="2C50E9BE" w14:textId="77777777" w:rsidR="00952B55" w:rsidRPr="00AF14C3" w:rsidRDefault="00952B55" w:rsidP="00952B55">
            <w:pPr>
              <w:spacing w:before="0" w:after="0" w:line="240" w:lineRule="auto"/>
              <w:jc w:val="center"/>
              <w:rPr>
                <w:rFonts w:eastAsia="Times New Roman"/>
                <w:color w:val="000000"/>
                <w:sz w:val="18"/>
                <w:szCs w:val="18"/>
              </w:rPr>
            </w:pPr>
            <w:r w:rsidRPr="00AF14C3">
              <w:rPr>
                <w:rFonts w:eastAsia="Times New Roman"/>
                <w:color w:val="000000"/>
                <w:sz w:val="18"/>
                <w:szCs w:val="18"/>
              </w:rPr>
              <w:t>Nacional</w:t>
            </w:r>
          </w:p>
          <w:p w14:paraId="3723D8D8" w14:textId="77777777" w:rsidR="00952B55" w:rsidRPr="00AF14C3" w:rsidRDefault="00952B55" w:rsidP="00952B55">
            <w:pPr>
              <w:spacing w:before="0" w:after="0" w:line="240" w:lineRule="auto"/>
              <w:jc w:val="center"/>
              <w:rPr>
                <w:rFonts w:eastAsia="Times New Roman"/>
                <w:color w:val="000000"/>
                <w:sz w:val="18"/>
                <w:szCs w:val="18"/>
              </w:rPr>
            </w:pPr>
          </w:p>
          <w:p w14:paraId="7542A07F" w14:textId="77777777" w:rsidR="00952B55" w:rsidRPr="0027363F" w:rsidRDefault="00952B55" w:rsidP="00952B55">
            <w:pPr>
              <w:spacing w:before="0" w:after="0" w:line="240" w:lineRule="auto"/>
              <w:jc w:val="center"/>
              <w:rPr>
                <w:rFonts w:eastAsia="Times New Roman"/>
                <w:color w:val="000000"/>
                <w:sz w:val="18"/>
                <w:szCs w:val="18"/>
              </w:rPr>
            </w:pPr>
            <w:r w:rsidRPr="00AF14C3">
              <w:rPr>
                <w:rFonts w:eastAsia="Times New Roman"/>
                <w:color w:val="000000"/>
                <w:sz w:val="18"/>
                <w:szCs w:val="18"/>
              </w:rPr>
              <w:t xml:space="preserve">Inicialmente en </w:t>
            </w:r>
            <w:r w:rsidRPr="00AF14C3">
              <w:rPr>
                <w:rFonts w:eastAsia="Times New Roman"/>
                <w:color w:val="000000"/>
                <w:sz w:val="18"/>
                <w:szCs w:val="18"/>
                <w:lang w:val="es-MX"/>
              </w:rPr>
              <w:t>Ciudad de México y diversos municipios de los Estados de México, Jalisco, Nuevo León, Querétaro, Guanajuato, Baja California, Aguascalientes, Morelos, Puebla, San Luis Potosí, Veracruz, Tabasco, Yucatán y Chiapas</w:t>
            </w:r>
          </w:p>
        </w:tc>
        <w:tc>
          <w:tcPr>
            <w:tcW w:w="2126" w:type="dxa"/>
            <w:shd w:val="clear" w:color="auto" w:fill="auto"/>
            <w:noWrap/>
            <w:vAlign w:val="center"/>
          </w:tcPr>
          <w:p w14:paraId="181413A9" w14:textId="77777777" w:rsidR="00952B55" w:rsidRPr="0027363F" w:rsidRDefault="00952B55" w:rsidP="00952B55">
            <w:pPr>
              <w:spacing w:before="0" w:after="0" w:line="240" w:lineRule="auto"/>
              <w:jc w:val="left"/>
              <w:rPr>
                <w:rFonts w:eastAsia="Times New Roman"/>
                <w:color w:val="000000"/>
                <w:sz w:val="18"/>
                <w:szCs w:val="18"/>
              </w:rPr>
            </w:pPr>
            <w:r w:rsidRPr="00D06515">
              <w:rPr>
                <w:sz w:val="18"/>
                <w:szCs w:val="23"/>
              </w:rPr>
              <w:t xml:space="preserve">Cualquier servicio técnicamente posible; en particular, </w:t>
            </w:r>
            <w:r w:rsidRPr="003A0DA1">
              <w:rPr>
                <w:sz w:val="18"/>
                <w:szCs w:val="23"/>
              </w:rPr>
              <w:t>comercialización de capacidad de red</w:t>
            </w:r>
            <w:r>
              <w:rPr>
                <w:sz w:val="18"/>
                <w:szCs w:val="23"/>
              </w:rPr>
              <w:t>es</w:t>
            </w:r>
            <w:r w:rsidRPr="003A0DA1">
              <w:rPr>
                <w:sz w:val="18"/>
                <w:szCs w:val="23"/>
              </w:rPr>
              <w:t xml:space="preserve"> de telecomunicaciones y transmisión bidireccional de datos</w:t>
            </w:r>
          </w:p>
        </w:tc>
        <w:tc>
          <w:tcPr>
            <w:tcW w:w="2268" w:type="dxa"/>
            <w:vAlign w:val="center"/>
          </w:tcPr>
          <w:p w14:paraId="5543070C" w14:textId="77777777" w:rsidR="00952B55" w:rsidRDefault="0093190F" w:rsidP="00C26AE9">
            <w:pPr>
              <w:spacing w:before="0" w:after="0" w:line="240" w:lineRule="auto"/>
              <w:jc w:val="center"/>
              <w:rPr>
                <w:rFonts w:eastAsia="Times New Roman"/>
                <w:color w:val="000000"/>
                <w:sz w:val="18"/>
                <w:szCs w:val="18"/>
              </w:rPr>
            </w:pPr>
            <w:r>
              <w:rPr>
                <w:rFonts w:eastAsia="Times New Roman"/>
                <w:color w:val="000000"/>
                <w:sz w:val="18"/>
                <w:szCs w:val="18"/>
              </w:rPr>
              <w:t>N.D.</w:t>
            </w:r>
          </w:p>
        </w:tc>
        <w:tc>
          <w:tcPr>
            <w:tcW w:w="2268" w:type="dxa"/>
            <w:vAlign w:val="center"/>
          </w:tcPr>
          <w:p w14:paraId="07722A3C" w14:textId="77777777" w:rsidR="00952B55" w:rsidRPr="0027363F" w:rsidRDefault="00952B55" w:rsidP="00C26AE9">
            <w:pPr>
              <w:spacing w:before="0" w:after="0" w:line="240" w:lineRule="auto"/>
              <w:jc w:val="center"/>
              <w:rPr>
                <w:rFonts w:eastAsia="Times New Roman"/>
                <w:color w:val="000000"/>
                <w:sz w:val="18"/>
                <w:szCs w:val="18"/>
              </w:rPr>
            </w:pPr>
            <w:r>
              <w:rPr>
                <w:rFonts w:eastAsia="Times New Roman"/>
                <w:color w:val="000000"/>
                <w:sz w:val="18"/>
                <w:szCs w:val="18"/>
              </w:rPr>
              <w:t>N.D.</w:t>
            </w:r>
          </w:p>
        </w:tc>
      </w:tr>
    </w:tbl>
    <w:p w14:paraId="21485D16" w14:textId="77777777" w:rsidR="005A1B61" w:rsidRDefault="005A1B61" w:rsidP="005A1B61">
      <w:pPr>
        <w:pStyle w:val="Notaalpie"/>
        <w:ind w:right="48"/>
        <w:rPr>
          <w:rFonts w:eastAsia="Calibri" w:cs="Times New Roman"/>
          <w:sz w:val="16"/>
        </w:rPr>
      </w:pPr>
      <w:r w:rsidRPr="0027363F">
        <w:rPr>
          <w:rFonts w:eastAsia="Calibri" w:cs="Times New Roman"/>
          <w:sz w:val="16"/>
        </w:rPr>
        <w:t xml:space="preserve">Fuente: Elaboración propia con </w:t>
      </w:r>
      <w:r w:rsidRPr="003A0DA1">
        <w:rPr>
          <w:rFonts w:eastAsia="Calibri" w:cs="Times New Roman"/>
          <w:sz w:val="16"/>
        </w:rPr>
        <w:t>información del Expediente y</w:t>
      </w:r>
      <w:r w:rsidRPr="0027363F">
        <w:rPr>
          <w:rFonts w:eastAsia="Calibri" w:cs="Times New Roman"/>
          <w:sz w:val="16"/>
        </w:rPr>
        <w:t xml:space="preserve"> del Registro Público de Concesiones del Instituto.</w:t>
      </w:r>
    </w:p>
    <w:p w14:paraId="7027E6BD" w14:textId="77777777" w:rsidR="0093190F" w:rsidRPr="0027363F" w:rsidRDefault="0093190F" w:rsidP="005A1B61">
      <w:pPr>
        <w:pStyle w:val="Notaalpie"/>
        <w:ind w:right="48"/>
        <w:rPr>
          <w:rFonts w:eastAsia="Calibri" w:cs="Times New Roman"/>
          <w:sz w:val="16"/>
        </w:rPr>
      </w:pPr>
      <w:r>
        <w:rPr>
          <w:rFonts w:eastAsia="Calibri" w:cs="Times New Roman"/>
          <w:sz w:val="16"/>
        </w:rPr>
        <w:t>N.D. No Disponible.</w:t>
      </w:r>
    </w:p>
    <w:p w14:paraId="45CBC105" w14:textId="77777777" w:rsidR="00E00843" w:rsidRDefault="00E00843">
      <w:pPr>
        <w:spacing w:before="0" w:after="160" w:line="259" w:lineRule="auto"/>
        <w:jc w:val="left"/>
        <w:rPr>
          <w:rFonts w:cs="ITC Avant Garde"/>
          <w:bCs/>
        </w:rPr>
      </w:pPr>
      <w:r>
        <w:rPr>
          <w:rFonts w:cs="ITC Avant Garde"/>
          <w:bCs/>
        </w:rPr>
        <w:br w:type="page"/>
      </w:r>
    </w:p>
    <w:p w14:paraId="34B8A712" w14:textId="77777777" w:rsidR="00E00843" w:rsidRDefault="00E00843" w:rsidP="005A1B61">
      <w:pPr>
        <w:ind w:right="-1"/>
        <w:rPr>
          <w:rFonts w:cs="ITC Avant Garde"/>
          <w:bCs/>
        </w:rPr>
        <w:sectPr w:rsidR="00E00843" w:rsidSect="00E00843">
          <w:pgSz w:w="15840" w:h="12240" w:orient="landscape"/>
          <w:pgMar w:top="1418" w:right="1418" w:bottom="1418" w:left="1276" w:header="578" w:footer="567" w:gutter="0"/>
          <w:cols w:space="708"/>
          <w:docGrid w:linePitch="360"/>
        </w:sectPr>
      </w:pPr>
    </w:p>
    <w:p w14:paraId="2AEE379B" w14:textId="609B7361" w:rsidR="005A1B61" w:rsidRDefault="0055412C" w:rsidP="005A1B61">
      <w:pPr>
        <w:ind w:right="-1"/>
        <w:rPr>
          <w:rFonts w:cs="ITC Avant Garde"/>
          <w:bCs/>
        </w:rPr>
      </w:pPr>
      <w:r>
        <w:rPr>
          <w:rFonts w:cs="ITC Avant Garde"/>
          <w:bCs/>
        </w:rPr>
        <w:lastRenderedPageBreak/>
        <w:t xml:space="preserve">De acuerdo con lo anterior, </w:t>
      </w:r>
      <w:r w:rsidR="005A1B61">
        <w:rPr>
          <w:rFonts w:cs="ITC Avant Garde"/>
          <w:bCs/>
        </w:rPr>
        <w:t xml:space="preserve">se identifica que </w:t>
      </w:r>
      <w:r>
        <w:rPr>
          <w:rFonts w:cs="ITC Avant Garde"/>
          <w:bCs/>
        </w:rPr>
        <w:t xml:space="preserve">el GIE Grupo </w:t>
      </w:r>
      <w:r w:rsidRPr="00B50ED1">
        <w:rPr>
          <w:rFonts w:cs="ITC Avant Garde"/>
          <w:bCs/>
        </w:rPr>
        <w:t xml:space="preserve">ATC </w:t>
      </w:r>
      <w:r w:rsidR="00E2705A">
        <w:rPr>
          <w:rFonts w:cs="ITC Avant Garde"/>
          <w:bCs/>
        </w:rPr>
        <w:t xml:space="preserve">actualmente </w:t>
      </w:r>
      <w:r w:rsidR="005A1B61">
        <w:rPr>
          <w:rFonts w:cs="ITC Avant Garde"/>
          <w:bCs/>
        </w:rPr>
        <w:t>participa en</w:t>
      </w:r>
      <w:r w:rsidR="00E2705A">
        <w:rPr>
          <w:rFonts w:cs="ITC Avant Garde"/>
          <w:bCs/>
        </w:rPr>
        <w:t xml:space="preserve"> la provisión de</w:t>
      </w:r>
      <w:r w:rsidR="005A1B61">
        <w:rPr>
          <w:rFonts w:cs="ITC Avant Garde"/>
          <w:bCs/>
        </w:rPr>
        <w:t>:</w:t>
      </w:r>
    </w:p>
    <w:p w14:paraId="0FD7F587" w14:textId="77777777" w:rsidR="005A1B61" w:rsidRPr="005A1B61" w:rsidRDefault="00E2705A" w:rsidP="005A1B61">
      <w:pPr>
        <w:pStyle w:val="Prrafodelista"/>
        <w:numPr>
          <w:ilvl w:val="0"/>
          <w:numId w:val="40"/>
        </w:numPr>
        <w:spacing w:after="120" w:line="276" w:lineRule="auto"/>
        <w:ind w:left="567" w:right="-1"/>
        <w:contextualSpacing w:val="0"/>
        <w:rPr>
          <w:lang w:val="es-MX"/>
        </w:rPr>
      </w:pPr>
      <w:r>
        <w:rPr>
          <w:rFonts w:cs="ITC Avant Garde"/>
          <w:bCs/>
        </w:rPr>
        <w:t>E</w:t>
      </w:r>
      <w:r w:rsidR="005862AB" w:rsidRPr="005A1B61">
        <w:rPr>
          <w:rFonts w:cs="ITC Avant Garde"/>
          <w:bCs/>
        </w:rPr>
        <w:t>spacios en torres que permit</w:t>
      </w:r>
      <w:r w:rsidR="005A1B61" w:rsidRPr="005A1B61">
        <w:rPr>
          <w:rFonts w:cs="ITC Avant Garde"/>
          <w:bCs/>
        </w:rPr>
        <w:t>e</w:t>
      </w:r>
      <w:r w:rsidR="005862AB" w:rsidRPr="005A1B61">
        <w:rPr>
          <w:rFonts w:cs="ITC Avant Garde"/>
          <w:bCs/>
        </w:rPr>
        <w:t xml:space="preserve"> a operadores de telecomunicaciones y radiodifusión </w:t>
      </w:r>
      <w:r w:rsidR="005A1B61">
        <w:rPr>
          <w:rFonts w:cs="ITC Avant Garde"/>
          <w:bCs/>
        </w:rPr>
        <w:t xml:space="preserve">instalar </w:t>
      </w:r>
      <w:r w:rsidR="005A1B61" w:rsidRPr="005A1B61">
        <w:rPr>
          <w:rFonts w:cs="ITC Avant Garde"/>
          <w:bCs/>
        </w:rPr>
        <w:t>infraestructura activa</w:t>
      </w:r>
      <w:r>
        <w:rPr>
          <w:rFonts w:cs="ITC Avant Garde"/>
          <w:bCs/>
        </w:rPr>
        <w:t xml:space="preserve"> </w:t>
      </w:r>
      <w:r w:rsidRPr="005A1B61">
        <w:rPr>
          <w:rFonts w:eastAsia="Times New Roman"/>
          <w:bCs/>
          <w:color w:val="000000"/>
        </w:rPr>
        <w:t>(</w:t>
      </w:r>
      <w:r w:rsidRPr="005A1B61">
        <w:rPr>
          <w:rFonts w:eastAsia="Times New Roman"/>
          <w:b/>
          <w:bCs/>
          <w:color w:val="000000"/>
        </w:rPr>
        <w:t>Provisión de Sitios para Telecomunicaciones</w:t>
      </w:r>
      <w:r w:rsidRPr="005A1B61">
        <w:rPr>
          <w:rFonts w:eastAsia="Times New Roman"/>
          <w:bCs/>
          <w:color w:val="000000"/>
        </w:rPr>
        <w:t>)</w:t>
      </w:r>
      <w:r w:rsidR="00E6751D">
        <w:rPr>
          <w:rFonts w:cs="ITC Avant Garde"/>
          <w:bCs/>
        </w:rPr>
        <w:t>,</w:t>
      </w:r>
      <w:r w:rsidR="005862AB" w:rsidRPr="005A1B61">
        <w:rPr>
          <w:rFonts w:cs="ITC Avant Garde"/>
          <w:bCs/>
        </w:rPr>
        <w:t xml:space="preserve"> </w:t>
      </w:r>
      <w:r w:rsidR="00E6751D">
        <w:rPr>
          <w:rFonts w:cs="ITC Avant Garde"/>
          <w:bCs/>
        </w:rPr>
        <w:t>y</w:t>
      </w:r>
    </w:p>
    <w:p w14:paraId="6AF2E2B4" w14:textId="77777777" w:rsidR="0055412C" w:rsidRPr="005A1B61" w:rsidRDefault="005A1B61" w:rsidP="005A1B61">
      <w:pPr>
        <w:pStyle w:val="Prrafodelista"/>
        <w:numPr>
          <w:ilvl w:val="0"/>
          <w:numId w:val="40"/>
        </w:numPr>
        <w:spacing w:after="120" w:line="276" w:lineRule="auto"/>
        <w:ind w:left="567" w:right="-1"/>
        <w:contextualSpacing w:val="0"/>
        <w:rPr>
          <w:lang w:val="es-MX"/>
        </w:rPr>
      </w:pPr>
      <w:r>
        <w:rPr>
          <w:rFonts w:cs="ITC Avant Garde"/>
          <w:bCs/>
        </w:rPr>
        <w:t>A</w:t>
      </w:r>
      <w:r w:rsidR="005862AB" w:rsidRPr="005A1B61">
        <w:rPr>
          <w:rFonts w:cs="ITC Avant Garde"/>
          <w:bCs/>
        </w:rPr>
        <w:t xml:space="preserve"> </w:t>
      </w:r>
      <w:r w:rsidR="005862AB" w:rsidRPr="005A1B61">
        <w:rPr>
          <w:lang w:val="es-MX"/>
        </w:rPr>
        <w:t xml:space="preserve">partir de la Operación, servicios de telecomunicaciones fijos: </w:t>
      </w:r>
      <w:r w:rsidR="005862AB" w:rsidRPr="005A1B61">
        <w:rPr>
          <w:b/>
          <w:lang w:val="es-MX"/>
        </w:rPr>
        <w:t>Acceso a Internet Fijo y Enlaces dedicados</w:t>
      </w:r>
      <w:r w:rsidR="005862AB" w:rsidRPr="005A1B61">
        <w:rPr>
          <w:lang w:val="es-MX"/>
        </w:rPr>
        <w:t>.</w:t>
      </w:r>
    </w:p>
    <w:p w14:paraId="02F0091B" w14:textId="26C4F702" w:rsidR="00184CD5" w:rsidRDefault="00784806" w:rsidP="005A1B61">
      <w:pPr>
        <w:ind w:right="-1"/>
        <w:rPr>
          <w:rFonts w:cs="ITC Avant Garde"/>
          <w:bCs/>
        </w:rPr>
      </w:pPr>
      <w:r>
        <w:rPr>
          <w:rFonts w:cs="ITC Avant Garde"/>
          <w:bCs/>
        </w:rPr>
        <w:t>De acuerdo con la info</w:t>
      </w:r>
      <w:r w:rsidRPr="00784806">
        <w:rPr>
          <w:rFonts w:cs="ITC Avant Garde"/>
          <w:bCs/>
        </w:rPr>
        <w:t>rmación proporcionada por las Partes</w:t>
      </w:r>
      <w:r w:rsidR="005862AB" w:rsidRPr="00784806">
        <w:rPr>
          <w:rFonts w:cs="ITC Avant Garde"/>
          <w:bCs/>
        </w:rPr>
        <w:t xml:space="preserve">, </w:t>
      </w:r>
      <w:r w:rsidR="00B17419">
        <w:rPr>
          <w:rFonts w:cs="ITC Avant Garde"/>
          <w:bCs/>
        </w:rPr>
        <w:t xml:space="preserve">a diciembre de </w:t>
      </w:r>
      <w:r w:rsidR="009D3CF5">
        <w:rPr>
          <w:rFonts w:cs="ITC Avant Garde"/>
          <w:bCs/>
        </w:rPr>
        <w:t>dos mil dieciséis</w:t>
      </w:r>
      <w:r w:rsidR="00B17419">
        <w:rPr>
          <w:rFonts w:cs="ITC Avant Garde"/>
          <w:bCs/>
        </w:rPr>
        <w:t xml:space="preserve">, </w:t>
      </w:r>
      <w:r w:rsidR="005862AB" w:rsidRPr="00784806">
        <w:rPr>
          <w:rFonts w:cs="ITC Avant Garde"/>
          <w:bCs/>
        </w:rPr>
        <w:t xml:space="preserve">el GIE Grupo ATC </w:t>
      </w:r>
      <w:r w:rsidR="00B17419">
        <w:rPr>
          <w:rFonts w:cs="ITC Avant Garde"/>
          <w:bCs/>
        </w:rPr>
        <w:t xml:space="preserve">contaba </w:t>
      </w:r>
      <w:r w:rsidR="005862AB" w:rsidRPr="00784806">
        <w:rPr>
          <w:rFonts w:cs="ITC Avant Garde"/>
          <w:bCs/>
        </w:rPr>
        <w:t xml:space="preserve">con </w:t>
      </w:r>
      <w:r w:rsidR="008227ED">
        <w:rPr>
          <w:rFonts w:cs="ITC Avant Garde"/>
          <w:bCs/>
        </w:rPr>
        <w:t>8,913</w:t>
      </w:r>
      <w:r>
        <w:rPr>
          <w:rFonts w:cs="ITC Avant Garde"/>
          <w:bCs/>
        </w:rPr>
        <w:t xml:space="preserve"> (ocho mil </w:t>
      </w:r>
      <w:r w:rsidR="008227ED">
        <w:rPr>
          <w:rFonts w:cs="ITC Avant Garde"/>
          <w:bCs/>
        </w:rPr>
        <w:t>novecientos trece</w:t>
      </w:r>
      <w:r>
        <w:rPr>
          <w:rFonts w:cs="ITC Avant Garde"/>
          <w:bCs/>
        </w:rPr>
        <w:t>)</w:t>
      </w:r>
      <w:r w:rsidR="005862AB" w:rsidRPr="00784806">
        <w:rPr>
          <w:rFonts w:cs="ITC Avant Garde"/>
          <w:bCs/>
        </w:rPr>
        <w:t xml:space="preserve"> </w:t>
      </w:r>
      <w:r w:rsidR="005862AB" w:rsidRPr="00784806">
        <w:rPr>
          <w:rFonts w:eastAsia="Times New Roman"/>
          <w:bCs/>
          <w:color w:val="000000"/>
        </w:rPr>
        <w:t>Sitios para Telecomunicaciones</w:t>
      </w:r>
      <w:r w:rsidR="005862AB" w:rsidRPr="00784806">
        <w:rPr>
          <w:rFonts w:cs="ITC Avant Garde"/>
          <w:bCs/>
        </w:rPr>
        <w:t xml:space="preserve"> en México</w:t>
      </w:r>
      <w:r w:rsidR="008227ED">
        <w:rPr>
          <w:rFonts w:cs="ITC Avant Garde"/>
          <w:bCs/>
        </w:rPr>
        <w:t>.</w:t>
      </w:r>
      <w:r w:rsidR="008227ED" w:rsidRPr="00443CBD">
        <w:rPr>
          <w:rStyle w:val="Refdenotaalpie"/>
        </w:rPr>
        <w:footnoteReference w:id="50"/>
      </w:r>
      <w:r w:rsidR="00184CD5">
        <w:rPr>
          <w:rFonts w:cs="ITC Avant Garde"/>
          <w:bCs/>
        </w:rPr>
        <w:t xml:space="preserve"> Respecto a los clientes</w:t>
      </w:r>
      <w:r w:rsidR="00E2705A">
        <w:rPr>
          <w:rFonts w:cs="ITC Avant Garde"/>
          <w:bCs/>
        </w:rPr>
        <w:t xml:space="preserve"> de este </w:t>
      </w:r>
      <w:r w:rsidR="009D3CF5">
        <w:rPr>
          <w:rFonts w:cs="ITC Avant Garde"/>
          <w:bCs/>
        </w:rPr>
        <w:t>servicio</w:t>
      </w:r>
      <w:r w:rsidR="00184CD5">
        <w:rPr>
          <w:rFonts w:cs="ITC Avant Garde"/>
          <w:bCs/>
        </w:rPr>
        <w:t xml:space="preserve">, el GIE Grupo ATC tiene </w:t>
      </w:r>
      <w:r w:rsidR="00721CCE" w:rsidRPr="00E63FC2">
        <w:rPr>
          <w:b/>
          <w:bCs/>
          <w:color w:val="0000CC"/>
          <w:sz w:val="19"/>
          <w:szCs w:val="19"/>
        </w:rPr>
        <w:t>“CONFIDENCIAL POR LEY (</w:t>
      </w:r>
      <w:r w:rsidR="00133294">
        <w:rPr>
          <w:b/>
          <w:bCs/>
          <w:color w:val="0000CC"/>
          <w:sz w:val="19"/>
          <w:szCs w:val="19"/>
        </w:rPr>
        <w:t>243</w:t>
      </w:r>
      <w:r w:rsidR="00721CCE" w:rsidRPr="00E63FC2">
        <w:rPr>
          <w:b/>
          <w:bCs/>
          <w:color w:val="0000CC"/>
          <w:sz w:val="19"/>
          <w:szCs w:val="19"/>
        </w:rPr>
        <w:t>)”</w:t>
      </w:r>
      <w:r w:rsidR="00184CD5">
        <w:rPr>
          <w:rFonts w:cs="ITC Avant Garde"/>
          <w:bCs/>
        </w:rPr>
        <w:t xml:space="preserve"> principales que </w:t>
      </w:r>
      <w:r w:rsidR="00BE0007">
        <w:rPr>
          <w:rFonts w:cs="ITC Avant Garde"/>
          <w:bCs/>
        </w:rPr>
        <w:t xml:space="preserve">en </w:t>
      </w:r>
      <w:r w:rsidR="009D3CF5">
        <w:rPr>
          <w:rFonts w:cs="ITC Avant Garde"/>
          <w:bCs/>
        </w:rPr>
        <w:t>dos mil diecisiete</w:t>
      </w:r>
      <w:r w:rsidR="00BE0007">
        <w:rPr>
          <w:rFonts w:cs="ITC Avant Garde"/>
          <w:bCs/>
        </w:rPr>
        <w:t xml:space="preserve"> </w:t>
      </w:r>
      <w:r w:rsidR="00184CD5">
        <w:rPr>
          <w:rFonts w:cs="ITC Avant Garde"/>
          <w:bCs/>
        </w:rPr>
        <w:t>le genera</w:t>
      </w:r>
      <w:r w:rsidR="00BE0007">
        <w:rPr>
          <w:rFonts w:cs="ITC Avant Garde"/>
          <w:bCs/>
        </w:rPr>
        <w:t>ron</w:t>
      </w:r>
      <w:r w:rsidR="00184CD5">
        <w:rPr>
          <w:rFonts w:cs="ITC Avant Garde"/>
          <w:bCs/>
        </w:rPr>
        <w:t xml:space="preserve"> </w:t>
      </w:r>
      <w:r w:rsidR="00133294">
        <w:rPr>
          <w:b/>
          <w:bCs/>
          <w:color w:val="0000CC"/>
          <w:sz w:val="19"/>
          <w:szCs w:val="19"/>
        </w:rPr>
        <w:t>“CONFIDENCIAL POR LEY (244</w:t>
      </w:r>
      <w:r w:rsidR="00721CCE" w:rsidRPr="00E63FC2">
        <w:rPr>
          <w:b/>
          <w:bCs/>
          <w:color w:val="0000CC"/>
          <w:sz w:val="19"/>
          <w:szCs w:val="19"/>
        </w:rPr>
        <w:t>)”</w:t>
      </w:r>
      <w:r w:rsidR="00721CCE">
        <w:rPr>
          <w:b/>
          <w:bCs/>
          <w:color w:val="0000CC"/>
          <w:sz w:val="19"/>
          <w:szCs w:val="19"/>
        </w:rPr>
        <w:t xml:space="preserve"> </w:t>
      </w:r>
      <w:r w:rsidR="0041020C" w:rsidRPr="00175370">
        <w:rPr>
          <w:rFonts w:cs="ITC Avant Garde"/>
          <w:bCs/>
        </w:rPr>
        <w:t>por ciento)</w:t>
      </w:r>
      <w:r w:rsidR="0041020C">
        <w:rPr>
          <w:rFonts w:cs="ITC Avant Garde"/>
          <w:bCs/>
        </w:rPr>
        <w:t xml:space="preserve"> de</w:t>
      </w:r>
      <w:r w:rsidR="00BE0007">
        <w:rPr>
          <w:rFonts w:cs="ITC Avant Garde"/>
          <w:bCs/>
        </w:rPr>
        <w:t xml:space="preserve">l total de </w:t>
      </w:r>
      <w:r w:rsidR="0041020C">
        <w:rPr>
          <w:rFonts w:cs="ITC Avant Garde"/>
          <w:bCs/>
        </w:rPr>
        <w:t>sus ingresos: “</w:t>
      </w:r>
      <w:r w:rsidR="00721CCE" w:rsidRPr="00E63FC2">
        <w:rPr>
          <w:b/>
          <w:bCs/>
          <w:color w:val="0000CC"/>
          <w:sz w:val="19"/>
          <w:szCs w:val="19"/>
        </w:rPr>
        <w:t>“CONFIDENCIAL POR LEY (</w:t>
      </w:r>
      <w:r w:rsidR="00133294">
        <w:rPr>
          <w:b/>
          <w:bCs/>
          <w:color w:val="0000CC"/>
          <w:sz w:val="19"/>
          <w:szCs w:val="19"/>
        </w:rPr>
        <w:t>245</w:t>
      </w:r>
      <w:r w:rsidR="00721CCE" w:rsidRPr="00E63FC2">
        <w:rPr>
          <w:b/>
          <w:bCs/>
          <w:color w:val="0000CC"/>
          <w:sz w:val="19"/>
          <w:szCs w:val="19"/>
        </w:rPr>
        <w:t>)”</w:t>
      </w:r>
      <w:r w:rsidR="0041020C">
        <w:rPr>
          <w:rFonts w:cs="ITC Avant Garde"/>
          <w:bCs/>
        </w:rPr>
        <w:t>”</w:t>
      </w:r>
      <w:r w:rsidR="0041020C" w:rsidRPr="00443CBD">
        <w:rPr>
          <w:rStyle w:val="Refdenotaalpie"/>
        </w:rPr>
        <w:footnoteReference w:id="51"/>
      </w:r>
    </w:p>
    <w:p w14:paraId="4D9A1212" w14:textId="77777777" w:rsidR="006801D8" w:rsidRPr="001C6B1E" w:rsidRDefault="006801D8" w:rsidP="00F32175">
      <w:pPr>
        <w:pStyle w:val="Sinespaciado"/>
        <w:keepNext/>
        <w:numPr>
          <w:ilvl w:val="0"/>
          <w:numId w:val="24"/>
        </w:numPr>
        <w:spacing w:before="120" w:after="120" w:line="276" w:lineRule="auto"/>
        <w:ind w:left="2268" w:right="1040" w:hanging="1275"/>
        <w:jc w:val="both"/>
        <w:rPr>
          <w:rFonts w:ascii="ITC Avant Garde" w:hAnsi="ITC Avant Garde"/>
          <w:b/>
        </w:rPr>
      </w:pPr>
      <w:r>
        <w:rPr>
          <w:rFonts w:ascii="ITC Avant Garde" w:hAnsi="ITC Avant Garde"/>
          <w:b/>
        </w:rPr>
        <w:t>Sitios para Telecomunicaciones del GIE Grupo ATC (diciembre, 2017)</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Cuadro 22."/>
        <w:tblDescription w:val="Indica cuales son los sitios para Telecomunicaciones del GIE Grupo ATC (diciembre, 2017)"/>
      </w:tblPr>
      <w:tblGrid>
        <w:gridCol w:w="1788"/>
        <w:gridCol w:w="1954"/>
        <w:gridCol w:w="1954"/>
        <w:gridCol w:w="1954"/>
      </w:tblGrid>
      <w:tr w:rsidR="007B485A" w:rsidRPr="009127A8" w14:paraId="0856436B" w14:textId="77777777" w:rsidTr="007B485A">
        <w:trPr>
          <w:trHeight w:val="360"/>
          <w:tblHeader/>
          <w:jc w:val="center"/>
        </w:trPr>
        <w:tc>
          <w:tcPr>
            <w:tcW w:w="1788" w:type="dxa"/>
            <w:shd w:val="clear" w:color="auto" w:fill="92D050"/>
            <w:vAlign w:val="center"/>
          </w:tcPr>
          <w:p w14:paraId="2664B4DD" w14:textId="41380B3C" w:rsidR="007B485A" w:rsidRPr="009127A8" w:rsidRDefault="007B485A" w:rsidP="007B485A">
            <w:pPr>
              <w:spacing w:before="0" w:after="0"/>
              <w:jc w:val="center"/>
              <w:rPr>
                <w:b/>
                <w:sz w:val="18"/>
                <w:szCs w:val="18"/>
              </w:rPr>
            </w:pPr>
            <w:r>
              <w:rPr>
                <w:rFonts w:eastAsia="Times New Roman"/>
                <w:b/>
                <w:sz w:val="18"/>
                <w:szCs w:val="18"/>
              </w:rPr>
              <w:t>País</w:t>
            </w:r>
          </w:p>
        </w:tc>
        <w:tc>
          <w:tcPr>
            <w:tcW w:w="1954" w:type="dxa"/>
            <w:shd w:val="clear" w:color="auto" w:fill="92D050"/>
            <w:vAlign w:val="center"/>
          </w:tcPr>
          <w:p w14:paraId="007B388A" w14:textId="064DD477" w:rsidR="007B485A" w:rsidRDefault="007B485A" w:rsidP="007B485A">
            <w:pPr>
              <w:spacing w:before="0" w:after="0"/>
              <w:jc w:val="center"/>
              <w:rPr>
                <w:rFonts w:eastAsia="Times New Roman"/>
                <w:b/>
                <w:sz w:val="18"/>
                <w:szCs w:val="18"/>
              </w:rPr>
            </w:pPr>
            <w:r>
              <w:rPr>
                <w:rFonts w:eastAsia="Times New Roman"/>
                <w:b/>
                <w:sz w:val="18"/>
                <w:szCs w:val="18"/>
              </w:rPr>
              <w:t>Sitios para Telecomunicaciones Propios</w:t>
            </w:r>
          </w:p>
        </w:tc>
        <w:tc>
          <w:tcPr>
            <w:tcW w:w="1954" w:type="dxa"/>
            <w:shd w:val="clear" w:color="auto" w:fill="92D050"/>
            <w:vAlign w:val="center"/>
          </w:tcPr>
          <w:p w14:paraId="1234A6BB" w14:textId="2E72D398" w:rsidR="007B485A" w:rsidRDefault="007B485A" w:rsidP="007B485A">
            <w:pPr>
              <w:spacing w:before="0" w:after="0"/>
              <w:jc w:val="center"/>
              <w:rPr>
                <w:rFonts w:eastAsia="Times New Roman"/>
                <w:b/>
                <w:sz w:val="18"/>
                <w:szCs w:val="18"/>
              </w:rPr>
            </w:pPr>
            <w:r>
              <w:rPr>
                <w:rFonts w:eastAsia="Times New Roman"/>
                <w:b/>
                <w:sz w:val="18"/>
                <w:szCs w:val="18"/>
              </w:rPr>
              <w:t>Sitios para Telecomunicaciones Administrados</w:t>
            </w:r>
          </w:p>
        </w:tc>
        <w:tc>
          <w:tcPr>
            <w:tcW w:w="1954" w:type="dxa"/>
            <w:shd w:val="clear" w:color="auto" w:fill="92D050"/>
            <w:vAlign w:val="center"/>
          </w:tcPr>
          <w:p w14:paraId="08ED07F0" w14:textId="67B8ABD8" w:rsidR="007B485A" w:rsidRDefault="007B485A" w:rsidP="007B485A">
            <w:pPr>
              <w:spacing w:before="0" w:after="0"/>
              <w:jc w:val="center"/>
              <w:rPr>
                <w:rFonts w:eastAsia="Times New Roman"/>
                <w:b/>
                <w:sz w:val="18"/>
                <w:szCs w:val="18"/>
              </w:rPr>
            </w:pPr>
            <w:r>
              <w:rPr>
                <w:rFonts w:eastAsia="Times New Roman"/>
                <w:b/>
                <w:sz w:val="18"/>
                <w:szCs w:val="18"/>
              </w:rPr>
              <w:t>Sitios para Telecomunicaciones Total</w:t>
            </w:r>
          </w:p>
        </w:tc>
      </w:tr>
      <w:tr w:rsidR="007B485A" w:rsidRPr="00D30BB2" w14:paraId="473F3A64" w14:textId="77777777" w:rsidTr="007B485A">
        <w:trPr>
          <w:jc w:val="center"/>
        </w:trPr>
        <w:tc>
          <w:tcPr>
            <w:tcW w:w="1788" w:type="dxa"/>
            <w:vAlign w:val="center"/>
          </w:tcPr>
          <w:p w14:paraId="78D46B63" w14:textId="77777777" w:rsidR="007B485A" w:rsidRPr="00860889" w:rsidRDefault="007B485A" w:rsidP="007B485A">
            <w:pPr>
              <w:spacing w:before="0" w:after="0"/>
              <w:jc w:val="left"/>
              <w:rPr>
                <w:rFonts w:eastAsia="Times New Roman"/>
                <w:color w:val="000000"/>
                <w:sz w:val="18"/>
                <w:szCs w:val="18"/>
              </w:rPr>
            </w:pPr>
            <w:r w:rsidRPr="00860889">
              <w:rPr>
                <w:rFonts w:eastAsia="Times New Roman"/>
                <w:color w:val="000000"/>
                <w:sz w:val="18"/>
                <w:szCs w:val="18"/>
              </w:rPr>
              <w:t>Estados Unidos de América</w:t>
            </w:r>
          </w:p>
        </w:tc>
        <w:tc>
          <w:tcPr>
            <w:tcW w:w="1954" w:type="dxa"/>
            <w:tcBorders>
              <w:top w:val="single" w:sz="4" w:space="0" w:color="auto"/>
              <w:left w:val="single" w:sz="4" w:space="0" w:color="auto"/>
              <w:bottom w:val="single" w:sz="4" w:space="0" w:color="auto"/>
              <w:right w:val="single" w:sz="4" w:space="0" w:color="auto"/>
            </w:tcBorders>
            <w:vAlign w:val="center"/>
          </w:tcPr>
          <w:p w14:paraId="0828BC37"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23,729</w:t>
            </w:r>
          </w:p>
        </w:tc>
        <w:tc>
          <w:tcPr>
            <w:tcW w:w="1954" w:type="dxa"/>
            <w:tcBorders>
              <w:top w:val="single" w:sz="4" w:space="0" w:color="auto"/>
              <w:left w:val="single" w:sz="4" w:space="0" w:color="auto"/>
              <w:bottom w:val="single" w:sz="4" w:space="0" w:color="auto"/>
              <w:right w:val="single" w:sz="4" w:space="0" w:color="auto"/>
            </w:tcBorders>
          </w:tcPr>
          <w:p w14:paraId="1DC93837"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16,685</w:t>
            </w:r>
          </w:p>
        </w:tc>
        <w:tc>
          <w:tcPr>
            <w:tcW w:w="1954" w:type="dxa"/>
            <w:tcBorders>
              <w:top w:val="single" w:sz="4" w:space="0" w:color="auto"/>
              <w:left w:val="single" w:sz="4" w:space="0" w:color="auto"/>
              <w:bottom w:val="single" w:sz="4" w:space="0" w:color="auto"/>
              <w:right w:val="single" w:sz="4" w:space="0" w:color="auto"/>
            </w:tcBorders>
          </w:tcPr>
          <w:p w14:paraId="4B7E4C3A"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40,414</w:t>
            </w:r>
          </w:p>
        </w:tc>
      </w:tr>
      <w:tr w:rsidR="007B485A" w:rsidRPr="00D30BB2" w14:paraId="56A00A63" w14:textId="77777777" w:rsidTr="007B485A">
        <w:trPr>
          <w:jc w:val="center"/>
        </w:trPr>
        <w:tc>
          <w:tcPr>
            <w:tcW w:w="1788" w:type="dxa"/>
            <w:vAlign w:val="center"/>
          </w:tcPr>
          <w:p w14:paraId="5FAFE8B1" w14:textId="77777777" w:rsidR="007B485A" w:rsidRPr="00860889" w:rsidRDefault="007B485A" w:rsidP="007B485A">
            <w:pPr>
              <w:spacing w:before="0" w:after="0"/>
              <w:jc w:val="left"/>
              <w:rPr>
                <w:rFonts w:eastAsia="Times New Roman"/>
                <w:color w:val="000000"/>
                <w:sz w:val="18"/>
                <w:szCs w:val="18"/>
              </w:rPr>
            </w:pPr>
            <w:r w:rsidRPr="00860889">
              <w:rPr>
                <w:rFonts w:eastAsia="Times New Roman"/>
                <w:color w:val="000000"/>
                <w:sz w:val="18"/>
                <w:szCs w:val="18"/>
              </w:rPr>
              <w:t>India</w:t>
            </w:r>
          </w:p>
        </w:tc>
        <w:tc>
          <w:tcPr>
            <w:tcW w:w="1954" w:type="dxa"/>
            <w:tcBorders>
              <w:top w:val="single" w:sz="4" w:space="0" w:color="auto"/>
              <w:left w:val="single" w:sz="4" w:space="0" w:color="auto"/>
              <w:bottom w:val="single" w:sz="4" w:space="0" w:color="auto"/>
              <w:right w:val="single" w:sz="4" w:space="0" w:color="auto"/>
            </w:tcBorders>
            <w:vAlign w:val="center"/>
          </w:tcPr>
          <w:p w14:paraId="7A7EAA62"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57,945</w:t>
            </w:r>
          </w:p>
        </w:tc>
        <w:tc>
          <w:tcPr>
            <w:tcW w:w="1954" w:type="dxa"/>
            <w:tcBorders>
              <w:top w:val="single" w:sz="4" w:space="0" w:color="auto"/>
              <w:left w:val="single" w:sz="4" w:space="0" w:color="auto"/>
              <w:bottom w:val="single" w:sz="4" w:space="0" w:color="auto"/>
              <w:right w:val="single" w:sz="4" w:space="0" w:color="auto"/>
            </w:tcBorders>
          </w:tcPr>
          <w:p w14:paraId="685B7ADE"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0</w:t>
            </w:r>
          </w:p>
        </w:tc>
        <w:tc>
          <w:tcPr>
            <w:tcW w:w="1954" w:type="dxa"/>
            <w:tcBorders>
              <w:top w:val="single" w:sz="4" w:space="0" w:color="auto"/>
              <w:left w:val="single" w:sz="4" w:space="0" w:color="auto"/>
              <w:bottom w:val="single" w:sz="4" w:space="0" w:color="auto"/>
              <w:right w:val="single" w:sz="4" w:space="0" w:color="auto"/>
            </w:tcBorders>
          </w:tcPr>
          <w:p w14:paraId="18858DDD"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57,945</w:t>
            </w:r>
          </w:p>
        </w:tc>
      </w:tr>
      <w:tr w:rsidR="007B485A" w:rsidRPr="00D30BB2" w14:paraId="00F7D102" w14:textId="77777777" w:rsidTr="007B485A">
        <w:trPr>
          <w:jc w:val="center"/>
        </w:trPr>
        <w:tc>
          <w:tcPr>
            <w:tcW w:w="1788" w:type="dxa"/>
            <w:vAlign w:val="center"/>
          </w:tcPr>
          <w:p w14:paraId="54BB4D28" w14:textId="77777777" w:rsidR="007B485A" w:rsidRPr="00860889" w:rsidRDefault="007B485A" w:rsidP="007B485A">
            <w:pPr>
              <w:spacing w:before="0" w:after="0"/>
              <w:jc w:val="left"/>
              <w:rPr>
                <w:rFonts w:eastAsia="Times New Roman"/>
                <w:color w:val="000000"/>
                <w:sz w:val="18"/>
                <w:szCs w:val="18"/>
              </w:rPr>
            </w:pPr>
            <w:r w:rsidRPr="00860889">
              <w:rPr>
                <w:rFonts w:eastAsia="Times New Roman"/>
                <w:color w:val="000000"/>
                <w:sz w:val="18"/>
                <w:szCs w:val="18"/>
              </w:rPr>
              <w:t xml:space="preserve">Alemania </w:t>
            </w:r>
          </w:p>
        </w:tc>
        <w:tc>
          <w:tcPr>
            <w:tcW w:w="1954" w:type="dxa"/>
            <w:tcBorders>
              <w:top w:val="single" w:sz="4" w:space="0" w:color="auto"/>
              <w:left w:val="single" w:sz="4" w:space="0" w:color="auto"/>
              <w:bottom w:val="single" w:sz="4" w:space="0" w:color="auto"/>
              <w:right w:val="single" w:sz="4" w:space="0" w:color="auto"/>
            </w:tcBorders>
            <w:vAlign w:val="center"/>
          </w:tcPr>
          <w:p w14:paraId="308BE587"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2,201</w:t>
            </w:r>
          </w:p>
        </w:tc>
        <w:tc>
          <w:tcPr>
            <w:tcW w:w="1954" w:type="dxa"/>
            <w:tcBorders>
              <w:top w:val="single" w:sz="4" w:space="0" w:color="auto"/>
              <w:left w:val="single" w:sz="4" w:space="0" w:color="auto"/>
              <w:bottom w:val="single" w:sz="4" w:space="0" w:color="auto"/>
              <w:right w:val="single" w:sz="4" w:space="0" w:color="auto"/>
            </w:tcBorders>
          </w:tcPr>
          <w:p w14:paraId="01F13866"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0</w:t>
            </w:r>
          </w:p>
        </w:tc>
        <w:tc>
          <w:tcPr>
            <w:tcW w:w="1954" w:type="dxa"/>
            <w:tcBorders>
              <w:top w:val="single" w:sz="4" w:space="0" w:color="auto"/>
              <w:left w:val="single" w:sz="4" w:space="0" w:color="auto"/>
              <w:bottom w:val="single" w:sz="4" w:space="0" w:color="auto"/>
              <w:right w:val="single" w:sz="4" w:space="0" w:color="auto"/>
            </w:tcBorders>
          </w:tcPr>
          <w:p w14:paraId="1E0D580E"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2,201</w:t>
            </w:r>
          </w:p>
        </w:tc>
      </w:tr>
      <w:tr w:rsidR="007B485A" w:rsidRPr="00D30BB2" w14:paraId="2E3DABD8" w14:textId="77777777" w:rsidTr="007B485A">
        <w:trPr>
          <w:jc w:val="center"/>
        </w:trPr>
        <w:tc>
          <w:tcPr>
            <w:tcW w:w="1788" w:type="dxa"/>
            <w:vAlign w:val="center"/>
          </w:tcPr>
          <w:p w14:paraId="3E19DB85" w14:textId="77777777" w:rsidR="007B485A" w:rsidRPr="00860889" w:rsidRDefault="007B485A" w:rsidP="007B485A">
            <w:pPr>
              <w:spacing w:before="0" w:after="0"/>
              <w:jc w:val="left"/>
              <w:rPr>
                <w:rFonts w:eastAsia="Times New Roman"/>
                <w:color w:val="000000"/>
                <w:sz w:val="18"/>
                <w:szCs w:val="18"/>
              </w:rPr>
            </w:pPr>
            <w:r w:rsidRPr="00860889">
              <w:rPr>
                <w:rFonts w:eastAsia="Times New Roman"/>
                <w:color w:val="000000"/>
                <w:sz w:val="18"/>
                <w:szCs w:val="18"/>
              </w:rPr>
              <w:t>Ghana</w:t>
            </w:r>
          </w:p>
        </w:tc>
        <w:tc>
          <w:tcPr>
            <w:tcW w:w="1954" w:type="dxa"/>
            <w:tcBorders>
              <w:top w:val="single" w:sz="4" w:space="0" w:color="auto"/>
              <w:left w:val="single" w:sz="4" w:space="0" w:color="auto"/>
              <w:bottom w:val="single" w:sz="4" w:space="0" w:color="auto"/>
              <w:right w:val="single" w:sz="4" w:space="0" w:color="auto"/>
            </w:tcBorders>
            <w:vAlign w:val="center"/>
          </w:tcPr>
          <w:p w14:paraId="01075417"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2,163</w:t>
            </w:r>
          </w:p>
        </w:tc>
        <w:tc>
          <w:tcPr>
            <w:tcW w:w="1954" w:type="dxa"/>
            <w:tcBorders>
              <w:top w:val="single" w:sz="4" w:space="0" w:color="auto"/>
              <w:left w:val="single" w:sz="4" w:space="0" w:color="auto"/>
              <w:bottom w:val="single" w:sz="4" w:space="0" w:color="auto"/>
              <w:right w:val="single" w:sz="4" w:space="0" w:color="auto"/>
            </w:tcBorders>
          </w:tcPr>
          <w:p w14:paraId="11319BF9"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0</w:t>
            </w:r>
          </w:p>
        </w:tc>
        <w:tc>
          <w:tcPr>
            <w:tcW w:w="1954" w:type="dxa"/>
            <w:tcBorders>
              <w:top w:val="single" w:sz="4" w:space="0" w:color="auto"/>
              <w:left w:val="single" w:sz="4" w:space="0" w:color="auto"/>
              <w:bottom w:val="single" w:sz="4" w:space="0" w:color="auto"/>
              <w:right w:val="single" w:sz="4" w:space="0" w:color="auto"/>
            </w:tcBorders>
          </w:tcPr>
          <w:p w14:paraId="373959FA"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2,163</w:t>
            </w:r>
          </w:p>
        </w:tc>
      </w:tr>
      <w:tr w:rsidR="007B485A" w:rsidRPr="00D30BB2" w14:paraId="459892A2" w14:textId="77777777" w:rsidTr="007B485A">
        <w:trPr>
          <w:jc w:val="center"/>
        </w:trPr>
        <w:tc>
          <w:tcPr>
            <w:tcW w:w="1788" w:type="dxa"/>
            <w:vAlign w:val="center"/>
          </w:tcPr>
          <w:p w14:paraId="0EF63B5D" w14:textId="77777777" w:rsidR="007B485A" w:rsidRPr="00860889" w:rsidRDefault="007B485A" w:rsidP="007B485A">
            <w:pPr>
              <w:spacing w:before="0" w:after="0"/>
              <w:jc w:val="left"/>
              <w:rPr>
                <w:rFonts w:eastAsia="Times New Roman"/>
                <w:color w:val="000000"/>
                <w:sz w:val="18"/>
                <w:szCs w:val="18"/>
              </w:rPr>
            </w:pPr>
            <w:r w:rsidRPr="00860889">
              <w:rPr>
                <w:rFonts w:eastAsia="Times New Roman"/>
                <w:color w:val="000000"/>
                <w:sz w:val="18"/>
                <w:szCs w:val="18"/>
              </w:rPr>
              <w:t>Nigeria</w:t>
            </w:r>
          </w:p>
        </w:tc>
        <w:tc>
          <w:tcPr>
            <w:tcW w:w="1954" w:type="dxa"/>
            <w:tcBorders>
              <w:top w:val="single" w:sz="4" w:space="0" w:color="auto"/>
              <w:left w:val="single" w:sz="4" w:space="0" w:color="auto"/>
              <w:bottom w:val="single" w:sz="4" w:space="0" w:color="auto"/>
              <w:right w:val="single" w:sz="4" w:space="0" w:color="auto"/>
            </w:tcBorders>
            <w:vAlign w:val="center"/>
          </w:tcPr>
          <w:p w14:paraId="1750139D"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4,742</w:t>
            </w:r>
          </w:p>
        </w:tc>
        <w:tc>
          <w:tcPr>
            <w:tcW w:w="1954" w:type="dxa"/>
            <w:tcBorders>
              <w:top w:val="single" w:sz="4" w:space="0" w:color="auto"/>
              <w:left w:val="single" w:sz="4" w:space="0" w:color="auto"/>
              <w:bottom w:val="single" w:sz="4" w:space="0" w:color="auto"/>
              <w:right w:val="single" w:sz="4" w:space="0" w:color="auto"/>
            </w:tcBorders>
          </w:tcPr>
          <w:p w14:paraId="760D23AE"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0</w:t>
            </w:r>
          </w:p>
        </w:tc>
        <w:tc>
          <w:tcPr>
            <w:tcW w:w="1954" w:type="dxa"/>
            <w:tcBorders>
              <w:top w:val="single" w:sz="4" w:space="0" w:color="auto"/>
              <w:left w:val="single" w:sz="4" w:space="0" w:color="auto"/>
              <w:bottom w:val="single" w:sz="4" w:space="0" w:color="auto"/>
              <w:right w:val="single" w:sz="4" w:space="0" w:color="auto"/>
            </w:tcBorders>
          </w:tcPr>
          <w:p w14:paraId="711ECC82"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4,742</w:t>
            </w:r>
          </w:p>
        </w:tc>
      </w:tr>
      <w:tr w:rsidR="007B485A" w:rsidRPr="00D30BB2" w14:paraId="22A90B33" w14:textId="77777777" w:rsidTr="007B485A">
        <w:trPr>
          <w:jc w:val="center"/>
        </w:trPr>
        <w:tc>
          <w:tcPr>
            <w:tcW w:w="1788" w:type="dxa"/>
            <w:vAlign w:val="center"/>
          </w:tcPr>
          <w:p w14:paraId="093E30FD" w14:textId="77777777" w:rsidR="007B485A" w:rsidRPr="00860889" w:rsidRDefault="007B485A" w:rsidP="007B485A">
            <w:pPr>
              <w:spacing w:before="0" w:after="0"/>
              <w:jc w:val="left"/>
              <w:rPr>
                <w:rFonts w:eastAsia="Times New Roman"/>
                <w:color w:val="000000"/>
                <w:sz w:val="18"/>
                <w:szCs w:val="18"/>
              </w:rPr>
            </w:pPr>
            <w:r w:rsidRPr="00860889">
              <w:rPr>
                <w:rFonts w:eastAsia="Times New Roman"/>
                <w:color w:val="000000"/>
                <w:sz w:val="18"/>
                <w:szCs w:val="18"/>
              </w:rPr>
              <w:t>Sudáfrica</w:t>
            </w:r>
          </w:p>
        </w:tc>
        <w:tc>
          <w:tcPr>
            <w:tcW w:w="1954" w:type="dxa"/>
            <w:tcBorders>
              <w:top w:val="single" w:sz="4" w:space="0" w:color="auto"/>
              <w:left w:val="single" w:sz="4" w:space="0" w:color="auto"/>
              <w:bottom w:val="single" w:sz="4" w:space="0" w:color="auto"/>
              <w:right w:val="single" w:sz="4" w:space="0" w:color="auto"/>
            </w:tcBorders>
            <w:vAlign w:val="center"/>
          </w:tcPr>
          <w:p w14:paraId="31EA0F1C"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2,362</w:t>
            </w:r>
          </w:p>
        </w:tc>
        <w:tc>
          <w:tcPr>
            <w:tcW w:w="1954" w:type="dxa"/>
            <w:tcBorders>
              <w:top w:val="single" w:sz="4" w:space="0" w:color="auto"/>
              <w:left w:val="single" w:sz="4" w:space="0" w:color="auto"/>
              <w:bottom w:val="single" w:sz="4" w:space="0" w:color="auto"/>
              <w:right w:val="single" w:sz="4" w:space="0" w:color="auto"/>
            </w:tcBorders>
          </w:tcPr>
          <w:p w14:paraId="7B527DA9"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0</w:t>
            </w:r>
          </w:p>
        </w:tc>
        <w:tc>
          <w:tcPr>
            <w:tcW w:w="1954" w:type="dxa"/>
            <w:tcBorders>
              <w:top w:val="single" w:sz="4" w:space="0" w:color="auto"/>
              <w:left w:val="single" w:sz="4" w:space="0" w:color="auto"/>
              <w:bottom w:val="single" w:sz="4" w:space="0" w:color="auto"/>
              <w:right w:val="single" w:sz="4" w:space="0" w:color="auto"/>
            </w:tcBorders>
          </w:tcPr>
          <w:p w14:paraId="26ABAA17"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2,362</w:t>
            </w:r>
          </w:p>
        </w:tc>
      </w:tr>
      <w:tr w:rsidR="007B485A" w:rsidRPr="00D30BB2" w14:paraId="224C5D0A" w14:textId="77777777" w:rsidTr="007B485A">
        <w:trPr>
          <w:jc w:val="center"/>
        </w:trPr>
        <w:tc>
          <w:tcPr>
            <w:tcW w:w="1788" w:type="dxa"/>
            <w:vAlign w:val="center"/>
          </w:tcPr>
          <w:p w14:paraId="4A1F6B02" w14:textId="77777777" w:rsidR="007B485A" w:rsidRPr="00860889" w:rsidRDefault="007B485A" w:rsidP="007B485A">
            <w:pPr>
              <w:spacing w:before="0" w:after="0"/>
              <w:jc w:val="left"/>
              <w:rPr>
                <w:rFonts w:eastAsia="Times New Roman"/>
                <w:color w:val="000000"/>
                <w:sz w:val="18"/>
                <w:szCs w:val="18"/>
              </w:rPr>
            </w:pPr>
            <w:r w:rsidRPr="00860889">
              <w:rPr>
                <w:rFonts w:eastAsia="Times New Roman"/>
                <w:color w:val="000000"/>
                <w:sz w:val="18"/>
                <w:szCs w:val="18"/>
              </w:rPr>
              <w:t>Uganda</w:t>
            </w:r>
          </w:p>
        </w:tc>
        <w:tc>
          <w:tcPr>
            <w:tcW w:w="1954" w:type="dxa"/>
            <w:tcBorders>
              <w:top w:val="single" w:sz="4" w:space="0" w:color="auto"/>
              <w:left w:val="single" w:sz="4" w:space="0" w:color="auto"/>
              <w:bottom w:val="single" w:sz="4" w:space="0" w:color="auto"/>
              <w:right w:val="single" w:sz="4" w:space="0" w:color="auto"/>
            </w:tcBorders>
            <w:vAlign w:val="center"/>
          </w:tcPr>
          <w:p w14:paraId="32591082"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1,393</w:t>
            </w:r>
          </w:p>
        </w:tc>
        <w:tc>
          <w:tcPr>
            <w:tcW w:w="1954" w:type="dxa"/>
            <w:tcBorders>
              <w:top w:val="single" w:sz="4" w:space="0" w:color="auto"/>
              <w:left w:val="single" w:sz="4" w:space="0" w:color="auto"/>
              <w:bottom w:val="single" w:sz="4" w:space="0" w:color="auto"/>
              <w:right w:val="single" w:sz="4" w:space="0" w:color="auto"/>
            </w:tcBorders>
          </w:tcPr>
          <w:p w14:paraId="1DDB0A78"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0</w:t>
            </w:r>
          </w:p>
        </w:tc>
        <w:tc>
          <w:tcPr>
            <w:tcW w:w="1954" w:type="dxa"/>
            <w:tcBorders>
              <w:top w:val="single" w:sz="4" w:space="0" w:color="auto"/>
              <w:left w:val="single" w:sz="4" w:space="0" w:color="auto"/>
              <w:bottom w:val="single" w:sz="4" w:space="0" w:color="auto"/>
              <w:right w:val="single" w:sz="4" w:space="0" w:color="auto"/>
            </w:tcBorders>
          </w:tcPr>
          <w:p w14:paraId="772D5CC1"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1,393</w:t>
            </w:r>
          </w:p>
        </w:tc>
      </w:tr>
      <w:tr w:rsidR="007B485A" w:rsidRPr="00D30BB2" w14:paraId="255F59D7" w14:textId="77777777" w:rsidTr="007B485A">
        <w:trPr>
          <w:jc w:val="center"/>
        </w:trPr>
        <w:tc>
          <w:tcPr>
            <w:tcW w:w="1788" w:type="dxa"/>
            <w:vAlign w:val="center"/>
          </w:tcPr>
          <w:p w14:paraId="669A0519" w14:textId="77777777" w:rsidR="007B485A" w:rsidRPr="00860889" w:rsidRDefault="007B485A" w:rsidP="007B485A">
            <w:pPr>
              <w:spacing w:before="0" w:after="0"/>
              <w:jc w:val="left"/>
              <w:rPr>
                <w:rFonts w:eastAsia="Times New Roman"/>
                <w:color w:val="000000"/>
                <w:sz w:val="18"/>
                <w:szCs w:val="18"/>
              </w:rPr>
            </w:pPr>
            <w:r w:rsidRPr="00860889">
              <w:rPr>
                <w:rFonts w:eastAsia="Times New Roman"/>
                <w:color w:val="000000"/>
                <w:sz w:val="18"/>
                <w:szCs w:val="18"/>
              </w:rPr>
              <w:t>Brasil</w:t>
            </w:r>
          </w:p>
        </w:tc>
        <w:tc>
          <w:tcPr>
            <w:tcW w:w="1954" w:type="dxa"/>
            <w:tcBorders>
              <w:top w:val="single" w:sz="4" w:space="0" w:color="auto"/>
              <w:left w:val="single" w:sz="4" w:space="0" w:color="auto"/>
              <w:bottom w:val="single" w:sz="4" w:space="0" w:color="auto"/>
              <w:right w:val="single" w:sz="4" w:space="0" w:color="auto"/>
            </w:tcBorders>
            <w:vAlign w:val="center"/>
          </w:tcPr>
          <w:p w14:paraId="3DC28053"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16,346</w:t>
            </w:r>
          </w:p>
        </w:tc>
        <w:tc>
          <w:tcPr>
            <w:tcW w:w="1954" w:type="dxa"/>
            <w:tcBorders>
              <w:top w:val="single" w:sz="4" w:space="0" w:color="auto"/>
              <w:left w:val="single" w:sz="4" w:space="0" w:color="auto"/>
              <w:bottom w:val="single" w:sz="4" w:space="0" w:color="auto"/>
              <w:right w:val="single" w:sz="4" w:space="0" w:color="auto"/>
            </w:tcBorders>
          </w:tcPr>
          <w:p w14:paraId="69C1CDBC"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2,268</w:t>
            </w:r>
          </w:p>
        </w:tc>
        <w:tc>
          <w:tcPr>
            <w:tcW w:w="1954" w:type="dxa"/>
            <w:tcBorders>
              <w:top w:val="single" w:sz="4" w:space="0" w:color="auto"/>
              <w:left w:val="single" w:sz="4" w:space="0" w:color="auto"/>
              <w:bottom w:val="single" w:sz="4" w:space="0" w:color="auto"/>
              <w:right w:val="single" w:sz="4" w:space="0" w:color="auto"/>
            </w:tcBorders>
          </w:tcPr>
          <w:p w14:paraId="4AFEA07B"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18,614</w:t>
            </w:r>
          </w:p>
        </w:tc>
      </w:tr>
      <w:tr w:rsidR="007B485A" w:rsidRPr="00D30BB2" w14:paraId="2A3AE767" w14:textId="77777777" w:rsidTr="007B485A">
        <w:trPr>
          <w:jc w:val="center"/>
        </w:trPr>
        <w:tc>
          <w:tcPr>
            <w:tcW w:w="1788" w:type="dxa"/>
            <w:vAlign w:val="center"/>
          </w:tcPr>
          <w:p w14:paraId="560647B3" w14:textId="77777777" w:rsidR="007B485A" w:rsidRPr="00860889" w:rsidRDefault="007B485A" w:rsidP="007B485A">
            <w:pPr>
              <w:spacing w:before="0" w:after="0"/>
              <w:jc w:val="left"/>
              <w:rPr>
                <w:rFonts w:eastAsia="Times New Roman"/>
                <w:color w:val="000000"/>
                <w:sz w:val="18"/>
                <w:szCs w:val="18"/>
              </w:rPr>
            </w:pPr>
            <w:r w:rsidRPr="00860889">
              <w:rPr>
                <w:rFonts w:eastAsia="Times New Roman"/>
                <w:color w:val="000000"/>
                <w:sz w:val="18"/>
                <w:szCs w:val="18"/>
              </w:rPr>
              <w:t>Chile</w:t>
            </w:r>
          </w:p>
        </w:tc>
        <w:tc>
          <w:tcPr>
            <w:tcW w:w="1954" w:type="dxa"/>
            <w:tcBorders>
              <w:top w:val="single" w:sz="4" w:space="0" w:color="auto"/>
              <w:left w:val="single" w:sz="4" w:space="0" w:color="auto"/>
              <w:bottom w:val="single" w:sz="4" w:space="0" w:color="auto"/>
              <w:right w:val="single" w:sz="4" w:space="0" w:color="auto"/>
            </w:tcBorders>
            <w:vAlign w:val="center"/>
          </w:tcPr>
          <w:p w14:paraId="49F97984"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1,261</w:t>
            </w:r>
          </w:p>
        </w:tc>
        <w:tc>
          <w:tcPr>
            <w:tcW w:w="1954" w:type="dxa"/>
            <w:tcBorders>
              <w:top w:val="single" w:sz="4" w:space="0" w:color="auto"/>
              <w:left w:val="single" w:sz="4" w:space="0" w:color="auto"/>
              <w:bottom w:val="single" w:sz="4" w:space="0" w:color="auto"/>
              <w:right w:val="single" w:sz="4" w:space="0" w:color="auto"/>
            </w:tcBorders>
          </w:tcPr>
          <w:p w14:paraId="02B78E7B"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0</w:t>
            </w:r>
          </w:p>
        </w:tc>
        <w:tc>
          <w:tcPr>
            <w:tcW w:w="1954" w:type="dxa"/>
            <w:tcBorders>
              <w:top w:val="single" w:sz="4" w:space="0" w:color="auto"/>
              <w:left w:val="single" w:sz="4" w:space="0" w:color="auto"/>
              <w:bottom w:val="single" w:sz="4" w:space="0" w:color="auto"/>
              <w:right w:val="single" w:sz="4" w:space="0" w:color="auto"/>
            </w:tcBorders>
          </w:tcPr>
          <w:p w14:paraId="56E1A9C6"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1,261</w:t>
            </w:r>
          </w:p>
        </w:tc>
      </w:tr>
      <w:tr w:rsidR="007B485A" w:rsidRPr="00D30BB2" w14:paraId="0A1E7CE1" w14:textId="77777777" w:rsidTr="007B485A">
        <w:trPr>
          <w:jc w:val="center"/>
        </w:trPr>
        <w:tc>
          <w:tcPr>
            <w:tcW w:w="1788" w:type="dxa"/>
            <w:vAlign w:val="center"/>
          </w:tcPr>
          <w:p w14:paraId="30CC1610" w14:textId="77777777" w:rsidR="007B485A" w:rsidRPr="00860889" w:rsidRDefault="007B485A" w:rsidP="007B485A">
            <w:pPr>
              <w:spacing w:before="0" w:after="0"/>
              <w:jc w:val="left"/>
              <w:rPr>
                <w:rFonts w:eastAsia="Times New Roman"/>
                <w:color w:val="000000"/>
                <w:sz w:val="18"/>
                <w:szCs w:val="18"/>
              </w:rPr>
            </w:pPr>
            <w:r w:rsidRPr="00860889">
              <w:rPr>
                <w:rFonts w:eastAsia="Times New Roman"/>
                <w:color w:val="000000"/>
                <w:sz w:val="18"/>
                <w:szCs w:val="18"/>
              </w:rPr>
              <w:t>Colombia</w:t>
            </w:r>
          </w:p>
        </w:tc>
        <w:tc>
          <w:tcPr>
            <w:tcW w:w="1954" w:type="dxa"/>
            <w:tcBorders>
              <w:top w:val="single" w:sz="4" w:space="0" w:color="auto"/>
              <w:left w:val="single" w:sz="4" w:space="0" w:color="auto"/>
              <w:bottom w:val="single" w:sz="4" w:space="0" w:color="auto"/>
              <w:right w:val="single" w:sz="4" w:space="0" w:color="auto"/>
            </w:tcBorders>
            <w:vAlign w:val="center"/>
          </w:tcPr>
          <w:p w14:paraId="20772DC5"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3,068</w:t>
            </w:r>
          </w:p>
        </w:tc>
        <w:tc>
          <w:tcPr>
            <w:tcW w:w="1954" w:type="dxa"/>
            <w:tcBorders>
              <w:top w:val="single" w:sz="4" w:space="0" w:color="auto"/>
              <w:left w:val="single" w:sz="4" w:space="0" w:color="auto"/>
              <w:bottom w:val="single" w:sz="4" w:space="0" w:color="auto"/>
              <w:right w:val="single" w:sz="4" w:space="0" w:color="auto"/>
            </w:tcBorders>
          </w:tcPr>
          <w:p w14:paraId="17239CC2"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706</w:t>
            </w:r>
          </w:p>
        </w:tc>
        <w:tc>
          <w:tcPr>
            <w:tcW w:w="1954" w:type="dxa"/>
            <w:tcBorders>
              <w:top w:val="single" w:sz="4" w:space="0" w:color="auto"/>
              <w:left w:val="single" w:sz="4" w:space="0" w:color="auto"/>
              <w:bottom w:val="single" w:sz="4" w:space="0" w:color="auto"/>
              <w:right w:val="single" w:sz="4" w:space="0" w:color="auto"/>
            </w:tcBorders>
          </w:tcPr>
          <w:p w14:paraId="4C418F2D"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3,774</w:t>
            </w:r>
          </w:p>
        </w:tc>
      </w:tr>
      <w:tr w:rsidR="007B485A" w:rsidRPr="00D30BB2" w14:paraId="702E254F" w14:textId="77777777" w:rsidTr="007B485A">
        <w:trPr>
          <w:jc w:val="center"/>
        </w:trPr>
        <w:tc>
          <w:tcPr>
            <w:tcW w:w="1788" w:type="dxa"/>
            <w:vAlign w:val="center"/>
          </w:tcPr>
          <w:p w14:paraId="4EA97ACF" w14:textId="77777777" w:rsidR="007B485A" w:rsidRPr="00860889" w:rsidRDefault="007B485A" w:rsidP="007B485A">
            <w:pPr>
              <w:spacing w:before="0" w:after="0"/>
              <w:jc w:val="left"/>
              <w:rPr>
                <w:rFonts w:eastAsia="Times New Roman"/>
                <w:color w:val="000000"/>
                <w:sz w:val="18"/>
                <w:szCs w:val="18"/>
              </w:rPr>
            </w:pPr>
            <w:r w:rsidRPr="00860889">
              <w:rPr>
                <w:rFonts w:eastAsia="Times New Roman"/>
                <w:color w:val="000000"/>
                <w:sz w:val="18"/>
                <w:szCs w:val="18"/>
              </w:rPr>
              <w:t>Costa Rica</w:t>
            </w:r>
          </w:p>
        </w:tc>
        <w:tc>
          <w:tcPr>
            <w:tcW w:w="1954" w:type="dxa"/>
            <w:tcBorders>
              <w:top w:val="single" w:sz="4" w:space="0" w:color="auto"/>
              <w:left w:val="single" w:sz="4" w:space="0" w:color="auto"/>
              <w:bottom w:val="single" w:sz="4" w:space="0" w:color="auto"/>
              <w:right w:val="single" w:sz="4" w:space="0" w:color="auto"/>
            </w:tcBorders>
            <w:vAlign w:val="center"/>
          </w:tcPr>
          <w:p w14:paraId="56D94472"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487</w:t>
            </w:r>
          </w:p>
        </w:tc>
        <w:tc>
          <w:tcPr>
            <w:tcW w:w="1954" w:type="dxa"/>
            <w:tcBorders>
              <w:top w:val="single" w:sz="4" w:space="0" w:color="auto"/>
              <w:left w:val="single" w:sz="4" w:space="0" w:color="auto"/>
              <w:bottom w:val="single" w:sz="4" w:space="0" w:color="auto"/>
              <w:right w:val="single" w:sz="4" w:space="0" w:color="auto"/>
            </w:tcBorders>
          </w:tcPr>
          <w:p w14:paraId="68239CCF"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0</w:t>
            </w:r>
          </w:p>
        </w:tc>
        <w:tc>
          <w:tcPr>
            <w:tcW w:w="1954" w:type="dxa"/>
            <w:tcBorders>
              <w:top w:val="single" w:sz="4" w:space="0" w:color="auto"/>
              <w:left w:val="single" w:sz="4" w:space="0" w:color="auto"/>
              <w:bottom w:val="single" w:sz="4" w:space="0" w:color="auto"/>
              <w:right w:val="single" w:sz="4" w:space="0" w:color="auto"/>
            </w:tcBorders>
          </w:tcPr>
          <w:p w14:paraId="39439168"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487</w:t>
            </w:r>
          </w:p>
        </w:tc>
      </w:tr>
      <w:tr w:rsidR="007B485A" w:rsidRPr="00783AA2" w14:paraId="3D1229C2" w14:textId="77777777" w:rsidTr="007B485A">
        <w:trPr>
          <w:jc w:val="center"/>
        </w:trPr>
        <w:tc>
          <w:tcPr>
            <w:tcW w:w="1788" w:type="dxa"/>
            <w:vAlign w:val="center"/>
          </w:tcPr>
          <w:p w14:paraId="355A426F" w14:textId="77777777" w:rsidR="007B485A" w:rsidRPr="00783AA2" w:rsidRDefault="007B485A" w:rsidP="007B485A">
            <w:pPr>
              <w:spacing w:before="0" w:after="0"/>
              <w:jc w:val="left"/>
              <w:rPr>
                <w:rFonts w:eastAsia="Times New Roman"/>
                <w:b/>
                <w:color w:val="000000"/>
                <w:sz w:val="18"/>
                <w:szCs w:val="18"/>
              </w:rPr>
            </w:pPr>
            <w:r w:rsidRPr="00783AA2">
              <w:rPr>
                <w:rFonts w:eastAsia="Times New Roman"/>
                <w:b/>
                <w:color w:val="000000"/>
                <w:sz w:val="18"/>
                <w:szCs w:val="18"/>
              </w:rPr>
              <w:t>México</w:t>
            </w:r>
          </w:p>
        </w:tc>
        <w:tc>
          <w:tcPr>
            <w:tcW w:w="1954" w:type="dxa"/>
            <w:tcBorders>
              <w:top w:val="single" w:sz="4" w:space="0" w:color="auto"/>
              <w:left w:val="single" w:sz="4" w:space="0" w:color="auto"/>
              <w:bottom w:val="single" w:sz="4" w:space="0" w:color="auto"/>
              <w:right w:val="single" w:sz="4" w:space="0" w:color="auto"/>
            </w:tcBorders>
            <w:vAlign w:val="center"/>
          </w:tcPr>
          <w:p w14:paraId="62B3642E" w14:textId="77777777" w:rsidR="007B485A" w:rsidRPr="00783AA2" w:rsidRDefault="007B485A" w:rsidP="007B485A">
            <w:pPr>
              <w:spacing w:before="0" w:after="0"/>
              <w:jc w:val="right"/>
              <w:rPr>
                <w:rFonts w:eastAsia="Times New Roman"/>
                <w:b/>
                <w:color w:val="000000"/>
                <w:sz w:val="18"/>
                <w:szCs w:val="18"/>
              </w:rPr>
            </w:pPr>
            <w:r w:rsidRPr="00783AA2">
              <w:rPr>
                <w:rFonts w:eastAsia="Times New Roman"/>
                <w:b/>
                <w:color w:val="000000"/>
                <w:sz w:val="18"/>
                <w:szCs w:val="18"/>
              </w:rPr>
              <w:t>8,</w:t>
            </w:r>
            <w:r>
              <w:rPr>
                <w:rFonts w:eastAsia="Times New Roman"/>
                <w:b/>
                <w:color w:val="000000"/>
                <w:sz w:val="18"/>
                <w:szCs w:val="18"/>
              </w:rPr>
              <w:t>714</w:t>
            </w:r>
          </w:p>
        </w:tc>
        <w:tc>
          <w:tcPr>
            <w:tcW w:w="1954" w:type="dxa"/>
            <w:tcBorders>
              <w:top w:val="single" w:sz="4" w:space="0" w:color="auto"/>
              <w:left w:val="single" w:sz="4" w:space="0" w:color="auto"/>
              <w:bottom w:val="single" w:sz="4" w:space="0" w:color="auto"/>
              <w:right w:val="single" w:sz="4" w:space="0" w:color="auto"/>
            </w:tcBorders>
          </w:tcPr>
          <w:p w14:paraId="171719F8" w14:textId="77777777" w:rsidR="007B485A" w:rsidRPr="00783AA2" w:rsidRDefault="007B485A" w:rsidP="007B485A">
            <w:pPr>
              <w:spacing w:before="0" w:after="0"/>
              <w:jc w:val="right"/>
              <w:rPr>
                <w:rFonts w:eastAsia="Times New Roman"/>
                <w:b/>
                <w:color w:val="000000"/>
                <w:sz w:val="18"/>
                <w:szCs w:val="18"/>
              </w:rPr>
            </w:pPr>
            <w:r w:rsidRPr="00783AA2">
              <w:rPr>
                <w:rFonts w:eastAsia="Times New Roman"/>
                <w:b/>
                <w:color w:val="000000"/>
                <w:sz w:val="18"/>
                <w:szCs w:val="18"/>
              </w:rPr>
              <w:t>199</w:t>
            </w:r>
          </w:p>
        </w:tc>
        <w:tc>
          <w:tcPr>
            <w:tcW w:w="1954" w:type="dxa"/>
            <w:tcBorders>
              <w:top w:val="single" w:sz="4" w:space="0" w:color="auto"/>
              <w:left w:val="single" w:sz="4" w:space="0" w:color="auto"/>
              <w:bottom w:val="single" w:sz="4" w:space="0" w:color="auto"/>
              <w:right w:val="single" w:sz="4" w:space="0" w:color="auto"/>
            </w:tcBorders>
          </w:tcPr>
          <w:p w14:paraId="6C4C1017" w14:textId="77777777" w:rsidR="007B485A" w:rsidRPr="00783AA2" w:rsidRDefault="007B485A" w:rsidP="007B485A">
            <w:pPr>
              <w:spacing w:before="0" w:after="0"/>
              <w:jc w:val="right"/>
              <w:rPr>
                <w:rFonts w:eastAsia="Times New Roman"/>
                <w:b/>
                <w:color w:val="000000"/>
                <w:sz w:val="18"/>
                <w:szCs w:val="18"/>
              </w:rPr>
            </w:pPr>
            <w:r w:rsidRPr="00783AA2">
              <w:rPr>
                <w:rFonts w:eastAsia="Times New Roman"/>
                <w:b/>
                <w:color w:val="000000"/>
                <w:sz w:val="18"/>
                <w:szCs w:val="18"/>
              </w:rPr>
              <w:t>8,</w:t>
            </w:r>
            <w:r>
              <w:rPr>
                <w:rFonts w:eastAsia="Times New Roman"/>
                <w:b/>
                <w:color w:val="000000"/>
                <w:sz w:val="18"/>
                <w:szCs w:val="18"/>
              </w:rPr>
              <w:t>913</w:t>
            </w:r>
          </w:p>
        </w:tc>
      </w:tr>
      <w:tr w:rsidR="007B485A" w:rsidRPr="00D30BB2" w14:paraId="1CAAE925" w14:textId="77777777" w:rsidTr="007B485A">
        <w:trPr>
          <w:jc w:val="center"/>
        </w:trPr>
        <w:tc>
          <w:tcPr>
            <w:tcW w:w="1788" w:type="dxa"/>
            <w:vAlign w:val="center"/>
          </w:tcPr>
          <w:p w14:paraId="7CD8C46D" w14:textId="77777777" w:rsidR="007B485A" w:rsidRPr="00860889" w:rsidRDefault="007B485A" w:rsidP="007B485A">
            <w:pPr>
              <w:spacing w:before="0" w:after="0"/>
              <w:jc w:val="left"/>
              <w:rPr>
                <w:rFonts w:eastAsia="Times New Roman"/>
                <w:color w:val="000000"/>
                <w:sz w:val="18"/>
                <w:szCs w:val="18"/>
              </w:rPr>
            </w:pPr>
            <w:r w:rsidRPr="00860889">
              <w:rPr>
                <w:rFonts w:eastAsia="Times New Roman"/>
                <w:color w:val="000000"/>
                <w:sz w:val="18"/>
                <w:szCs w:val="18"/>
              </w:rPr>
              <w:t>Perú</w:t>
            </w:r>
          </w:p>
        </w:tc>
        <w:tc>
          <w:tcPr>
            <w:tcW w:w="1954" w:type="dxa"/>
            <w:tcBorders>
              <w:top w:val="single" w:sz="4" w:space="0" w:color="auto"/>
              <w:left w:val="single" w:sz="4" w:space="0" w:color="auto"/>
              <w:bottom w:val="single" w:sz="4" w:space="0" w:color="auto"/>
              <w:right w:val="single" w:sz="4" w:space="0" w:color="auto"/>
            </w:tcBorders>
            <w:vAlign w:val="center"/>
          </w:tcPr>
          <w:p w14:paraId="22F47858"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645</w:t>
            </w:r>
          </w:p>
        </w:tc>
        <w:tc>
          <w:tcPr>
            <w:tcW w:w="1954" w:type="dxa"/>
            <w:tcBorders>
              <w:top w:val="single" w:sz="4" w:space="0" w:color="auto"/>
              <w:left w:val="single" w:sz="4" w:space="0" w:color="auto"/>
              <w:bottom w:val="single" w:sz="4" w:space="0" w:color="auto"/>
              <w:right w:val="single" w:sz="4" w:space="0" w:color="auto"/>
            </w:tcBorders>
          </w:tcPr>
          <w:p w14:paraId="17B98D6E"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0</w:t>
            </w:r>
          </w:p>
        </w:tc>
        <w:tc>
          <w:tcPr>
            <w:tcW w:w="1954" w:type="dxa"/>
            <w:tcBorders>
              <w:top w:val="single" w:sz="4" w:space="0" w:color="auto"/>
              <w:left w:val="single" w:sz="4" w:space="0" w:color="auto"/>
              <w:bottom w:val="single" w:sz="4" w:space="0" w:color="auto"/>
              <w:right w:val="single" w:sz="4" w:space="0" w:color="auto"/>
            </w:tcBorders>
          </w:tcPr>
          <w:p w14:paraId="4473770C" w14:textId="77777777" w:rsidR="007B485A" w:rsidRPr="00860889" w:rsidRDefault="007B485A" w:rsidP="007B485A">
            <w:pPr>
              <w:spacing w:before="0" w:after="0"/>
              <w:jc w:val="right"/>
              <w:rPr>
                <w:rFonts w:eastAsia="Times New Roman"/>
                <w:color w:val="000000"/>
                <w:sz w:val="18"/>
                <w:szCs w:val="18"/>
              </w:rPr>
            </w:pPr>
            <w:r w:rsidRPr="00860889">
              <w:rPr>
                <w:rFonts w:eastAsia="Times New Roman"/>
                <w:color w:val="000000"/>
                <w:sz w:val="18"/>
                <w:szCs w:val="18"/>
              </w:rPr>
              <w:t>645</w:t>
            </w:r>
          </w:p>
        </w:tc>
      </w:tr>
      <w:tr w:rsidR="007B485A" w:rsidRPr="00783AA2" w14:paraId="62F1994D" w14:textId="77777777" w:rsidTr="007B485A">
        <w:trPr>
          <w:jc w:val="center"/>
        </w:trPr>
        <w:tc>
          <w:tcPr>
            <w:tcW w:w="1788" w:type="dxa"/>
            <w:vAlign w:val="center"/>
          </w:tcPr>
          <w:p w14:paraId="63BEE57D" w14:textId="77777777" w:rsidR="007B485A" w:rsidRPr="00783AA2" w:rsidRDefault="007B485A" w:rsidP="007B485A">
            <w:pPr>
              <w:spacing w:before="0" w:after="0"/>
              <w:jc w:val="left"/>
              <w:rPr>
                <w:rFonts w:eastAsia="Times New Roman"/>
                <w:b/>
                <w:color w:val="000000"/>
                <w:sz w:val="18"/>
                <w:szCs w:val="18"/>
              </w:rPr>
            </w:pPr>
            <w:r w:rsidRPr="00783AA2">
              <w:rPr>
                <w:rFonts w:eastAsia="Times New Roman"/>
                <w:b/>
                <w:color w:val="000000"/>
                <w:sz w:val="18"/>
                <w:szCs w:val="18"/>
              </w:rPr>
              <w:t>TOTAL</w:t>
            </w:r>
          </w:p>
        </w:tc>
        <w:tc>
          <w:tcPr>
            <w:tcW w:w="1954" w:type="dxa"/>
            <w:tcBorders>
              <w:top w:val="single" w:sz="4" w:space="0" w:color="auto"/>
              <w:left w:val="single" w:sz="4" w:space="0" w:color="auto"/>
              <w:bottom w:val="single" w:sz="4" w:space="0" w:color="auto"/>
              <w:right w:val="single" w:sz="4" w:space="0" w:color="auto"/>
            </w:tcBorders>
            <w:vAlign w:val="center"/>
          </w:tcPr>
          <w:p w14:paraId="2D76DD54" w14:textId="77777777" w:rsidR="007B485A" w:rsidRPr="00783AA2" w:rsidRDefault="007B485A" w:rsidP="007B485A">
            <w:pPr>
              <w:spacing w:before="0" w:after="0"/>
              <w:jc w:val="right"/>
              <w:rPr>
                <w:rFonts w:eastAsia="Times New Roman"/>
                <w:b/>
                <w:color w:val="000000"/>
                <w:sz w:val="18"/>
                <w:szCs w:val="18"/>
              </w:rPr>
            </w:pPr>
            <w:r w:rsidRPr="00783AA2">
              <w:rPr>
                <w:rFonts w:eastAsia="Times New Roman"/>
                <w:b/>
                <w:color w:val="000000"/>
                <w:sz w:val="18"/>
                <w:szCs w:val="18"/>
              </w:rPr>
              <w:t>125,0</w:t>
            </w:r>
            <w:r>
              <w:rPr>
                <w:rFonts w:eastAsia="Times New Roman"/>
                <w:b/>
                <w:color w:val="000000"/>
                <w:sz w:val="18"/>
                <w:szCs w:val="18"/>
              </w:rPr>
              <w:t>5</w:t>
            </w:r>
            <w:r w:rsidRPr="00783AA2">
              <w:rPr>
                <w:rFonts w:eastAsia="Times New Roman"/>
                <w:b/>
                <w:color w:val="000000"/>
                <w:sz w:val="18"/>
                <w:szCs w:val="18"/>
              </w:rPr>
              <w:t>6</w:t>
            </w:r>
          </w:p>
        </w:tc>
        <w:tc>
          <w:tcPr>
            <w:tcW w:w="1954" w:type="dxa"/>
            <w:tcBorders>
              <w:top w:val="single" w:sz="4" w:space="0" w:color="auto"/>
              <w:left w:val="single" w:sz="4" w:space="0" w:color="auto"/>
              <w:bottom w:val="single" w:sz="4" w:space="0" w:color="auto"/>
              <w:right w:val="single" w:sz="4" w:space="0" w:color="auto"/>
            </w:tcBorders>
          </w:tcPr>
          <w:p w14:paraId="4415AF17" w14:textId="77777777" w:rsidR="007B485A" w:rsidRPr="00783AA2" w:rsidRDefault="007B485A" w:rsidP="007B485A">
            <w:pPr>
              <w:spacing w:before="0" w:after="0"/>
              <w:jc w:val="right"/>
              <w:rPr>
                <w:rFonts w:eastAsia="Times New Roman"/>
                <w:b/>
                <w:color w:val="000000"/>
                <w:sz w:val="18"/>
                <w:szCs w:val="18"/>
              </w:rPr>
            </w:pPr>
            <w:r w:rsidRPr="00783AA2">
              <w:rPr>
                <w:rFonts w:eastAsia="Times New Roman"/>
                <w:b/>
                <w:color w:val="000000"/>
                <w:sz w:val="18"/>
                <w:szCs w:val="18"/>
              </w:rPr>
              <w:t>19,858</w:t>
            </w:r>
          </w:p>
        </w:tc>
        <w:tc>
          <w:tcPr>
            <w:tcW w:w="1954" w:type="dxa"/>
            <w:tcBorders>
              <w:top w:val="single" w:sz="4" w:space="0" w:color="auto"/>
              <w:left w:val="single" w:sz="4" w:space="0" w:color="auto"/>
              <w:bottom w:val="single" w:sz="4" w:space="0" w:color="auto"/>
              <w:right w:val="single" w:sz="4" w:space="0" w:color="auto"/>
            </w:tcBorders>
          </w:tcPr>
          <w:p w14:paraId="0EEADB74" w14:textId="77777777" w:rsidR="007B485A" w:rsidRPr="00783AA2" w:rsidRDefault="007B485A" w:rsidP="007B485A">
            <w:pPr>
              <w:spacing w:before="0" w:after="0"/>
              <w:jc w:val="right"/>
              <w:rPr>
                <w:rFonts w:eastAsia="Times New Roman"/>
                <w:b/>
                <w:color w:val="000000"/>
                <w:sz w:val="18"/>
                <w:szCs w:val="18"/>
              </w:rPr>
            </w:pPr>
            <w:r w:rsidRPr="00783AA2">
              <w:rPr>
                <w:rFonts w:eastAsia="Times New Roman"/>
                <w:b/>
                <w:color w:val="000000"/>
                <w:sz w:val="18"/>
                <w:szCs w:val="18"/>
              </w:rPr>
              <w:t>144,</w:t>
            </w:r>
            <w:r>
              <w:rPr>
                <w:rFonts w:eastAsia="Times New Roman"/>
                <w:b/>
                <w:color w:val="000000"/>
                <w:sz w:val="18"/>
                <w:szCs w:val="18"/>
              </w:rPr>
              <w:t>91</w:t>
            </w:r>
            <w:r w:rsidRPr="00783AA2">
              <w:rPr>
                <w:rFonts w:eastAsia="Times New Roman"/>
                <w:b/>
                <w:color w:val="000000"/>
                <w:sz w:val="18"/>
                <w:szCs w:val="18"/>
              </w:rPr>
              <w:t>4</w:t>
            </w:r>
          </w:p>
        </w:tc>
      </w:tr>
    </w:tbl>
    <w:p w14:paraId="69930699" w14:textId="77777777" w:rsidR="006801D8" w:rsidRDefault="00860889" w:rsidP="00771432">
      <w:pPr>
        <w:spacing w:before="0" w:after="0"/>
        <w:ind w:left="1134"/>
        <w:rPr>
          <w:sz w:val="16"/>
        </w:rPr>
      </w:pPr>
      <w:r w:rsidRPr="00C1349E">
        <w:rPr>
          <w:sz w:val="16"/>
        </w:rPr>
        <w:t>Fuente: Elaboración propia con información contenida en Foja</w:t>
      </w:r>
      <w:r w:rsidR="008227ED">
        <w:rPr>
          <w:sz w:val="16"/>
        </w:rPr>
        <w:t>s 27 y</w:t>
      </w:r>
      <w:r w:rsidRPr="00C1349E">
        <w:rPr>
          <w:sz w:val="16"/>
        </w:rPr>
        <w:t xml:space="preserve"> </w:t>
      </w:r>
      <w:r>
        <w:rPr>
          <w:sz w:val="16"/>
        </w:rPr>
        <w:t>1434</w:t>
      </w:r>
      <w:r w:rsidRPr="00C1349E">
        <w:rPr>
          <w:sz w:val="16"/>
        </w:rPr>
        <w:t xml:space="preserve"> del Expediente</w:t>
      </w:r>
      <w:r>
        <w:rPr>
          <w:sz w:val="16"/>
        </w:rPr>
        <w:t>.</w:t>
      </w:r>
    </w:p>
    <w:p w14:paraId="31B79412" w14:textId="0273A599" w:rsidR="00184CD5" w:rsidRDefault="00184CD5" w:rsidP="00184CD5">
      <w:pPr>
        <w:ind w:right="-1"/>
        <w:rPr>
          <w:rFonts w:cs="ITC Avant Garde"/>
          <w:bCs/>
        </w:rPr>
      </w:pPr>
      <w:r>
        <w:rPr>
          <w:rFonts w:cs="ITC Avant Garde"/>
          <w:bCs/>
        </w:rPr>
        <w:t xml:space="preserve">En virtud de que los Sitios para Telecomunicaciones pueden albergar a más de </w:t>
      </w:r>
      <w:r w:rsidR="00133294">
        <w:rPr>
          <w:b/>
          <w:bCs/>
          <w:color w:val="0000CC"/>
          <w:sz w:val="19"/>
          <w:szCs w:val="19"/>
        </w:rPr>
        <w:t>“CONFIDENCIAL POR LEY (246</w:t>
      </w:r>
      <w:r w:rsidR="00721CCE" w:rsidRPr="00E63FC2">
        <w:rPr>
          <w:b/>
          <w:bCs/>
          <w:color w:val="0000CC"/>
          <w:sz w:val="19"/>
          <w:szCs w:val="19"/>
        </w:rPr>
        <w:t>)”</w:t>
      </w:r>
      <w:r w:rsidR="00721CCE">
        <w:rPr>
          <w:b/>
          <w:bCs/>
          <w:color w:val="0000CC"/>
          <w:sz w:val="19"/>
          <w:szCs w:val="19"/>
        </w:rPr>
        <w:t xml:space="preserve"> </w:t>
      </w:r>
      <w:r>
        <w:rPr>
          <w:rFonts w:cs="ITC Avant Garde"/>
          <w:bCs/>
        </w:rPr>
        <w:t xml:space="preserve">usuario o cliente, las Partes señalaron que el promedio de usuarios por cada Sitio para Telecomunicaciones es de </w:t>
      </w:r>
      <w:r w:rsidR="00721CCE" w:rsidRPr="00E63FC2">
        <w:rPr>
          <w:b/>
          <w:bCs/>
          <w:color w:val="0000CC"/>
          <w:sz w:val="19"/>
          <w:szCs w:val="19"/>
        </w:rPr>
        <w:t>“CONFIDENCIAL POR LEY (</w:t>
      </w:r>
      <w:r w:rsidR="00133294">
        <w:rPr>
          <w:b/>
          <w:bCs/>
          <w:color w:val="0000CC"/>
          <w:sz w:val="19"/>
          <w:szCs w:val="19"/>
        </w:rPr>
        <w:t>247</w:t>
      </w:r>
      <w:r w:rsidR="00721CCE" w:rsidRPr="00E63FC2">
        <w:rPr>
          <w:b/>
          <w:bCs/>
          <w:color w:val="0000CC"/>
          <w:sz w:val="19"/>
          <w:szCs w:val="19"/>
        </w:rPr>
        <w:t>)”</w:t>
      </w:r>
      <w:r>
        <w:rPr>
          <w:rFonts w:cs="ITC Avant Garde"/>
          <w:bCs/>
        </w:rPr>
        <w:t>.</w:t>
      </w:r>
      <w:r w:rsidRPr="00184CD5">
        <w:rPr>
          <w:rFonts w:eastAsia="Times New Roman"/>
          <w:color w:val="000000"/>
          <w:vertAlign w:val="superscript"/>
          <w:lang w:val="es-MX"/>
        </w:rPr>
        <w:footnoteReference w:id="52"/>
      </w:r>
    </w:p>
    <w:p w14:paraId="6AB83CF8" w14:textId="4B3FB61A" w:rsidR="008D7500" w:rsidRPr="002A538A" w:rsidRDefault="008D7500" w:rsidP="008D7500">
      <w:pPr>
        <w:ind w:right="-1"/>
        <w:rPr>
          <w:rFonts w:eastAsia="Times New Roman"/>
          <w:color w:val="000000"/>
          <w:lang w:val="es-MX"/>
        </w:rPr>
      </w:pPr>
      <w:r>
        <w:rPr>
          <w:rFonts w:cs="ITC Avant Garde"/>
          <w:bCs/>
        </w:rPr>
        <w:t xml:space="preserve">Respecto a la provisión de Enlaces dedicados, </w:t>
      </w:r>
      <w:r w:rsidRPr="002A538A">
        <w:rPr>
          <w:rFonts w:eastAsia="Times New Roman"/>
          <w:color w:val="000000"/>
          <w:lang w:val="es-MX"/>
        </w:rPr>
        <w:t>las Partes mencionaron que:</w:t>
      </w:r>
    </w:p>
    <w:p w14:paraId="3907EC68" w14:textId="459E8642" w:rsidR="008D7500" w:rsidRPr="002A538A" w:rsidRDefault="008D7500" w:rsidP="008D7500">
      <w:pPr>
        <w:pStyle w:val="Prrafodelista"/>
        <w:spacing w:after="120" w:line="276" w:lineRule="auto"/>
        <w:ind w:left="567"/>
        <w:contextualSpacing w:val="0"/>
        <w:rPr>
          <w:rFonts w:eastAsia="Times New Roman"/>
          <w:i/>
          <w:color w:val="000000"/>
          <w:sz w:val="20"/>
          <w:lang w:val="es-MX"/>
        </w:rPr>
      </w:pPr>
      <w:r w:rsidRPr="002A538A">
        <w:rPr>
          <w:rFonts w:eastAsia="Times New Roman"/>
          <w:i/>
          <w:color w:val="000000"/>
          <w:sz w:val="20"/>
          <w:lang w:val="es-MX"/>
        </w:rPr>
        <w:lastRenderedPageBreak/>
        <w:t>“Hasta antes de la escisión, Metro Net prestaba sus servicios de telecomunicaciones principalmente a otros concesionarios en redes de telecomunicaciones y a empresas del mercado corporativo, mientras que no presta el servicio de telecomunicaciones a PYMES o al segmento residencial.</w:t>
      </w:r>
    </w:p>
    <w:p w14:paraId="0005245B" w14:textId="128E9C77" w:rsidR="008D7500" w:rsidRPr="008D7500" w:rsidRDefault="008D7500" w:rsidP="008D7500">
      <w:pPr>
        <w:pStyle w:val="Prrafodelista"/>
        <w:spacing w:after="120" w:line="276" w:lineRule="auto"/>
        <w:ind w:left="567"/>
        <w:contextualSpacing w:val="0"/>
        <w:rPr>
          <w:rFonts w:eastAsia="Times New Roman"/>
          <w:color w:val="000000"/>
          <w:sz w:val="20"/>
          <w:lang w:val="es-MX"/>
        </w:rPr>
      </w:pPr>
      <w:r w:rsidRPr="008D7500">
        <w:rPr>
          <w:rFonts w:eastAsia="Times New Roman"/>
          <w:i/>
          <w:color w:val="000000"/>
          <w:sz w:val="20"/>
          <w:u w:val="single"/>
          <w:lang w:val="es-MX"/>
        </w:rPr>
        <w:t xml:space="preserve">Metro Net contaba con </w:t>
      </w:r>
      <w:r w:rsidR="00721CCE" w:rsidRPr="00E63FC2">
        <w:rPr>
          <w:b/>
          <w:bCs/>
          <w:color w:val="0000CC"/>
          <w:sz w:val="19"/>
          <w:szCs w:val="19"/>
        </w:rPr>
        <w:t>“CONFIDENCIAL POR LEY (</w:t>
      </w:r>
      <w:r w:rsidR="00133294">
        <w:rPr>
          <w:b/>
          <w:bCs/>
          <w:color w:val="0000CC"/>
          <w:sz w:val="19"/>
          <w:szCs w:val="19"/>
        </w:rPr>
        <w:t>248</w:t>
      </w:r>
      <w:r w:rsidR="00721CCE" w:rsidRPr="00E63FC2">
        <w:rPr>
          <w:b/>
          <w:bCs/>
          <w:color w:val="0000CC"/>
          <w:sz w:val="19"/>
          <w:szCs w:val="19"/>
        </w:rPr>
        <w:t>)”</w:t>
      </w:r>
      <w:r w:rsidRPr="008D7500">
        <w:rPr>
          <w:rFonts w:eastAsia="Times New Roman"/>
          <w:i/>
          <w:color w:val="000000"/>
          <w:sz w:val="20"/>
          <w:u w:val="single"/>
          <w:lang w:val="es-MX"/>
        </w:rPr>
        <w:t xml:space="preserve"> suscriptores en el año 2015, con </w:t>
      </w:r>
      <w:r w:rsidR="00133294">
        <w:rPr>
          <w:b/>
          <w:bCs/>
          <w:color w:val="0000CC"/>
          <w:sz w:val="19"/>
          <w:szCs w:val="19"/>
        </w:rPr>
        <w:t>“CONFIDENCIAL POR LEY (249</w:t>
      </w:r>
      <w:r w:rsidR="00721CCE" w:rsidRPr="00E63FC2">
        <w:rPr>
          <w:b/>
          <w:bCs/>
          <w:color w:val="0000CC"/>
          <w:sz w:val="19"/>
          <w:szCs w:val="19"/>
        </w:rPr>
        <w:t>)”</w:t>
      </w:r>
      <w:r w:rsidRPr="008D7500">
        <w:rPr>
          <w:rFonts w:eastAsia="Times New Roman"/>
          <w:i/>
          <w:color w:val="000000"/>
          <w:sz w:val="20"/>
          <w:u w:val="single"/>
          <w:lang w:val="es-MX"/>
        </w:rPr>
        <w:t xml:space="preserve"> suscriptores en el año 2016 y con </w:t>
      </w:r>
      <w:r w:rsidR="00721CCE" w:rsidRPr="00E63FC2">
        <w:rPr>
          <w:b/>
          <w:bCs/>
          <w:color w:val="0000CC"/>
          <w:sz w:val="19"/>
          <w:szCs w:val="19"/>
        </w:rPr>
        <w:t>“CONFIDENCIAL POR LEY (</w:t>
      </w:r>
      <w:r w:rsidR="00133294">
        <w:rPr>
          <w:b/>
          <w:bCs/>
          <w:color w:val="0000CC"/>
          <w:sz w:val="19"/>
          <w:szCs w:val="19"/>
        </w:rPr>
        <w:t>250</w:t>
      </w:r>
      <w:r w:rsidR="00721CCE" w:rsidRPr="00E63FC2">
        <w:rPr>
          <w:b/>
          <w:bCs/>
          <w:color w:val="0000CC"/>
          <w:sz w:val="19"/>
          <w:szCs w:val="19"/>
        </w:rPr>
        <w:t>)”</w:t>
      </w:r>
      <w:r w:rsidRPr="008D7500">
        <w:rPr>
          <w:rFonts w:eastAsia="Times New Roman"/>
          <w:i/>
          <w:color w:val="000000"/>
          <w:sz w:val="20"/>
          <w:u w:val="single"/>
          <w:lang w:val="es-MX"/>
        </w:rPr>
        <w:t xml:space="preserve"> suscriptores a octubre de 2017 (número al cual se le deben restar los</w:t>
      </w:r>
      <w:r w:rsidR="00721CCE">
        <w:rPr>
          <w:rFonts w:eastAsia="Times New Roman"/>
          <w:i/>
          <w:color w:val="000000"/>
          <w:sz w:val="20"/>
          <w:u w:val="single"/>
          <w:lang w:val="es-MX"/>
        </w:rPr>
        <w:t xml:space="preserve"> </w:t>
      </w:r>
      <w:r w:rsidR="00721CCE" w:rsidRPr="00E63FC2">
        <w:rPr>
          <w:b/>
          <w:bCs/>
          <w:color w:val="0000CC"/>
          <w:sz w:val="19"/>
          <w:szCs w:val="19"/>
        </w:rPr>
        <w:t>“CONFIDENCIAL POR LEY (</w:t>
      </w:r>
      <w:r w:rsidR="00133294">
        <w:rPr>
          <w:b/>
          <w:bCs/>
          <w:color w:val="0000CC"/>
          <w:sz w:val="19"/>
          <w:szCs w:val="19"/>
        </w:rPr>
        <w:t>251</w:t>
      </w:r>
      <w:r w:rsidR="00721CCE" w:rsidRPr="00E63FC2">
        <w:rPr>
          <w:b/>
          <w:bCs/>
          <w:color w:val="0000CC"/>
          <w:sz w:val="19"/>
          <w:szCs w:val="19"/>
        </w:rPr>
        <w:t>)”</w:t>
      </w:r>
      <w:r w:rsidRPr="008D7500">
        <w:rPr>
          <w:rFonts w:eastAsia="Times New Roman"/>
          <w:i/>
          <w:color w:val="000000"/>
          <w:sz w:val="20"/>
          <w:u w:val="single"/>
          <w:lang w:val="es-MX"/>
        </w:rPr>
        <w:t xml:space="preserve"> contratos [señalados </w:t>
      </w:r>
      <w:r w:rsidRPr="008D7500">
        <w:rPr>
          <w:rFonts w:eastAsia="Times New Roman"/>
          <w:i/>
          <w:color w:val="000000"/>
          <w:sz w:val="20"/>
          <w:szCs w:val="20"/>
          <w:u w:val="single"/>
          <w:lang w:val="es-MX"/>
        </w:rPr>
        <w:t>anteriormente], que son los únicos con los que a la fecha del presente escrito cuenta Metro Net).</w:t>
      </w:r>
      <w:r w:rsidRPr="002A538A">
        <w:rPr>
          <w:rFonts w:eastAsia="Times New Roman"/>
          <w:i/>
          <w:color w:val="000000"/>
          <w:sz w:val="20"/>
          <w:szCs w:val="20"/>
          <w:lang w:val="es-MX"/>
        </w:rPr>
        <w:t>”</w:t>
      </w:r>
      <w:r w:rsidRPr="002A538A">
        <w:rPr>
          <w:rFonts w:eastAsia="Times New Roman"/>
          <w:color w:val="000000"/>
          <w:sz w:val="20"/>
          <w:szCs w:val="20"/>
          <w:vertAlign w:val="superscript"/>
          <w:lang w:val="es-MX"/>
        </w:rPr>
        <w:footnoteReference w:id="53"/>
      </w:r>
      <w:r w:rsidR="009D3CF5">
        <w:rPr>
          <w:rFonts w:eastAsia="Times New Roman"/>
          <w:i/>
          <w:color w:val="000000"/>
          <w:sz w:val="20"/>
          <w:szCs w:val="20"/>
          <w:lang w:val="es-MX"/>
        </w:rPr>
        <w:t xml:space="preserve"> </w:t>
      </w:r>
      <w:r w:rsidRPr="008D7500">
        <w:rPr>
          <w:rFonts w:eastAsia="Times New Roman"/>
          <w:color w:val="000000"/>
          <w:sz w:val="20"/>
          <w:lang w:val="es-MX"/>
        </w:rPr>
        <w:t>[Énfasis añadido]</w:t>
      </w:r>
    </w:p>
    <w:p w14:paraId="605070FA" w14:textId="2B79AE81" w:rsidR="005862AB" w:rsidRDefault="008D7500" w:rsidP="00327869">
      <w:pPr>
        <w:ind w:right="-1"/>
        <w:rPr>
          <w:rFonts w:cs="ITC Avant Garde"/>
          <w:bCs/>
        </w:rPr>
      </w:pPr>
      <w:r>
        <w:rPr>
          <w:rFonts w:cs="ITC Avant Garde"/>
          <w:bCs/>
        </w:rPr>
        <w:t xml:space="preserve">De acuerdo con lo anterior, se identifica que </w:t>
      </w:r>
      <w:r w:rsidR="00184CD5" w:rsidRPr="00784806">
        <w:rPr>
          <w:rFonts w:cs="ITC Avant Garde"/>
          <w:bCs/>
        </w:rPr>
        <w:t xml:space="preserve">el GIE Grupo </w:t>
      </w:r>
      <w:r w:rsidR="00184CD5">
        <w:rPr>
          <w:rFonts w:cs="ITC Avant Garde"/>
          <w:bCs/>
        </w:rPr>
        <w:t xml:space="preserve">ATC, en virtud de la Operación, adquirió y cuenta actualmente con </w:t>
      </w:r>
      <w:r w:rsidR="00721CCE" w:rsidRPr="00E63FC2">
        <w:rPr>
          <w:b/>
          <w:bCs/>
          <w:color w:val="0000CC"/>
          <w:sz w:val="19"/>
          <w:szCs w:val="19"/>
        </w:rPr>
        <w:t>“CONFIDENCIAL POR LEY (</w:t>
      </w:r>
      <w:r w:rsidR="00133294">
        <w:rPr>
          <w:b/>
          <w:bCs/>
          <w:color w:val="0000CC"/>
          <w:sz w:val="19"/>
          <w:szCs w:val="19"/>
        </w:rPr>
        <w:t>252</w:t>
      </w:r>
      <w:r w:rsidR="00721CCE" w:rsidRPr="00E63FC2">
        <w:rPr>
          <w:b/>
          <w:bCs/>
          <w:color w:val="0000CC"/>
          <w:sz w:val="19"/>
          <w:szCs w:val="19"/>
        </w:rPr>
        <w:t>)”</w:t>
      </w:r>
      <w:r w:rsidR="00184CD5">
        <w:rPr>
          <w:rFonts w:cs="ITC Avant Garde"/>
          <w:bCs/>
        </w:rPr>
        <w:t xml:space="preserve"> suscriptores de Enlaces dedicado</w:t>
      </w:r>
      <w:r w:rsidR="00184CD5" w:rsidRPr="00184CD5">
        <w:rPr>
          <w:rFonts w:cs="ITC Avant Garde"/>
          <w:bCs/>
        </w:rPr>
        <w:t>s.</w:t>
      </w:r>
      <w:r w:rsidR="0041020C">
        <w:rPr>
          <w:rFonts w:cs="ITC Avant Garde"/>
          <w:bCs/>
        </w:rPr>
        <w:t xml:space="preserve"> Los</w:t>
      </w:r>
      <w:r w:rsidR="003C684D">
        <w:rPr>
          <w:rFonts w:cs="ITC Avant Garde"/>
          <w:bCs/>
        </w:rPr>
        <w:t xml:space="preserve"> </w:t>
      </w:r>
      <w:r w:rsidR="005F7F9E">
        <w:rPr>
          <w:rFonts w:cs="ITC Avant Garde"/>
          <w:bCs/>
        </w:rPr>
        <w:t xml:space="preserve">15 (quince) </w:t>
      </w:r>
      <w:r w:rsidR="0041020C">
        <w:rPr>
          <w:rFonts w:cs="ITC Avant Garde"/>
          <w:bCs/>
        </w:rPr>
        <w:t xml:space="preserve">principales clientes </w:t>
      </w:r>
      <w:r w:rsidR="00E2705A">
        <w:rPr>
          <w:rFonts w:cs="ITC Avant Garde"/>
          <w:bCs/>
        </w:rPr>
        <w:t xml:space="preserve">de ese servicio </w:t>
      </w:r>
      <w:r w:rsidR="003C684D">
        <w:rPr>
          <w:rFonts w:cs="ITC Avant Garde"/>
          <w:bCs/>
        </w:rPr>
        <w:t>se presentan en el siguiente cuadro.</w:t>
      </w:r>
    </w:p>
    <w:p w14:paraId="090B1053" w14:textId="77777777" w:rsidR="003C684D" w:rsidRPr="001C6B1E" w:rsidRDefault="003C684D" w:rsidP="00F32175">
      <w:pPr>
        <w:pStyle w:val="Sinespaciado"/>
        <w:keepNext/>
        <w:numPr>
          <w:ilvl w:val="0"/>
          <w:numId w:val="24"/>
        </w:numPr>
        <w:spacing w:before="120" w:after="120" w:line="276" w:lineRule="auto"/>
        <w:ind w:left="2268" w:right="1040" w:hanging="1275"/>
        <w:jc w:val="both"/>
        <w:rPr>
          <w:rFonts w:ascii="ITC Avant Garde" w:hAnsi="ITC Avant Garde"/>
          <w:b/>
        </w:rPr>
      </w:pPr>
      <w:r w:rsidRPr="001C6B1E">
        <w:rPr>
          <w:rFonts w:ascii="ITC Avant Garde" w:hAnsi="ITC Avant Garde"/>
          <w:b/>
        </w:rPr>
        <w:t xml:space="preserve">Principales </w:t>
      </w:r>
      <w:r>
        <w:rPr>
          <w:rFonts w:ascii="ITC Avant Garde" w:hAnsi="ITC Avant Garde"/>
          <w:b/>
        </w:rPr>
        <w:t xml:space="preserve">clientes </w:t>
      </w:r>
      <w:r w:rsidR="00E2705A">
        <w:rPr>
          <w:rFonts w:ascii="ITC Avant Garde" w:hAnsi="ITC Avant Garde"/>
          <w:b/>
        </w:rPr>
        <w:t xml:space="preserve">de Enlaces dedicados </w:t>
      </w:r>
      <w:r>
        <w:rPr>
          <w:rFonts w:ascii="ITC Avant Garde" w:hAnsi="ITC Avant Garde"/>
          <w:b/>
        </w:rPr>
        <w:t>de CFCA (septiembre, 2017)</w:t>
      </w: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Cuadro 23."/>
        <w:tblDescription w:val="Indica cuales son los principales clientes de Enlaces dedicados de CFCA (septiembre, 2017)"/>
      </w:tblPr>
      <w:tblGrid>
        <w:gridCol w:w="3144"/>
        <w:gridCol w:w="3144"/>
      </w:tblGrid>
      <w:tr w:rsidR="003C684D" w:rsidRPr="009127A8" w14:paraId="7CA9A14D" w14:textId="77777777" w:rsidTr="00687E53">
        <w:trPr>
          <w:trHeight w:val="360"/>
          <w:tblHeader/>
          <w:jc w:val="center"/>
        </w:trPr>
        <w:tc>
          <w:tcPr>
            <w:tcW w:w="3144" w:type="dxa"/>
            <w:shd w:val="clear" w:color="auto" w:fill="92D050"/>
            <w:vAlign w:val="center"/>
            <w:hideMark/>
          </w:tcPr>
          <w:p w14:paraId="087DF7E7" w14:textId="77777777" w:rsidR="003C684D" w:rsidRPr="009127A8" w:rsidRDefault="003C684D" w:rsidP="00217B47">
            <w:pPr>
              <w:spacing w:before="0" w:after="0"/>
              <w:jc w:val="center"/>
              <w:rPr>
                <w:rFonts w:eastAsia="Times New Roman"/>
                <w:b/>
                <w:sz w:val="18"/>
                <w:szCs w:val="18"/>
              </w:rPr>
            </w:pPr>
            <w:r w:rsidRPr="009127A8">
              <w:rPr>
                <w:b/>
                <w:sz w:val="18"/>
                <w:szCs w:val="18"/>
              </w:rPr>
              <w:t>Denominación o razón social</w:t>
            </w:r>
          </w:p>
        </w:tc>
        <w:tc>
          <w:tcPr>
            <w:tcW w:w="3144" w:type="dxa"/>
            <w:shd w:val="clear" w:color="auto" w:fill="92D050"/>
            <w:vAlign w:val="center"/>
            <w:hideMark/>
          </w:tcPr>
          <w:p w14:paraId="639C11C9" w14:textId="77777777" w:rsidR="003C684D" w:rsidRDefault="003C684D" w:rsidP="003C684D">
            <w:pPr>
              <w:spacing w:before="0" w:after="0"/>
              <w:jc w:val="center"/>
              <w:rPr>
                <w:rFonts w:eastAsia="Times New Roman"/>
                <w:b/>
                <w:sz w:val="18"/>
                <w:szCs w:val="18"/>
              </w:rPr>
            </w:pPr>
            <w:r>
              <w:rPr>
                <w:rFonts w:eastAsia="Times New Roman"/>
                <w:b/>
                <w:sz w:val="18"/>
                <w:szCs w:val="18"/>
              </w:rPr>
              <w:t>Ingresos generados</w:t>
            </w:r>
          </w:p>
          <w:p w14:paraId="7563470D" w14:textId="77777777" w:rsidR="003C684D" w:rsidRPr="009127A8" w:rsidRDefault="003C684D" w:rsidP="003C684D">
            <w:pPr>
              <w:spacing w:before="0" w:after="0"/>
              <w:jc w:val="center"/>
              <w:rPr>
                <w:rFonts w:eastAsia="Times New Roman"/>
                <w:b/>
                <w:sz w:val="18"/>
                <w:szCs w:val="18"/>
              </w:rPr>
            </w:pPr>
            <w:r>
              <w:rPr>
                <w:rFonts w:eastAsia="Times New Roman"/>
                <w:b/>
                <w:sz w:val="18"/>
                <w:szCs w:val="18"/>
              </w:rPr>
              <w:t>(pesos corrientes)</w:t>
            </w:r>
          </w:p>
        </w:tc>
      </w:tr>
      <w:tr w:rsidR="00721CCE" w:rsidRPr="00D30BB2" w14:paraId="0A9FB58A" w14:textId="77777777" w:rsidTr="00687E53">
        <w:trPr>
          <w:jc w:val="center"/>
        </w:trPr>
        <w:tc>
          <w:tcPr>
            <w:tcW w:w="3144" w:type="dxa"/>
          </w:tcPr>
          <w:p w14:paraId="129DF040" w14:textId="000F4C19" w:rsidR="00721CCE" w:rsidRPr="00D30BB2" w:rsidRDefault="00687E53" w:rsidP="00721CCE">
            <w:pPr>
              <w:spacing w:before="0" w:after="0"/>
              <w:jc w:val="left"/>
              <w:rPr>
                <w:rFonts w:eastAsia="Times New Roman"/>
                <w:color w:val="000000"/>
                <w:sz w:val="18"/>
                <w:szCs w:val="18"/>
                <w:highlight w:val="cyan"/>
              </w:rPr>
            </w:pPr>
            <w:r>
              <w:rPr>
                <w:b/>
                <w:bCs/>
                <w:color w:val="0000CC"/>
                <w:sz w:val="19"/>
                <w:szCs w:val="19"/>
              </w:rPr>
              <w:t>“CONFIDENCIAL POR LEY (253</w:t>
            </w:r>
            <w:r w:rsidR="00721CCE" w:rsidRPr="00A43577">
              <w:rPr>
                <w:b/>
                <w:bCs/>
                <w:color w:val="0000CC"/>
                <w:sz w:val="19"/>
                <w:szCs w:val="19"/>
              </w:rPr>
              <w:t>)”</w:t>
            </w:r>
          </w:p>
        </w:tc>
        <w:tc>
          <w:tcPr>
            <w:tcW w:w="3144" w:type="dxa"/>
            <w:tcBorders>
              <w:top w:val="single" w:sz="4" w:space="0" w:color="auto"/>
              <w:left w:val="single" w:sz="4" w:space="0" w:color="auto"/>
              <w:bottom w:val="single" w:sz="4" w:space="0" w:color="auto"/>
              <w:right w:val="single" w:sz="4" w:space="0" w:color="auto"/>
            </w:tcBorders>
          </w:tcPr>
          <w:p w14:paraId="501682AB" w14:textId="6CDF798C" w:rsidR="00721CCE" w:rsidRPr="00D30BB2" w:rsidRDefault="00721CCE" w:rsidP="00687E53">
            <w:pPr>
              <w:spacing w:before="0" w:after="0"/>
              <w:jc w:val="right"/>
              <w:rPr>
                <w:rFonts w:eastAsia="Times New Roman"/>
                <w:color w:val="000000"/>
                <w:sz w:val="18"/>
                <w:szCs w:val="18"/>
                <w:highlight w:val="cyan"/>
              </w:rPr>
            </w:pPr>
            <w:r w:rsidRPr="00406592">
              <w:rPr>
                <w:b/>
                <w:bCs/>
                <w:color w:val="0000CC"/>
                <w:sz w:val="19"/>
                <w:szCs w:val="19"/>
              </w:rPr>
              <w:t>“CONFIDENCIAL POR LEY (</w:t>
            </w:r>
            <w:r w:rsidR="00687E53">
              <w:rPr>
                <w:b/>
                <w:bCs/>
                <w:color w:val="0000CC"/>
                <w:sz w:val="19"/>
                <w:szCs w:val="19"/>
              </w:rPr>
              <w:t>254</w:t>
            </w:r>
            <w:r w:rsidRPr="00406592">
              <w:rPr>
                <w:b/>
                <w:bCs/>
                <w:color w:val="0000CC"/>
                <w:sz w:val="19"/>
                <w:szCs w:val="19"/>
              </w:rPr>
              <w:t>)”</w:t>
            </w:r>
          </w:p>
        </w:tc>
      </w:tr>
      <w:tr w:rsidR="00721CCE" w:rsidRPr="00D30BB2" w14:paraId="70E883A9" w14:textId="77777777" w:rsidTr="00687E53">
        <w:trPr>
          <w:jc w:val="center"/>
        </w:trPr>
        <w:tc>
          <w:tcPr>
            <w:tcW w:w="3144" w:type="dxa"/>
          </w:tcPr>
          <w:p w14:paraId="2C041353" w14:textId="3264B636" w:rsidR="00721CCE" w:rsidRPr="00D30BB2" w:rsidRDefault="00687E53" w:rsidP="00721CCE">
            <w:pPr>
              <w:spacing w:before="0" w:after="0"/>
              <w:jc w:val="left"/>
              <w:rPr>
                <w:rFonts w:eastAsia="Times New Roman"/>
                <w:color w:val="000000"/>
                <w:sz w:val="18"/>
                <w:szCs w:val="18"/>
                <w:highlight w:val="cyan"/>
              </w:rPr>
            </w:pPr>
            <w:r>
              <w:rPr>
                <w:b/>
                <w:bCs/>
                <w:color w:val="0000CC"/>
                <w:sz w:val="19"/>
                <w:szCs w:val="19"/>
              </w:rPr>
              <w:t>“CONFIDENCIAL POR LEY (255</w:t>
            </w:r>
            <w:r w:rsidR="00721CCE" w:rsidRPr="00A43577">
              <w:rPr>
                <w:b/>
                <w:bCs/>
                <w:color w:val="0000CC"/>
                <w:sz w:val="19"/>
                <w:szCs w:val="19"/>
              </w:rPr>
              <w:t>)”</w:t>
            </w:r>
          </w:p>
        </w:tc>
        <w:tc>
          <w:tcPr>
            <w:tcW w:w="3144" w:type="dxa"/>
            <w:tcBorders>
              <w:top w:val="single" w:sz="4" w:space="0" w:color="auto"/>
              <w:left w:val="single" w:sz="4" w:space="0" w:color="auto"/>
              <w:bottom w:val="single" w:sz="4" w:space="0" w:color="auto"/>
              <w:right w:val="single" w:sz="4" w:space="0" w:color="auto"/>
            </w:tcBorders>
          </w:tcPr>
          <w:p w14:paraId="336626BA" w14:textId="7AE44701" w:rsidR="00721CCE" w:rsidRPr="00D30BB2" w:rsidRDefault="00687E53" w:rsidP="00721CCE">
            <w:pPr>
              <w:spacing w:before="0" w:after="0"/>
              <w:jc w:val="right"/>
              <w:rPr>
                <w:rFonts w:eastAsia="Times New Roman"/>
                <w:color w:val="000000"/>
                <w:sz w:val="18"/>
                <w:szCs w:val="18"/>
                <w:highlight w:val="cyan"/>
              </w:rPr>
            </w:pPr>
            <w:r>
              <w:rPr>
                <w:b/>
                <w:bCs/>
                <w:color w:val="0000CC"/>
                <w:sz w:val="19"/>
                <w:szCs w:val="19"/>
              </w:rPr>
              <w:t>“CONFIDENCIAL POR LEY (256</w:t>
            </w:r>
            <w:r w:rsidR="00721CCE" w:rsidRPr="00406592">
              <w:rPr>
                <w:b/>
                <w:bCs/>
                <w:color w:val="0000CC"/>
                <w:sz w:val="19"/>
                <w:szCs w:val="19"/>
              </w:rPr>
              <w:t>)”</w:t>
            </w:r>
          </w:p>
        </w:tc>
      </w:tr>
      <w:tr w:rsidR="00721CCE" w:rsidRPr="00D30BB2" w14:paraId="17253E84" w14:textId="77777777" w:rsidTr="00687E53">
        <w:trPr>
          <w:jc w:val="center"/>
        </w:trPr>
        <w:tc>
          <w:tcPr>
            <w:tcW w:w="3144" w:type="dxa"/>
          </w:tcPr>
          <w:p w14:paraId="230FDF49" w14:textId="64C9A56D" w:rsidR="00721CCE" w:rsidRPr="00D30BB2" w:rsidRDefault="00721CCE" w:rsidP="00721CCE">
            <w:pPr>
              <w:spacing w:before="0" w:after="0"/>
              <w:jc w:val="left"/>
              <w:rPr>
                <w:rFonts w:eastAsia="Times New Roman"/>
                <w:color w:val="000000"/>
                <w:sz w:val="18"/>
                <w:szCs w:val="18"/>
                <w:highlight w:val="cyan"/>
              </w:rPr>
            </w:pPr>
            <w:r w:rsidRPr="00A43577">
              <w:rPr>
                <w:b/>
                <w:bCs/>
                <w:color w:val="0000CC"/>
                <w:sz w:val="19"/>
                <w:szCs w:val="19"/>
              </w:rPr>
              <w:t xml:space="preserve">“CONFIDENCIAL POR LEY </w:t>
            </w:r>
            <w:r w:rsidR="00687E53">
              <w:rPr>
                <w:b/>
                <w:bCs/>
                <w:color w:val="0000CC"/>
                <w:sz w:val="19"/>
                <w:szCs w:val="19"/>
              </w:rPr>
              <w:t>(257</w:t>
            </w:r>
            <w:r w:rsidRPr="00A43577">
              <w:rPr>
                <w:b/>
                <w:bCs/>
                <w:color w:val="0000CC"/>
                <w:sz w:val="19"/>
                <w:szCs w:val="19"/>
              </w:rPr>
              <w:t>)”</w:t>
            </w:r>
          </w:p>
        </w:tc>
        <w:tc>
          <w:tcPr>
            <w:tcW w:w="3144" w:type="dxa"/>
            <w:tcBorders>
              <w:top w:val="single" w:sz="4" w:space="0" w:color="auto"/>
              <w:left w:val="single" w:sz="4" w:space="0" w:color="auto"/>
              <w:bottom w:val="single" w:sz="4" w:space="0" w:color="auto"/>
              <w:right w:val="single" w:sz="4" w:space="0" w:color="auto"/>
            </w:tcBorders>
          </w:tcPr>
          <w:p w14:paraId="32F5B4C8" w14:textId="4FB82C3E" w:rsidR="00721CCE" w:rsidRPr="00D30BB2" w:rsidRDefault="00687E53" w:rsidP="00721CCE">
            <w:pPr>
              <w:spacing w:before="0" w:after="0"/>
              <w:jc w:val="right"/>
              <w:rPr>
                <w:rFonts w:eastAsia="Times New Roman"/>
                <w:color w:val="000000"/>
                <w:sz w:val="18"/>
                <w:szCs w:val="18"/>
                <w:highlight w:val="cyan"/>
              </w:rPr>
            </w:pPr>
            <w:r>
              <w:rPr>
                <w:b/>
                <w:bCs/>
                <w:color w:val="0000CC"/>
                <w:sz w:val="19"/>
                <w:szCs w:val="19"/>
              </w:rPr>
              <w:t>“CONFIDENCIAL POR LEY (258</w:t>
            </w:r>
            <w:r w:rsidR="00721CCE" w:rsidRPr="00406592">
              <w:rPr>
                <w:b/>
                <w:bCs/>
                <w:color w:val="0000CC"/>
                <w:sz w:val="19"/>
                <w:szCs w:val="19"/>
              </w:rPr>
              <w:t>)”</w:t>
            </w:r>
          </w:p>
        </w:tc>
      </w:tr>
      <w:tr w:rsidR="00721CCE" w:rsidRPr="00D30BB2" w14:paraId="1C0D09C7" w14:textId="77777777" w:rsidTr="00687E53">
        <w:trPr>
          <w:jc w:val="center"/>
        </w:trPr>
        <w:tc>
          <w:tcPr>
            <w:tcW w:w="3144" w:type="dxa"/>
          </w:tcPr>
          <w:p w14:paraId="0ADC09F9" w14:textId="469708B9" w:rsidR="00721CCE" w:rsidRPr="00D30BB2" w:rsidRDefault="00687E53" w:rsidP="00721CCE">
            <w:pPr>
              <w:spacing w:before="0" w:after="0"/>
              <w:jc w:val="left"/>
              <w:rPr>
                <w:rFonts w:eastAsia="Times New Roman"/>
                <w:color w:val="000000"/>
                <w:sz w:val="18"/>
                <w:szCs w:val="18"/>
                <w:highlight w:val="cyan"/>
              </w:rPr>
            </w:pPr>
            <w:r>
              <w:rPr>
                <w:b/>
                <w:bCs/>
                <w:color w:val="0000CC"/>
                <w:sz w:val="19"/>
                <w:szCs w:val="19"/>
              </w:rPr>
              <w:t>“CONFIDENCIAL POR LEY (259</w:t>
            </w:r>
            <w:r w:rsidR="00721CCE" w:rsidRPr="00A43577">
              <w:rPr>
                <w:b/>
                <w:bCs/>
                <w:color w:val="0000CC"/>
                <w:sz w:val="19"/>
                <w:szCs w:val="19"/>
              </w:rPr>
              <w:t>)”</w:t>
            </w:r>
          </w:p>
        </w:tc>
        <w:tc>
          <w:tcPr>
            <w:tcW w:w="3144" w:type="dxa"/>
            <w:tcBorders>
              <w:top w:val="single" w:sz="4" w:space="0" w:color="auto"/>
              <w:left w:val="single" w:sz="4" w:space="0" w:color="auto"/>
              <w:bottom w:val="single" w:sz="4" w:space="0" w:color="auto"/>
              <w:right w:val="single" w:sz="4" w:space="0" w:color="auto"/>
            </w:tcBorders>
          </w:tcPr>
          <w:p w14:paraId="36775BE4" w14:textId="1EB9BED8" w:rsidR="00721CCE" w:rsidRPr="00D30BB2" w:rsidRDefault="00687E53" w:rsidP="00721CCE">
            <w:pPr>
              <w:spacing w:before="0" w:after="0"/>
              <w:jc w:val="right"/>
              <w:rPr>
                <w:rFonts w:eastAsia="Times New Roman"/>
                <w:color w:val="000000"/>
                <w:sz w:val="18"/>
                <w:szCs w:val="18"/>
                <w:highlight w:val="cyan"/>
              </w:rPr>
            </w:pPr>
            <w:r>
              <w:rPr>
                <w:b/>
                <w:bCs/>
                <w:color w:val="0000CC"/>
                <w:sz w:val="19"/>
                <w:szCs w:val="19"/>
              </w:rPr>
              <w:t>“CONFIDENCIAL POR LEY (260</w:t>
            </w:r>
            <w:r w:rsidR="00721CCE" w:rsidRPr="00406592">
              <w:rPr>
                <w:b/>
                <w:bCs/>
                <w:color w:val="0000CC"/>
                <w:sz w:val="19"/>
                <w:szCs w:val="19"/>
              </w:rPr>
              <w:t>)”</w:t>
            </w:r>
          </w:p>
        </w:tc>
      </w:tr>
      <w:tr w:rsidR="00721CCE" w:rsidRPr="00D30BB2" w14:paraId="2063DB2D" w14:textId="77777777" w:rsidTr="00687E53">
        <w:trPr>
          <w:jc w:val="center"/>
        </w:trPr>
        <w:tc>
          <w:tcPr>
            <w:tcW w:w="3144" w:type="dxa"/>
          </w:tcPr>
          <w:p w14:paraId="3B3CE9DD" w14:textId="7E0A2F5A" w:rsidR="00721CCE" w:rsidRPr="00D30BB2" w:rsidRDefault="00687E53" w:rsidP="00721CCE">
            <w:pPr>
              <w:spacing w:before="0" w:after="0"/>
              <w:jc w:val="left"/>
              <w:rPr>
                <w:rFonts w:eastAsia="Times New Roman"/>
                <w:color w:val="000000"/>
                <w:sz w:val="18"/>
                <w:szCs w:val="18"/>
                <w:highlight w:val="cyan"/>
              </w:rPr>
            </w:pPr>
            <w:r>
              <w:rPr>
                <w:b/>
                <w:bCs/>
                <w:color w:val="0000CC"/>
                <w:sz w:val="19"/>
                <w:szCs w:val="19"/>
              </w:rPr>
              <w:t>“CONFIDENCIAL POR LEY (261</w:t>
            </w:r>
            <w:r w:rsidR="00721CCE" w:rsidRPr="00A43577">
              <w:rPr>
                <w:b/>
                <w:bCs/>
                <w:color w:val="0000CC"/>
                <w:sz w:val="19"/>
                <w:szCs w:val="19"/>
              </w:rPr>
              <w:t>)”</w:t>
            </w:r>
          </w:p>
        </w:tc>
        <w:tc>
          <w:tcPr>
            <w:tcW w:w="3144" w:type="dxa"/>
            <w:tcBorders>
              <w:top w:val="single" w:sz="4" w:space="0" w:color="auto"/>
              <w:left w:val="single" w:sz="4" w:space="0" w:color="auto"/>
              <w:bottom w:val="single" w:sz="4" w:space="0" w:color="auto"/>
              <w:right w:val="single" w:sz="4" w:space="0" w:color="auto"/>
            </w:tcBorders>
          </w:tcPr>
          <w:p w14:paraId="2AE4A392" w14:textId="0F08AE17" w:rsidR="00721CCE" w:rsidRPr="00D30BB2" w:rsidRDefault="00687E53" w:rsidP="00721CCE">
            <w:pPr>
              <w:spacing w:before="0" w:after="0"/>
              <w:jc w:val="right"/>
              <w:rPr>
                <w:rFonts w:eastAsia="Times New Roman"/>
                <w:color w:val="000000"/>
                <w:sz w:val="18"/>
                <w:szCs w:val="18"/>
                <w:highlight w:val="cyan"/>
              </w:rPr>
            </w:pPr>
            <w:r>
              <w:rPr>
                <w:b/>
                <w:bCs/>
                <w:color w:val="0000CC"/>
                <w:sz w:val="19"/>
                <w:szCs w:val="19"/>
              </w:rPr>
              <w:t>“CONFIDENCIAL POR LEY (262</w:t>
            </w:r>
            <w:r w:rsidR="00721CCE" w:rsidRPr="00406592">
              <w:rPr>
                <w:b/>
                <w:bCs/>
                <w:color w:val="0000CC"/>
                <w:sz w:val="19"/>
                <w:szCs w:val="19"/>
              </w:rPr>
              <w:t>)”</w:t>
            </w:r>
          </w:p>
        </w:tc>
      </w:tr>
      <w:tr w:rsidR="00721CCE" w:rsidRPr="00D30BB2" w14:paraId="0E38CF8F" w14:textId="77777777" w:rsidTr="00687E53">
        <w:trPr>
          <w:jc w:val="center"/>
        </w:trPr>
        <w:tc>
          <w:tcPr>
            <w:tcW w:w="3144" w:type="dxa"/>
          </w:tcPr>
          <w:p w14:paraId="31DC1D99" w14:textId="4F34BA96" w:rsidR="00721CCE" w:rsidRPr="00D30BB2" w:rsidRDefault="00687E53" w:rsidP="00721CCE">
            <w:pPr>
              <w:spacing w:before="0" w:after="0"/>
              <w:jc w:val="left"/>
              <w:rPr>
                <w:rFonts w:eastAsia="Times New Roman"/>
                <w:color w:val="000000"/>
                <w:sz w:val="18"/>
                <w:szCs w:val="18"/>
                <w:highlight w:val="cyan"/>
              </w:rPr>
            </w:pPr>
            <w:r>
              <w:rPr>
                <w:b/>
                <w:bCs/>
                <w:color w:val="0000CC"/>
                <w:sz w:val="19"/>
                <w:szCs w:val="19"/>
              </w:rPr>
              <w:t>“CONFIDENCIAL POR LEY (263</w:t>
            </w:r>
            <w:r w:rsidR="00721CCE" w:rsidRPr="00A43577">
              <w:rPr>
                <w:b/>
                <w:bCs/>
                <w:color w:val="0000CC"/>
                <w:sz w:val="19"/>
                <w:szCs w:val="19"/>
              </w:rPr>
              <w:t>)”</w:t>
            </w:r>
          </w:p>
        </w:tc>
        <w:tc>
          <w:tcPr>
            <w:tcW w:w="3144" w:type="dxa"/>
            <w:tcBorders>
              <w:top w:val="single" w:sz="4" w:space="0" w:color="auto"/>
              <w:left w:val="single" w:sz="4" w:space="0" w:color="auto"/>
              <w:bottom w:val="single" w:sz="4" w:space="0" w:color="auto"/>
              <w:right w:val="single" w:sz="4" w:space="0" w:color="auto"/>
            </w:tcBorders>
          </w:tcPr>
          <w:p w14:paraId="64683EA9" w14:textId="6DBE7FA0" w:rsidR="00721CCE" w:rsidRPr="00D30BB2" w:rsidRDefault="00687E53" w:rsidP="00721CCE">
            <w:pPr>
              <w:spacing w:before="0" w:after="0"/>
              <w:jc w:val="right"/>
              <w:rPr>
                <w:rFonts w:eastAsia="Times New Roman"/>
                <w:color w:val="000000"/>
                <w:sz w:val="18"/>
                <w:szCs w:val="18"/>
                <w:highlight w:val="cyan"/>
              </w:rPr>
            </w:pPr>
            <w:r>
              <w:rPr>
                <w:b/>
                <w:bCs/>
                <w:color w:val="0000CC"/>
                <w:sz w:val="19"/>
                <w:szCs w:val="19"/>
              </w:rPr>
              <w:t>“CONFIDENCIAL POR LEY (264</w:t>
            </w:r>
            <w:r w:rsidR="00721CCE" w:rsidRPr="00406592">
              <w:rPr>
                <w:b/>
                <w:bCs/>
                <w:color w:val="0000CC"/>
                <w:sz w:val="19"/>
                <w:szCs w:val="19"/>
              </w:rPr>
              <w:t>)”</w:t>
            </w:r>
          </w:p>
        </w:tc>
      </w:tr>
      <w:tr w:rsidR="00721CCE" w:rsidRPr="00D30BB2" w14:paraId="5272086B" w14:textId="77777777" w:rsidTr="00687E53">
        <w:trPr>
          <w:jc w:val="center"/>
        </w:trPr>
        <w:tc>
          <w:tcPr>
            <w:tcW w:w="3144" w:type="dxa"/>
          </w:tcPr>
          <w:p w14:paraId="347F6596" w14:textId="59BB14AC" w:rsidR="00721CCE" w:rsidRPr="00D30BB2" w:rsidRDefault="00721CCE" w:rsidP="00687E53">
            <w:pPr>
              <w:spacing w:before="0" w:after="0"/>
              <w:jc w:val="left"/>
              <w:rPr>
                <w:rFonts w:eastAsia="Times New Roman"/>
                <w:color w:val="000000"/>
                <w:sz w:val="18"/>
                <w:szCs w:val="18"/>
                <w:highlight w:val="cyan"/>
              </w:rPr>
            </w:pPr>
            <w:r w:rsidRPr="00A43577">
              <w:rPr>
                <w:b/>
                <w:bCs/>
                <w:color w:val="0000CC"/>
                <w:sz w:val="19"/>
                <w:szCs w:val="19"/>
              </w:rPr>
              <w:t>“CONFIDENCIAL POR LEY (</w:t>
            </w:r>
            <w:r w:rsidR="00687E53">
              <w:rPr>
                <w:b/>
                <w:bCs/>
                <w:color w:val="0000CC"/>
                <w:sz w:val="19"/>
                <w:szCs w:val="19"/>
              </w:rPr>
              <w:t>265</w:t>
            </w:r>
            <w:r w:rsidRPr="00A43577">
              <w:rPr>
                <w:b/>
                <w:bCs/>
                <w:color w:val="0000CC"/>
                <w:sz w:val="19"/>
                <w:szCs w:val="19"/>
              </w:rPr>
              <w:t>)”</w:t>
            </w:r>
          </w:p>
        </w:tc>
        <w:tc>
          <w:tcPr>
            <w:tcW w:w="3144" w:type="dxa"/>
            <w:tcBorders>
              <w:top w:val="single" w:sz="4" w:space="0" w:color="auto"/>
              <w:left w:val="single" w:sz="4" w:space="0" w:color="auto"/>
              <w:bottom w:val="single" w:sz="4" w:space="0" w:color="auto"/>
              <w:right w:val="single" w:sz="4" w:space="0" w:color="auto"/>
            </w:tcBorders>
          </w:tcPr>
          <w:p w14:paraId="1668EDA8" w14:textId="219E1F03" w:rsidR="00721CCE" w:rsidRPr="00D30BB2" w:rsidRDefault="00721CCE" w:rsidP="00721CCE">
            <w:pPr>
              <w:spacing w:before="0" w:after="0"/>
              <w:jc w:val="right"/>
              <w:rPr>
                <w:rFonts w:eastAsia="Times New Roman"/>
                <w:color w:val="000000"/>
                <w:sz w:val="18"/>
                <w:szCs w:val="18"/>
                <w:highlight w:val="cyan"/>
              </w:rPr>
            </w:pPr>
            <w:r w:rsidRPr="00406592">
              <w:rPr>
                <w:b/>
                <w:bCs/>
                <w:color w:val="0000CC"/>
                <w:sz w:val="19"/>
                <w:szCs w:val="19"/>
              </w:rPr>
              <w:t>“</w:t>
            </w:r>
            <w:r w:rsidR="00687E53">
              <w:rPr>
                <w:b/>
                <w:bCs/>
                <w:color w:val="0000CC"/>
                <w:sz w:val="19"/>
                <w:szCs w:val="19"/>
              </w:rPr>
              <w:t>CONFIDENCIAL POR LEY (266</w:t>
            </w:r>
            <w:r w:rsidRPr="00406592">
              <w:rPr>
                <w:b/>
                <w:bCs/>
                <w:color w:val="0000CC"/>
                <w:sz w:val="19"/>
                <w:szCs w:val="19"/>
              </w:rPr>
              <w:t>)”</w:t>
            </w:r>
          </w:p>
        </w:tc>
      </w:tr>
      <w:tr w:rsidR="00721CCE" w:rsidRPr="00D30BB2" w14:paraId="4BCD037D" w14:textId="77777777" w:rsidTr="00687E53">
        <w:trPr>
          <w:jc w:val="center"/>
        </w:trPr>
        <w:tc>
          <w:tcPr>
            <w:tcW w:w="3144" w:type="dxa"/>
          </w:tcPr>
          <w:p w14:paraId="7BB9C829" w14:textId="30497E41" w:rsidR="00721CCE" w:rsidRPr="00D30BB2" w:rsidRDefault="00721CCE" w:rsidP="00721CCE">
            <w:pPr>
              <w:spacing w:before="0" w:after="0"/>
              <w:jc w:val="left"/>
              <w:rPr>
                <w:rFonts w:eastAsia="Times New Roman"/>
                <w:color w:val="000000"/>
                <w:sz w:val="18"/>
                <w:szCs w:val="18"/>
                <w:highlight w:val="cyan"/>
              </w:rPr>
            </w:pPr>
            <w:r w:rsidRPr="00A43577">
              <w:rPr>
                <w:b/>
                <w:bCs/>
                <w:color w:val="0000CC"/>
                <w:sz w:val="19"/>
                <w:szCs w:val="19"/>
              </w:rPr>
              <w:t>“CO</w:t>
            </w:r>
            <w:r w:rsidR="00687E53">
              <w:rPr>
                <w:b/>
                <w:bCs/>
                <w:color w:val="0000CC"/>
                <w:sz w:val="19"/>
                <w:szCs w:val="19"/>
              </w:rPr>
              <w:t>NFIDENCIAL POR LEY (267</w:t>
            </w:r>
            <w:r w:rsidRPr="00A43577">
              <w:rPr>
                <w:b/>
                <w:bCs/>
                <w:color w:val="0000CC"/>
                <w:sz w:val="19"/>
                <w:szCs w:val="19"/>
              </w:rPr>
              <w:t>)”</w:t>
            </w:r>
          </w:p>
        </w:tc>
        <w:tc>
          <w:tcPr>
            <w:tcW w:w="3144" w:type="dxa"/>
            <w:tcBorders>
              <w:top w:val="single" w:sz="4" w:space="0" w:color="auto"/>
              <w:left w:val="single" w:sz="4" w:space="0" w:color="auto"/>
              <w:bottom w:val="single" w:sz="4" w:space="0" w:color="auto"/>
              <w:right w:val="single" w:sz="4" w:space="0" w:color="auto"/>
            </w:tcBorders>
          </w:tcPr>
          <w:p w14:paraId="2140BE30" w14:textId="64D1A77A" w:rsidR="00721CCE" w:rsidRPr="00D30BB2" w:rsidRDefault="00687E53" w:rsidP="00721CCE">
            <w:pPr>
              <w:spacing w:before="0" w:after="0"/>
              <w:jc w:val="right"/>
              <w:rPr>
                <w:rFonts w:eastAsia="Times New Roman"/>
                <w:color w:val="000000"/>
                <w:sz w:val="18"/>
                <w:szCs w:val="18"/>
                <w:highlight w:val="cyan"/>
              </w:rPr>
            </w:pPr>
            <w:r>
              <w:rPr>
                <w:b/>
                <w:bCs/>
                <w:color w:val="0000CC"/>
                <w:sz w:val="19"/>
                <w:szCs w:val="19"/>
              </w:rPr>
              <w:t>“CONFIDENCIAL POR LEY (268</w:t>
            </w:r>
            <w:r w:rsidR="00721CCE" w:rsidRPr="00406592">
              <w:rPr>
                <w:b/>
                <w:bCs/>
                <w:color w:val="0000CC"/>
                <w:sz w:val="19"/>
                <w:szCs w:val="19"/>
              </w:rPr>
              <w:t>)”</w:t>
            </w:r>
          </w:p>
        </w:tc>
      </w:tr>
      <w:tr w:rsidR="00721CCE" w:rsidRPr="00D30BB2" w14:paraId="395964AE" w14:textId="77777777" w:rsidTr="00687E53">
        <w:trPr>
          <w:jc w:val="center"/>
        </w:trPr>
        <w:tc>
          <w:tcPr>
            <w:tcW w:w="3144" w:type="dxa"/>
          </w:tcPr>
          <w:p w14:paraId="130BBA44" w14:textId="4F0453C3" w:rsidR="00721CCE" w:rsidRPr="00D30BB2" w:rsidRDefault="00687E53" w:rsidP="00721CCE">
            <w:pPr>
              <w:spacing w:before="0" w:after="0"/>
              <w:jc w:val="left"/>
              <w:rPr>
                <w:rFonts w:eastAsia="Times New Roman"/>
                <w:color w:val="000000"/>
                <w:sz w:val="18"/>
                <w:szCs w:val="18"/>
                <w:highlight w:val="cyan"/>
              </w:rPr>
            </w:pPr>
            <w:r>
              <w:rPr>
                <w:b/>
                <w:bCs/>
                <w:color w:val="0000CC"/>
                <w:sz w:val="19"/>
                <w:szCs w:val="19"/>
              </w:rPr>
              <w:t>“CONFIDENCIAL POR LEY (269</w:t>
            </w:r>
            <w:r w:rsidR="00721CCE" w:rsidRPr="00A43577">
              <w:rPr>
                <w:b/>
                <w:bCs/>
                <w:color w:val="0000CC"/>
                <w:sz w:val="19"/>
                <w:szCs w:val="19"/>
              </w:rPr>
              <w:t>)”</w:t>
            </w:r>
          </w:p>
        </w:tc>
        <w:tc>
          <w:tcPr>
            <w:tcW w:w="3144" w:type="dxa"/>
            <w:tcBorders>
              <w:top w:val="single" w:sz="4" w:space="0" w:color="auto"/>
              <w:left w:val="single" w:sz="4" w:space="0" w:color="auto"/>
              <w:bottom w:val="single" w:sz="4" w:space="0" w:color="auto"/>
              <w:right w:val="single" w:sz="4" w:space="0" w:color="auto"/>
            </w:tcBorders>
          </w:tcPr>
          <w:p w14:paraId="43F56CBD" w14:textId="3703C22E" w:rsidR="00721CCE" w:rsidRPr="00D30BB2" w:rsidRDefault="00687E53" w:rsidP="00721CCE">
            <w:pPr>
              <w:spacing w:before="0" w:after="0"/>
              <w:jc w:val="right"/>
              <w:rPr>
                <w:rFonts w:eastAsia="Times New Roman"/>
                <w:color w:val="000000"/>
                <w:sz w:val="18"/>
                <w:szCs w:val="18"/>
                <w:highlight w:val="cyan"/>
              </w:rPr>
            </w:pPr>
            <w:r>
              <w:rPr>
                <w:b/>
                <w:bCs/>
                <w:color w:val="0000CC"/>
                <w:sz w:val="19"/>
                <w:szCs w:val="19"/>
              </w:rPr>
              <w:t>“CONFIDENCIAL POR LEY (270</w:t>
            </w:r>
            <w:r w:rsidR="00721CCE" w:rsidRPr="00406592">
              <w:rPr>
                <w:b/>
                <w:bCs/>
                <w:color w:val="0000CC"/>
                <w:sz w:val="19"/>
                <w:szCs w:val="19"/>
              </w:rPr>
              <w:t>)”</w:t>
            </w:r>
          </w:p>
        </w:tc>
      </w:tr>
      <w:tr w:rsidR="00721CCE" w:rsidRPr="00D30BB2" w14:paraId="47DC4BC2" w14:textId="77777777" w:rsidTr="00687E53">
        <w:trPr>
          <w:jc w:val="center"/>
        </w:trPr>
        <w:tc>
          <w:tcPr>
            <w:tcW w:w="3144" w:type="dxa"/>
          </w:tcPr>
          <w:p w14:paraId="35782EC5" w14:textId="46F85504" w:rsidR="00721CCE" w:rsidRPr="00D30BB2" w:rsidRDefault="00687E53" w:rsidP="00721CCE">
            <w:pPr>
              <w:spacing w:before="0" w:after="0"/>
              <w:jc w:val="left"/>
              <w:rPr>
                <w:rFonts w:eastAsia="Times New Roman"/>
                <w:color w:val="000000"/>
                <w:sz w:val="18"/>
                <w:szCs w:val="18"/>
                <w:highlight w:val="cyan"/>
              </w:rPr>
            </w:pPr>
            <w:r>
              <w:rPr>
                <w:b/>
                <w:bCs/>
                <w:color w:val="0000CC"/>
                <w:sz w:val="19"/>
                <w:szCs w:val="19"/>
              </w:rPr>
              <w:t>“CONFIDENCIAL POR LEY (271</w:t>
            </w:r>
            <w:r w:rsidR="00721CCE" w:rsidRPr="00A43577">
              <w:rPr>
                <w:b/>
                <w:bCs/>
                <w:color w:val="0000CC"/>
                <w:sz w:val="19"/>
                <w:szCs w:val="19"/>
              </w:rPr>
              <w:t>)”</w:t>
            </w:r>
          </w:p>
        </w:tc>
        <w:tc>
          <w:tcPr>
            <w:tcW w:w="3144" w:type="dxa"/>
            <w:tcBorders>
              <w:top w:val="single" w:sz="4" w:space="0" w:color="auto"/>
              <w:left w:val="single" w:sz="4" w:space="0" w:color="auto"/>
              <w:bottom w:val="single" w:sz="4" w:space="0" w:color="auto"/>
              <w:right w:val="single" w:sz="4" w:space="0" w:color="auto"/>
            </w:tcBorders>
          </w:tcPr>
          <w:p w14:paraId="5EA700F3" w14:textId="42B391C8" w:rsidR="00721CCE" w:rsidRPr="00D30BB2" w:rsidRDefault="00687E53" w:rsidP="00721CCE">
            <w:pPr>
              <w:spacing w:before="0" w:after="0"/>
              <w:jc w:val="right"/>
              <w:rPr>
                <w:rFonts w:eastAsia="Times New Roman"/>
                <w:color w:val="000000"/>
                <w:sz w:val="18"/>
                <w:szCs w:val="18"/>
                <w:highlight w:val="cyan"/>
              </w:rPr>
            </w:pPr>
            <w:r>
              <w:rPr>
                <w:b/>
                <w:bCs/>
                <w:color w:val="0000CC"/>
                <w:sz w:val="19"/>
                <w:szCs w:val="19"/>
              </w:rPr>
              <w:t>“CONFIDENCIAL POR LEY (272</w:t>
            </w:r>
            <w:r w:rsidR="00721CCE" w:rsidRPr="00406592">
              <w:rPr>
                <w:b/>
                <w:bCs/>
                <w:color w:val="0000CC"/>
                <w:sz w:val="19"/>
                <w:szCs w:val="19"/>
              </w:rPr>
              <w:t>)”</w:t>
            </w:r>
          </w:p>
        </w:tc>
      </w:tr>
      <w:tr w:rsidR="00721CCE" w:rsidRPr="00D30BB2" w14:paraId="2FD3F4DF" w14:textId="77777777" w:rsidTr="00687E53">
        <w:trPr>
          <w:jc w:val="center"/>
        </w:trPr>
        <w:tc>
          <w:tcPr>
            <w:tcW w:w="3144" w:type="dxa"/>
          </w:tcPr>
          <w:p w14:paraId="69533760" w14:textId="47F9244F" w:rsidR="00721CCE" w:rsidRPr="00D30BB2" w:rsidRDefault="00687E53" w:rsidP="00721CCE">
            <w:pPr>
              <w:spacing w:before="0" w:after="0"/>
              <w:jc w:val="left"/>
              <w:rPr>
                <w:rFonts w:eastAsia="Times New Roman"/>
                <w:color w:val="000000"/>
                <w:sz w:val="18"/>
                <w:szCs w:val="18"/>
                <w:highlight w:val="cyan"/>
              </w:rPr>
            </w:pPr>
            <w:r>
              <w:rPr>
                <w:b/>
                <w:bCs/>
                <w:color w:val="0000CC"/>
                <w:sz w:val="19"/>
                <w:szCs w:val="19"/>
              </w:rPr>
              <w:t>“CONFIDENCIAL POR LEY (273</w:t>
            </w:r>
            <w:r w:rsidR="00721CCE" w:rsidRPr="00A43577">
              <w:rPr>
                <w:b/>
                <w:bCs/>
                <w:color w:val="0000CC"/>
                <w:sz w:val="19"/>
                <w:szCs w:val="19"/>
              </w:rPr>
              <w:t>)”</w:t>
            </w:r>
          </w:p>
        </w:tc>
        <w:tc>
          <w:tcPr>
            <w:tcW w:w="3144" w:type="dxa"/>
            <w:tcBorders>
              <w:top w:val="single" w:sz="4" w:space="0" w:color="auto"/>
              <w:left w:val="single" w:sz="4" w:space="0" w:color="auto"/>
              <w:bottom w:val="single" w:sz="4" w:space="0" w:color="auto"/>
              <w:right w:val="single" w:sz="4" w:space="0" w:color="auto"/>
            </w:tcBorders>
          </w:tcPr>
          <w:p w14:paraId="38805F47" w14:textId="102123F6" w:rsidR="00721CCE" w:rsidRPr="00D30BB2" w:rsidRDefault="00687E53" w:rsidP="00721CCE">
            <w:pPr>
              <w:spacing w:before="0" w:after="0"/>
              <w:jc w:val="right"/>
              <w:rPr>
                <w:rFonts w:eastAsia="Times New Roman"/>
                <w:color w:val="000000"/>
                <w:sz w:val="18"/>
                <w:szCs w:val="18"/>
                <w:highlight w:val="cyan"/>
              </w:rPr>
            </w:pPr>
            <w:r>
              <w:rPr>
                <w:b/>
                <w:bCs/>
                <w:color w:val="0000CC"/>
                <w:sz w:val="19"/>
                <w:szCs w:val="19"/>
              </w:rPr>
              <w:t>“CONFIDENCIAL POR LEY (274</w:t>
            </w:r>
            <w:r w:rsidR="00721CCE" w:rsidRPr="00406592">
              <w:rPr>
                <w:b/>
                <w:bCs/>
                <w:color w:val="0000CC"/>
                <w:sz w:val="19"/>
                <w:szCs w:val="19"/>
              </w:rPr>
              <w:t>)”</w:t>
            </w:r>
          </w:p>
        </w:tc>
      </w:tr>
      <w:tr w:rsidR="00721CCE" w:rsidRPr="00D30BB2" w14:paraId="7D889EED" w14:textId="77777777" w:rsidTr="00687E53">
        <w:trPr>
          <w:jc w:val="center"/>
        </w:trPr>
        <w:tc>
          <w:tcPr>
            <w:tcW w:w="3144" w:type="dxa"/>
          </w:tcPr>
          <w:p w14:paraId="7165CCD3" w14:textId="7EE6ABF6" w:rsidR="00721CCE" w:rsidRPr="00D30BB2" w:rsidRDefault="00687E53" w:rsidP="00721CCE">
            <w:pPr>
              <w:spacing w:before="0" w:after="0"/>
              <w:jc w:val="left"/>
              <w:rPr>
                <w:rFonts w:eastAsia="Times New Roman"/>
                <w:color w:val="000000"/>
                <w:sz w:val="18"/>
                <w:szCs w:val="18"/>
                <w:highlight w:val="cyan"/>
              </w:rPr>
            </w:pPr>
            <w:r>
              <w:rPr>
                <w:b/>
                <w:bCs/>
                <w:color w:val="0000CC"/>
                <w:sz w:val="19"/>
                <w:szCs w:val="19"/>
              </w:rPr>
              <w:t>“CONFIDENCIAL POR LEY (275</w:t>
            </w:r>
            <w:r w:rsidR="00721CCE" w:rsidRPr="00A43577">
              <w:rPr>
                <w:b/>
                <w:bCs/>
                <w:color w:val="0000CC"/>
                <w:sz w:val="19"/>
                <w:szCs w:val="19"/>
              </w:rPr>
              <w:t>)”</w:t>
            </w:r>
          </w:p>
        </w:tc>
        <w:tc>
          <w:tcPr>
            <w:tcW w:w="3144" w:type="dxa"/>
            <w:tcBorders>
              <w:top w:val="single" w:sz="4" w:space="0" w:color="auto"/>
              <w:left w:val="single" w:sz="4" w:space="0" w:color="auto"/>
              <w:bottom w:val="single" w:sz="4" w:space="0" w:color="auto"/>
              <w:right w:val="single" w:sz="4" w:space="0" w:color="auto"/>
            </w:tcBorders>
          </w:tcPr>
          <w:p w14:paraId="696FB53C" w14:textId="2AC973FD" w:rsidR="00721CCE" w:rsidRPr="00D30BB2" w:rsidRDefault="00721CCE" w:rsidP="00721CCE">
            <w:pPr>
              <w:spacing w:before="0" w:after="0"/>
              <w:jc w:val="right"/>
              <w:rPr>
                <w:rFonts w:eastAsia="Times New Roman"/>
                <w:color w:val="000000"/>
                <w:sz w:val="18"/>
                <w:szCs w:val="18"/>
                <w:highlight w:val="cyan"/>
              </w:rPr>
            </w:pPr>
            <w:r w:rsidRPr="00406592">
              <w:rPr>
                <w:b/>
                <w:bCs/>
                <w:color w:val="0000CC"/>
                <w:sz w:val="19"/>
                <w:szCs w:val="19"/>
              </w:rPr>
              <w:t>“CONFIDENCIA</w:t>
            </w:r>
            <w:r w:rsidR="00687E53">
              <w:rPr>
                <w:b/>
                <w:bCs/>
                <w:color w:val="0000CC"/>
                <w:sz w:val="19"/>
                <w:szCs w:val="19"/>
              </w:rPr>
              <w:t>L POR LEY (276</w:t>
            </w:r>
            <w:r w:rsidRPr="00406592">
              <w:rPr>
                <w:b/>
                <w:bCs/>
                <w:color w:val="0000CC"/>
                <w:sz w:val="19"/>
                <w:szCs w:val="19"/>
              </w:rPr>
              <w:t>)”</w:t>
            </w:r>
          </w:p>
        </w:tc>
      </w:tr>
      <w:tr w:rsidR="00721CCE" w:rsidRPr="00D30BB2" w14:paraId="08809FA3" w14:textId="77777777" w:rsidTr="00687E53">
        <w:trPr>
          <w:jc w:val="center"/>
        </w:trPr>
        <w:tc>
          <w:tcPr>
            <w:tcW w:w="3144" w:type="dxa"/>
          </w:tcPr>
          <w:p w14:paraId="7D45EC05" w14:textId="6881E937" w:rsidR="00721CCE" w:rsidRPr="00D30BB2" w:rsidRDefault="00687E53" w:rsidP="00721CCE">
            <w:pPr>
              <w:spacing w:before="0" w:after="0"/>
              <w:jc w:val="left"/>
              <w:rPr>
                <w:rFonts w:eastAsia="Times New Roman"/>
                <w:color w:val="000000"/>
                <w:sz w:val="18"/>
                <w:szCs w:val="18"/>
                <w:highlight w:val="cyan"/>
              </w:rPr>
            </w:pPr>
            <w:r>
              <w:rPr>
                <w:b/>
                <w:bCs/>
                <w:color w:val="0000CC"/>
                <w:sz w:val="19"/>
                <w:szCs w:val="19"/>
              </w:rPr>
              <w:t>“CONFIDENCIAL POR LEY (277</w:t>
            </w:r>
            <w:r w:rsidR="00721CCE" w:rsidRPr="00A43577">
              <w:rPr>
                <w:b/>
                <w:bCs/>
                <w:color w:val="0000CC"/>
                <w:sz w:val="19"/>
                <w:szCs w:val="19"/>
              </w:rPr>
              <w:t>)”</w:t>
            </w:r>
          </w:p>
        </w:tc>
        <w:tc>
          <w:tcPr>
            <w:tcW w:w="3144" w:type="dxa"/>
            <w:tcBorders>
              <w:top w:val="single" w:sz="4" w:space="0" w:color="auto"/>
              <w:left w:val="single" w:sz="4" w:space="0" w:color="auto"/>
              <w:bottom w:val="single" w:sz="4" w:space="0" w:color="auto"/>
              <w:right w:val="single" w:sz="4" w:space="0" w:color="auto"/>
            </w:tcBorders>
          </w:tcPr>
          <w:p w14:paraId="7E7C7AD1" w14:textId="7AAF9783" w:rsidR="00721CCE" w:rsidRPr="00D30BB2" w:rsidRDefault="00687E53" w:rsidP="00721CCE">
            <w:pPr>
              <w:spacing w:before="0" w:after="0"/>
              <w:jc w:val="right"/>
              <w:rPr>
                <w:rFonts w:eastAsia="Times New Roman"/>
                <w:color w:val="000000"/>
                <w:sz w:val="18"/>
                <w:szCs w:val="18"/>
                <w:highlight w:val="cyan"/>
              </w:rPr>
            </w:pPr>
            <w:r>
              <w:rPr>
                <w:b/>
                <w:bCs/>
                <w:color w:val="0000CC"/>
                <w:sz w:val="19"/>
                <w:szCs w:val="19"/>
              </w:rPr>
              <w:t>“CONFIDENCIAL POR LEY (278</w:t>
            </w:r>
            <w:r w:rsidR="00721CCE" w:rsidRPr="00406592">
              <w:rPr>
                <w:b/>
                <w:bCs/>
                <w:color w:val="0000CC"/>
                <w:sz w:val="19"/>
                <w:szCs w:val="19"/>
              </w:rPr>
              <w:t>)”</w:t>
            </w:r>
          </w:p>
        </w:tc>
      </w:tr>
      <w:tr w:rsidR="00721CCE" w:rsidRPr="00D30BB2" w14:paraId="7C80D5F7" w14:textId="77777777" w:rsidTr="00687E53">
        <w:trPr>
          <w:jc w:val="center"/>
        </w:trPr>
        <w:tc>
          <w:tcPr>
            <w:tcW w:w="3144" w:type="dxa"/>
          </w:tcPr>
          <w:p w14:paraId="4978DF7F" w14:textId="6A22A957" w:rsidR="00721CCE" w:rsidRPr="00D30BB2" w:rsidRDefault="00687E53" w:rsidP="00721CCE">
            <w:pPr>
              <w:spacing w:before="0" w:after="0"/>
              <w:jc w:val="left"/>
              <w:rPr>
                <w:rFonts w:eastAsia="Times New Roman"/>
                <w:color w:val="000000"/>
                <w:sz w:val="18"/>
                <w:szCs w:val="18"/>
                <w:highlight w:val="cyan"/>
              </w:rPr>
            </w:pPr>
            <w:r>
              <w:rPr>
                <w:b/>
                <w:bCs/>
                <w:color w:val="0000CC"/>
                <w:sz w:val="19"/>
                <w:szCs w:val="19"/>
              </w:rPr>
              <w:t>“CONFIDENCIAL POR LEY (279</w:t>
            </w:r>
            <w:r w:rsidR="00721CCE" w:rsidRPr="00A43577">
              <w:rPr>
                <w:b/>
                <w:bCs/>
                <w:color w:val="0000CC"/>
                <w:sz w:val="19"/>
                <w:szCs w:val="19"/>
              </w:rPr>
              <w:t>)”</w:t>
            </w:r>
          </w:p>
        </w:tc>
        <w:tc>
          <w:tcPr>
            <w:tcW w:w="3144" w:type="dxa"/>
            <w:tcBorders>
              <w:top w:val="single" w:sz="4" w:space="0" w:color="auto"/>
              <w:left w:val="single" w:sz="4" w:space="0" w:color="auto"/>
              <w:bottom w:val="single" w:sz="4" w:space="0" w:color="auto"/>
              <w:right w:val="single" w:sz="4" w:space="0" w:color="auto"/>
            </w:tcBorders>
          </w:tcPr>
          <w:p w14:paraId="3D22D637" w14:textId="443E2DA2" w:rsidR="00721CCE" w:rsidRPr="00D30BB2" w:rsidRDefault="00687E53" w:rsidP="00721CCE">
            <w:pPr>
              <w:spacing w:before="0" w:after="0"/>
              <w:jc w:val="right"/>
              <w:rPr>
                <w:rFonts w:eastAsia="Times New Roman"/>
                <w:color w:val="000000"/>
                <w:sz w:val="18"/>
                <w:szCs w:val="18"/>
                <w:highlight w:val="cyan"/>
              </w:rPr>
            </w:pPr>
            <w:r>
              <w:rPr>
                <w:b/>
                <w:bCs/>
                <w:color w:val="0000CC"/>
                <w:sz w:val="19"/>
                <w:szCs w:val="19"/>
              </w:rPr>
              <w:t>“CONFIDENCIAL POR LEY (280</w:t>
            </w:r>
            <w:r w:rsidR="00721CCE" w:rsidRPr="00406592">
              <w:rPr>
                <w:b/>
                <w:bCs/>
                <w:color w:val="0000CC"/>
                <w:sz w:val="19"/>
                <w:szCs w:val="19"/>
              </w:rPr>
              <w:t>)”</w:t>
            </w:r>
          </w:p>
        </w:tc>
      </w:tr>
      <w:tr w:rsidR="00721CCE" w:rsidRPr="005F7F9E" w14:paraId="066C1930" w14:textId="77777777" w:rsidTr="00687E53">
        <w:trPr>
          <w:jc w:val="center"/>
        </w:trPr>
        <w:tc>
          <w:tcPr>
            <w:tcW w:w="3144" w:type="dxa"/>
          </w:tcPr>
          <w:p w14:paraId="759D6AB3" w14:textId="316F6016" w:rsidR="00721CCE" w:rsidRPr="00D30BB2" w:rsidRDefault="00687E53" w:rsidP="00721CCE">
            <w:pPr>
              <w:spacing w:before="0" w:after="0"/>
              <w:jc w:val="left"/>
              <w:rPr>
                <w:rFonts w:eastAsia="Times New Roman"/>
                <w:color w:val="000000"/>
                <w:sz w:val="18"/>
                <w:szCs w:val="18"/>
                <w:highlight w:val="cyan"/>
              </w:rPr>
            </w:pPr>
            <w:r>
              <w:rPr>
                <w:b/>
                <w:bCs/>
                <w:color w:val="0000CC"/>
                <w:sz w:val="19"/>
                <w:szCs w:val="19"/>
              </w:rPr>
              <w:t>“CONFIDENCIAL POR LEY (281</w:t>
            </w:r>
            <w:r w:rsidR="00721CCE" w:rsidRPr="00A43577">
              <w:rPr>
                <w:b/>
                <w:bCs/>
                <w:color w:val="0000CC"/>
                <w:sz w:val="19"/>
                <w:szCs w:val="19"/>
              </w:rPr>
              <w:t>)”</w:t>
            </w:r>
          </w:p>
        </w:tc>
        <w:tc>
          <w:tcPr>
            <w:tcW w:w="3144" w:type="dxa"/>
            <w:tcBorders>
              <w:top w:val="single" w:sz="4" w:space="0" w:color="auto"/>
              <w:left w:val="single" w:sz="4" w:space="0" w:color="auto"/>
              <w:bottom w:val="single" w:sz="4" w:space="0" w:color="auto"/>
              <w:right w:val="single" w:sz="4" w:space="0" w:color="auto"/>
            </w:tcBorders>
          </w:tcPr>
          <w:p w14:paraId="33134C8A" w14:textId="40C62BCF" w:rsidR="00721CCE" w:rsidRPr="005F7F9E" w:rsidRDefault="00687E53" w:rsidP="00721CCE">
            <w:pPr>
              <w:spacing w:before="0" w:after="0"/>
              <w:jc w:val="right"/>
              <w:rPr>
                <w:rFonts w:eastAsia="Times New Roman"/>
                <w:color w:val="000000"/>
                <w:sz w:val="18"/>
                <w:szCs w:val="18"/>
              </w:rPr>
            </w:pPr>
            <w:r>
              <w:rPr>
                <w:b/>
                <w:bCs/>
                <w:color w:val="0000CC"/>
                <w:sz w:val="19"/>
                <w:szCs w:val="19"/>
              </w:rPr>
              <w:t>“CONFIDENCIAL POR LEY (282</w:t>
            </w:r>
            <w:r w:rsidR="00721CCE" w:rsidRPr="00406592">
              <w:rPr>
                <w:b/>
                <w:bCs/>
                <w:color w:val="0000CC"/>
                <w:sz w:val="19"/>
                <w:szCs w:val="19"/>
              </w:rPr>
              <w:t>)”</w:t>
            </w:r>
          </w:p>
        </w:tc>
      </w:tr>
    </w:tbl>
    <w:p w14:paraId="7C0EEBC0" w14:textId="2FE69497" w:rsidR="003C684D" w:rsidRDefault="003C684D" w:rsidP="00E2705A">
      <w:pPr>
        <w:spacing w:before="0" w:after="0"/>
        <w:ind w:left="1276" w:right="1179"/>
        <w:rPr>
          <w:sz w:val="16"/>
        </w:rPr>
      </w:pPr>
      <w:r w:rsidRPr="00E71651">
        <w:rPr>
          <w:sz w:val="16"/>
        </w:rPr>
        <w:t>Fuente: Elaboración propia con información proporcionada por las Partes, contenida en Foja</w:t>
      </w:r>
      <w:r w:rsidR="00E71651" w:rsidRPr="00E71651">
        <w:rPr>
          <w:sz w:val="16"/>
        </w:rPr>
        <w:t xml:space="preserve"> 721</w:t>
      </w:r>
      <w:r w:rsidRPr="00E71651">
        <w:rPr>
          <w:sz w:val="16"/>
        </w:rPr>
        <w:t xml:space="preserve"> del Expediente.</w:t>
      </w:r>
    </w:p>
    <w:p w14:paraId="69B25A56" w14:textId="7793568B" w:rsidR="00D06515" w:rsidRDefault="008D7500" w:rsidP="00033624">
      <w:pPr>
        <w:ind w:right="48"/>
        <w:rPr>
          <w:rFonts w:eastAsia="Times New Roman"/>
          <w:color w:val="000000"/>
          <w:highlight w:val="yellow"/>
        </w:rPr>
      </w:pPr>
      <w:r w:rsidRPr="008D7500">
        <w:rPr>
          <w:rFonts w:eastAsia="Times New Roman"/>
          <w:color w:val="000000"/>
        </w:rPr>
        <w:t xml:space="preserve">Finalmente, respecto al servicio de Acceso a Internet Fijo, las Partes mencionaron que a junio de 2017 Metro Net contaba con </w:t>
      </w:r>
      <w:r w:rsidR="00736C4E" w:rsidRPr="00E63FC2">
        <w:rPr>
          <w:b/>
          <w:bCs/>
          <w:color w:val="0000CC"/>
          <w:sz w:val="19"/>
          <w:szCs w:val="19"/>
        </w:rPr>
        <w:t>“CONFIDENCIAL POR LEY (</w:t>
      </w:r>
      <w:r w:rsidR="00687E53">
        <w:rPr>
          <w:b/>
          <w:bCs/>
          <w:color w:val="0000CC"/>
          <w:sz w:val="19"/>
          <w:szCs w:val="19"/>
        </w:rPr>
        <w:t>283</w:t>
      </w:r>
      <w:r w:rsidR="00736C4E" w:rsidRPr="00E63FC2">
        <w:rPr>
          <w:b/>
          <w:bCs/>
          <w:color w:val="0000CC"/>
          <w:sz w:val="19"/>
          <w:szCs w:val="19"/>
        </w:rPr>
        <w:t>)”</w:t>
      </w:r>
      <w:r w:rsidRPr="008D7500">
        <w:rPr>
          <w:rFonts w:eastAsia="Times New Roman"/>
          <w:color w:val="000000"/>
        </w:rPr>
        <w:t xml:space="preserve"> usuarios</w:t>
      </w:r>
      <w:r w:rsidRPr="00184CD5">
        <w:rPr>
          <w:rFonts w:eastAsia="Times New Roman"/>
          <w:color w:val="000000"/>
          <w:vertAlign w:val="superscript"/>
          <w:lang w:val="es-MX"/>
        </w:rPr>
        <w:footnoteReference w:id="54"/>
      </w:r>
      <w:r w:rsidRPr="008D7500">
        <w:rPr>
          <w:rFonts w:eastAsia="Times New Roman"/>
          <w:color w:val="000000"/>
        </w:rPr>
        <w:t>, los cuales fueron transferidos al GIE Grupo KIO</w:t>
      </w:r>
      <w:r w:rsidR="00E2705A">
        <w:rPr>
          <w:rFonts w:eastAsia="Times New Roman"/>
          <w:color w:val="000000"/>
        </w:rPr>
        <w:t xml:space="preserve"> en virtud de la Operación</w:t>
      </w:r>
      <w:r w:rsidRPr="008D7500">
        <w:rPr>
          <w:rFonts w:eastAsia="Times New Roman"/>
          <w:color w:val="000000"/>
        </w:rPr>
        <w:t>.</w:t>
      </w:r>
    </w:p>
    <w:p w14:paraId="7A4096B7" w14:textId="77777777" w:rsidR="008F4335" w:rsidRPr="002F3305" w:rsidRDefault="009D3CF5" w:rsidP="002F3305">
      <w:pPr>
        <w:rPr>
          <w:b/>
        </w:rPr>
      </w:pPr>
      <w:bookmarkStart w:id="54" w:name="_Toc511061424"/>
      <w:r w:rsidRPr="002F3305">
        <w:rPr>
          <w:b/>
        </w:rPr>
        <w:t xml:space="preserve">4.4. </w:t>
      </w:r>
      <w:r w:rsidR="008F4335" w:rsidRPr="002F3305">
        <w:rPr>
          <w:b/>
        </w:rPr>
        <w:t>Coincidencias en las actividades económicas de las Partes</w:t>
      </w:r>
      <w:bookmarkEnd w:id="54"/>
    </w:p>
    <w:p w14:paraId="1AE2E5E4" w14:textId="77777777" w:rsidR="006161FB" w:rsidRPr="00E8720F" w:rsidRDefault="00672093" w:rsidP="0023224A">
      <w:pPr>
        <w:ind w:right="-1"/>
      </w:pPr>
      <w:r w:rsidRPr="00E8720F">
        <w:t>E</w:t>
      </w:r>
      <w:r w:rsidR="0078640E" w:rsidRPr="00E8720F">
        <w:t>l</w:t>
      </w:r>
      <w:r w:rsidR="006161FB" w:rsidRPr="00E8720F">
        <w:t xml:space="preserve"> Cuadro </w:t>
      </w:r>
      <w:r w:rsidR="00C15601" w:rsidRPr="00E8720F">
        <w:t xml:space="preserve">7 </w:t>
      </w:r>
      <w:r w:rsidRPr="00E8720F">
        <w:t>presenta</w:t>
      </w:r>
      <w:r w:rsidR="0078640E" w:rsidRPr="00E8720F">
        <w:t xml:space="preserve">, </w:t>
      </w:r>
      <w:r w:rsidR="00E8720F" w:rsidRPr="00E8720F">
        <w:t xml:space="preserve">en resumen, las actividades en </w:t>
      </w:r>
      <w:r w:rsidR="0078640E" w:rsidRPr="00E8720F">
        <w:t>l</w:t>
      </w:r>
      <w:r w:rsidR="00E8720F" w:rsidRPr="00E8720F">
        <w:t>os</w:t>
      </w:r>
      <w:r w:rsidR="0078640E" w:rsidRPr="00E8720F">
        <w:t xml:space="preserve"> sector</w:t>
      </w:r>
      <w:r w:rsidR="00E8720F" w:rsidRPr="00E8720F">
        <w:t>es</w:t>
      </w:r>
      <w:r w:rsidR="0078640E" w:rsidRPr="00E8720F">
        <w:t xml:space="preserve"> de telecomunicaciones </w:t>
      </w:r>
      <w:r w:rsidR="00E8720F" w:rsidRPr="00E8720F">
        <w:t xml:space="preserve">y radiodifusión </w:t>
      </w:r>
      <w:r w:rsidR="0078640E" w:rsidRPr="00E8720F">
        <w:t xml:space="preserve">en las que </w:t>
      </w:r>
      <w:r w:rsidR="00E8720F">
        <w:t>participan</w:t>
      </w:r>
      <w:r w:rsidR="00E8720F" w:rsidRPr="00E8720F">
        <w:t xml:space="preserve"> </w:t>
      </w:r>
      <w:r w:rsidR="0093190F">
        <w:t xml:space="preserve">el GIE </w:t>
      </w:r>
      <w:r w:rsidR="00B92CA8">
        <w:t>Grupo ATC y las Sociedades Adquiridas</w:t>
      </w:r>
      <w:r w:rsidR="0078640E" w:rsidRPr="00E8720F">
        <w:t>.</w:t>
      </w:r>
    </w:p>
    <w:p w14:paraId="0D9A159A" w14:textId="77777777" w:rsidR="006161FB" w:rsidRPr="00DA3712" w:rsidRDefault="00E8720F" w:rsidP="00DA3712">
      <w:pPr>
        <w:pStyle w:val="Sinespaciado"/>
        <w:keepNext/>
        <w:numPr>
          <w:ilvl w:val="0"/>
          <w:numId w:val="24"/>
        </w:numPr>
        <w:spacing w:before="120" w:after="120" w:line="276" w:lineRule="auto"/>
        <w:ind w:left="1701" w:right="48" w:hanging="1275"/>
        <w:jc w:val="both"/>
        <w:rPr>
          <w:rFonts w:ascii="ITC Avant Garde" w:hAnsi="ITC Avant Garde"/>
          <w:b/>
        </w:rPr>
      </w:pPr>
      <w:r w:rsidRPr="00DA3712">
        <w:rPr>
          <w:rFonts w:ascii="ITC Avant Garde" w:hAnsi="ITC Avant Garde"/>
          <w:b/>
        </w:rPr>
        <w:lastRenderedPageBreak/>
        <w:t>S</w:t>
      </w:r>
      <w:r w:rsidR="006161FB" w:rsidRPr="00DA3712">
        <w:rPr>
          <w:rFonts w:ascii="ITC Avant Garde" w:hAnsi="ITC Avant Garde"/>
          <w:b/>
        </w:rPr>
        <w:t xml:space="preserve">ervicios </w:t>
      </w:r>
      <w:r w:rsidRPr="00DA3712">
        <w:rPr>
          <w:rFonts w:ascii="ITC Avant Garde" w:hAnsi="ITC Avant Garde"/>
          <w:b/>
        </w:rPr>
        <w:t xml:space="preserve">en los que participan las Partes, </w:t>
      </w:r>
      <w:r w:rsidRPr="00DA3712">
        <w:rPr>
          <w:rFonts w:ascii="ITC Avant Garde" w:hAnsi="ITC Avant Garde"/>
          <w:b/>
          <w:u w:val="single"/>
        </w:rPr>
        <w:t>Antes de la Operación</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uadro 24."/>
        <w:tblDescription w:val="Especifica cuales son los servicios en los que participan las Partes, Antes de la Operación"/>
      </w:tblPr>
      <w:tblGrid>
        <w:gridCol w:w="5246"/>
        <w:gridCol w:w="1701"/>
        <w:gridCol w:w="2409"/>
      </w:tblGrid>
      <w:tr w:rsidR="006E78DA" w:rsidRPr="00E8720F" w14:paraId="44CCBA3E" w14:textId="77777777" w:rsidTr="006E78DA">
        <w:trPr>
          <w:trHeight w:val="254"/>
          <w:tblHeader/>
          <w:jc w:val="center"/>
        </w:trPr>
        <w:tc>
          <w:tcPr>
            <w:tcW w:w="5246" w:type="dxa"/>
            <w:shd w:val="clear" w:color="auto" w:fill="92D050"/>
            <w:vAlign w:val="center"/>
          </w:tcPr>
          <w:p w14:paraId="6B3B6A24" w14:textId="77777777" w:rsidR="006E78DA" w:rsidRPr="00E8720F" w:rsidRDefault="006E78DA" w:rsidP="00E8720F">
            <w:pPr>
              <w:spacing w:before="0" w:after="0"/>
              <w:jc w:val="center"/>
              <w:rPr>
                <w:b/>
                <w:sz w:val="18"/>
                <w:szCs w:val="18"/>
              </w:rPr>
            </w:pPr>
            <w:r w:rsidRPr="00E8720F">
              <w:rPr>
                <w:b/>
                <w:sz w:val="18"/>
                <w:szCs w:val="18"/>
              </w:rPr>
              <w:t>Servicios/Actividades</w:t>
            </w:r>
          </w:p>
        </w:tc>
        <w:tc>
          <w:tcPr>
            <w:tcW w:w="1701" w:type="dxa"/>
            <w:shd w:val="clear" w:color="auto" w:fill="92D050"/>
            <w:vAlign w:val="center"/>
          </w:tcPr>
          <w:p w14:paraId="6163E5EE" w14:textId="77777777" w:rsidR="006E78DA" w:rsidRPr="00E8720F" w:rsidRDefault="006E78DA" w:rsidP="00E8720F">
            <w:pPr>
              <w:spacing w:before="0" w:after="0"/>
              <w:jc w:val="center"/>
              <w:rPr>
                <w:b/>
                <w:sz w:val="18"/>
                <w:szCs w:val="18"/>
              </w:rPr>
            </w:pPr>
            <w:r>
              <w:rPr>
                <w:b/>
                <w:sz w:val="18"/>
                <w:szCs w:val="18"/>
              </w:rPr>
              <w:t>GIE Grupo ATC</w:t>
            </w:r>
          </w:p>
        </w:tc>
        <w:tc>
          <w:tcPr>
            <w:tcW w:w="2409" w:type="dxa"/>
            <w:shd w:val="clear" w:color="auto" w:fill="92D050"/>
            <w:vAlign w:val="center"/>
          </w:tcPr>
          <w:p w14:paraId="5078C93B" w14:textId="77777777" w:rsidR="006E78DA" w:rsidRPr="00E8720F" w:rsidRDefault="006E78DA" w:rsidP="00E8720F">
            <w:pPr>
              <w:spacing w:before="0" w:after="0"/>
              <w:jc w:val="center"/>
              <w:rPr>
                <w:b/>
                <w:sz w:val="18"/>
                <w:szCs w:val="18"/>
              </w:rPr>
            </w:pPr>
            <w:r>
              <w:rPr>
                <w:b/>
                <w:sz w:val="18"/>
                <w:szCs w:val="18"/>
              </w:rPr>
              <w:t>Sociedades Adquiridas</w:t>
            </w:r>
          </w:p>
        </w:tc>
      </w:tr>
      <w:tr w:rsidR="006E78DA" w:rsidRPr="00E8720F" w14:paraId="03DD9E26" w14:textId="77777777" w:rsidTr="006E78DA">
        <w:trPr>
          <w:trHeight w:val="254"/>
          <w:jc w:val="center"/>
        </w:trPr>
        <w:tc>
          <w:tcPr>
            <w:tcW w:w="5246" w:type="dxa"/>
          </w:tcPr>
          <w:p w14:paraId="7D11C63E" w14:textId="77777777" w:rsidR="006E78DA" w:rsidRPr="00E8720F" w:rsidRDefault="006E78DA" w:rsidP="00E8720F">
            <w:pPr>
              <w:spacing w:before="0" w:after="0"/>
              <w:rPr>
                <w:sz w:val="18"/>
                <w:szCs w:val="18"/>
              </w:rPr>
            </w:pPr>
            <w:r w:rsidRPr="00E8720F">
              <w:rPr>
                <w:sz w:val="18"/>
                <w:szCs w:val="18"/>
              </w:rPr>
              <w:t>Acceso a Internet Fijo</w:t>
            </w:r>
          </w:p>
        </w:tc>
        <w:tc>
          <w:tcPr>
            <w:tcW w:w="1701" w:type="dxa"/>
            <w:vAlign w:val="center"/>
          </w:tcPr>
          <w:p w14:paraId="2DEF440B" w14:textId="77777777" w:rsidR="006E78DA" w:rsidRPr="00E8720F" w:rsidRDefault="006E78DA" w:rsidP="00E8720F">
            <w:pPr>
              <w:spacing w:before="0" w:after="0"/>
              <w:jc w:val="center"/>
              <w:rPr>
                <w:sz w:val="18"/>
                <w:szCs w:val="18"/>
              </w:rPr>
            </w:pPr>
            <w:r w:rsidRPr="00E8720F">
              <w:rPr>
                <w:sz w:val="18"/>
                <w:szCs w:val="18"/>
              </w:rPr>
              <w:t>No</w:t>
            </w:r>
          </w:p>
        </w:tc>
        <w:tc>
          <w:tcPr>
            <w:tcW w:w="2409" w:type="dxa"/>
            <w:vAlign w:val="center"/>
          </w:tcPr>
          <w:p w14:paraId="4F1215DD" w14:textId="77777777" w:rsidR="006E78DA" w:rsidRPr="00E8720F" w:rsidRDefault="006E78DA" w:rsidP="00E8720F">
            <w:pPr>
              <w:spacing w:before="0" w:after="0"/>
              <w:jc w:val="center"/>
              <w:rPr>
                <w:sz w:val="18"/>
                <w:szCs w:val="18"/>
              </w:rPr>
            </w:pPr>
            <w:r w:rsidRPr="00E8720F">
              <w:rPr>
                <w:sz w:val="18"/>
                <w:szCs w:val="18"/>
              </w:rPr>
              <w:t>Sí</w:t>
            </w:r>
          </w:p>
        </w:tc>
      </w:tr>
      <w:tr w:rsidR="006E78DA" w:rsidRPr="00E8720F" w14:paraId="60F28F8B" w14:textId="77777777" w:rsidTr="006E78DA">
        <w:trPr>
          <w:trHeight w:val="263"/>
          <w:jc w:val="center"/>
        </w:trPr>
        <w:tc>
          <w:tcPr>
            <w:tcW w:w="5246" w:type="dxa"/>
          </w:tcPr>
          <w:p w14:paraId="6808C9A1" w14:textId="77777777" w:rsidR="006E78DA" w:rsidRPr="00E8720F" w:rsidRDefault="006E78DA" w:rsidP="00E8720F">
            <w:pPr>
              <w:spacing w:before="0" w:after="0"/>
              <w:rPr>
                <w:sz w:val="18"/>
                <w:szCs w:val="18"/>
              </w:rPr>
            </w:pPr>
            <w:r w:rsidRPr="00E8720F">
              <w:rPr>
                <w:sz w:val="18"/>
                <w:szCs w:val="18"/>
              </w:rPr>
              <w:t>Enlaces dedicados</w:t>
            </w:r>
          </w:p>
        </w:tc>
        <w:tc>
          <w:tcPr>
            <w:tcW w:w="1701" w:type="dxa"/>
            <w:vAlign w:val="center"/>
          </w:tcPr>
          <w:p w14:paraId="342C1DAD" w14:textId="77777777" w:rsidR="006E78DA" w:rsidRPr="00E8720F" w:rsidRDefault="006E78DA" w:rsidP="00E8720F">
            <w:pPr>
              <w:spacing w:before="0" w:after="0"/>
              <w:jc w:val="center"/>
              <w:rPr>
                <w:sz w:val="18"/>
                <w:szCs w:val="18"/>
              </w:rPr>
            </w:pPr>
            <w:r w:rsidRPr="00E8720F">
              <w:rPr>
                <w:sz w:val="18"/>
                <w:szCs w:val="18"/>
              </w:rPr>
              <w:t>No</w:t>
            </w:r>
          </w:p>
        </w:tc>
        <w:tc>
          <w:tcPr>
            <w:tcW w:w="2409" w:type="dxa"/>
            <w:vAlign w:val="center"/>
          </w:tcPr>
          <w:p w14:paraId="1B7B36D0" w14:textId="77777777" w:rsidR="006E78DA" w:rsidRPr="00E8720F" w:rsidRDefault="006E78DA" w:rsidP="00E8720F">
            <w:pPr>
              <w:spacing w:before="0" w:after="0"/>
              <w:jc w:val="center"/>
              <w:rPr>
                <w:sz w:val="18"/>
                <w:szCs w:val="18"/>
              </w:rPr>
            </w:pPr>
            <w:r w:rsidRPr="00E8720F">
              <w:rPr>
                <w:sz w:val="18"/>
                <w:szCs w:val="18"/>
              </w:rPr>
              <w:t>Sí</w:t>
            </w:r>
          </w:p>
        </w:tc>
      </w:tr>
      <w:tr w:rsidR="006E78DA" w:rsidRPr="00E8720F" w14:paraId="30278FC7" w14:textId="77777777" w:rsidTr="006E78DA">
        <w:trPr>
          <w:trHeight w:val="254"/>
          <w:jc w:val="center"/>
        </w:trPr>
        <w:tc>
          <w:tcPr>
            <w:tcW w:w="5246" w:type="dxa"/>
          </w:tcPr>
          <w:p w14:paraId="13239D28" w14:textId="77777777" w:rsidR="006E78DA" w:rsidRPr="00E8720F" w:rsidRDefault="006E78DA" w:rsidP="00E8720F">
            <w:pPr>
              <w:spacing w:before="0" w:after="0"/>
              <w:rPr>
                <w:sz w:val="18"/>
                <w:szCs w:val="18"/>
              </w:rPr>
            </w:pPr>
            <w:r w:rsidRPr="00E8720F">
              <w:rPr>
                <w:sz w:val="18"/>
                <w:szCs w:val="18"/>
              </w:rPr>
              <w:t>Sitios para Telecomunicaciones</w:t>
            </w:r>
          </w:p>
        </w:tc>
        <w:tc>
          <w:tcPr>
            <w:tcW w:w="1701" w:type="dxa"/>
            <w:vAlign w:val="center"/>
          </w:tcPr>
          <w:p w14:paraId="5850C45F" w14:textId="77777777" w:rsidR="006E78DA" w:rsidRPr="00E8720F" w:rsidRDefault="006E78DA" w:rsidP="00E8720F">
            <w:pPr>
              <w:spacing w:before="0" w:after="0"/>
              <w:jc w:val="center"/>
              <w:rPr>
                <w:sz w:val="18"/>
                <w:szCs w:val="18"/>
              </w:rPr>
            </w:pPr>
            <w:r w:rsidRPr="00E8720F">
              <w:rPr>
                <w:sz w:val="18"/>
                <w:szCs w:val="18"/>
              </w:rPr>
              <w:t>Sí</w:t>
            </w:r>
          </w:p>
        </w:tc>
        <w:tc>
          <w:tcPr>
            <w:tcW w:w="2409" w:type="dxa"/>
            <w:vAlign w:val="center"/>
          </w:tcPr>
          <w:p w14:paraId="2D8A5D3C" w14:textId="77777777" w:rsidR="006E78DA" w:rsidRPr="00E8720F" w:rsidRDefault="006E78DA" w:rsidP="00E8720F">
            <w:pPr>
              <w:spacing w:before="0" w:after="0"/>
              <w:jc w:val="center"/>
              <w:rPr>
                <w:sz w:val="18"/>
                <w:szCs w:val="18"/>
              </w:rPr>
            </w:pPr>
            <w:r w:rsidRPr="00E8720F">
              <w:rPr>
                <w:sz w:val="18"/>
                <w:szCs w:val="18"/>
              </w:rPr>
              <w:t>No</w:t>
            </w:r>
          </w:p>
        </w:tc>
      </w:tr>
    </w:tbl>
    <w:p w14:paraId="78C39BFB" w14:textId="77777777" w:rsidR="00E8720F" w:rsidRPr="00E8720F" w:rsidRDefault="00E8720F" w:rsidP="00E8720F">
      <w:pPr>
        <w:pStyle w:val="Notaalpie"/>
        <w:ind w:left="567" w:right="708"/>
        <w:rPr>
          <w:rFonts w:eastAsia="Calibri" w:cs="Times New Roman"/>
          <w:sz w:val="16"/>
        </w:rPr>
      </w:pPr>
      <w:r w:rsidRPr="00E8720F">
        <w:rPr>
          <w:rFonts w:eastAsia="Calibri" w:cs="Times New Roman"/>
          <w:sz w:val="16"/>
        </w:rPr>
        <w:t>Fuente: Elaboración propia con información presentada por las Partes.</w:t>
      </w:r>
    </w:p>
    <w:p w14:paraId="0343F276" w14:textId="77777777" w:rsidR="004C189C" w:rsidRDefault="00D51BDA" w:rsidP="004C189C">
      <w:r w:rsidRPr="00E8720F">
        <w:t xml:space="preserve">Del cuadro anterior se observa que </w:t>
      </w:r>
      <w:r w:rsidR="00E8720F" w:rsidRPr="00F24504">
        <w:rPr>
          <w:b/>
        </w:rPr>
        <w:t xml:space="preserve">el GIE Grupo ATC y las Sociedades Adquiridas </w:t>
      </w:r>
      <w:r w:rsidR="00E8720F" w:rsidRPr="00E2705A">
        <w:rPr>
          <w:b/>
          <w:u w:val="single"/>
        </w:rPr>
        <w:t>no coinciden</w:t>
      </w:r>
      <w:r w:rsidR="00E8720F" w:rsidRPr="00E2705A">
        <w:rPr>
          <w:b/>
        </w:rPr>
        <w:t xml:space="preserve"> </w:t>
      </w:r>
      <w:r w:rsidR="00E8720F" w:rsidRPr="00F24504">
        <w:rPr>
          <w:b/>
        </w:rPr>
        <w:t>en la provisión de algún servicio en común en los sectores de telecomunicaciones y radiodifusión</w:t>
      </w:r>
      <w:r w:rsidR="004C189C">
        <w:t xml:space="preserve">, aunque sí </w:t>
      </w:r>
      <w:r w:rsidR="00385AB1">
        <w:t>participan en la provisión de</w:t>
      </w:r>
      <w:r w:rsidR="004C189C">
        <w:t xml:space="preserve"> los siguientes servicios en el sector de telecomunicaciones:</w:t>
      </w:r>
    </w:p>
    <w:p w14:paraId="60B93929" w14:textId="77777777" w:rsidR="006161FB" w:rsidRPr="004C189C" w:rsidRDefault="004C189C" w:rsidP="000763D4">
      <w:pPr>
        <w:pStyle w:val="Prrafodelista"/>
        <w:numPr>
          <w:ilvl w:val="0"/>
          <w:numId w:val="29"/>
        </w:numPr>
        <w:spacing w:after="120" w:line="276" w:lineRule="auto"/>
        <w:ind w:left="567"/>
        <w:contextualSpacing w:val="0"/>
        <w:rPr>
          <w:sz w:val="28"/>
        </w:rPr>
      </w:pPr>
      <w:r w:rsidRPr="00E6751D">
        <w:rPr>
          <w:b/>
          <w:szCs w:val="18"/>
        </w:rPr>
        <w:t>Acceso a Internet Fijo</w:t>
      </w:r>
      <w:r w:rsidR="00E6751D">
        <w:rPr>
          <w:szCs w:val="18"/>
        </w:rPr>
        <w:t xml:space="preserve">. </w:t>
      </w:r>
      <w:r w:rsidR="00E6751D" w:rsidRPr="00E6751D">
        <w:rPr>
          <w:lang w:eastAsia="es-ES"/>
        </w:rPr>
        <w:t xml:space="preserve">El servicio de Acceso a Internet </w:t>
      </w:r>
      <w:r w:rsidR="00E6751D">
        <w:rPr>
          <w:lang w:eastAsia="es-ES"/>
        </w:rPr>
        <w:t>F</w:t>
      </w:r>
      <w:r w:rsidR="00E6751D" w:rsidRPr="00E6751D">
        <w:rPr>
          <w:lang w:eastAsia="es-ES"/>
        </w:rPr>
        <w:t>ijo permite al usuario intercambiar datos, escritos, imágenes, voz, sonidos o información, a través de la red de Internet. Este servicio se presta a través de equipos terminales que tienen una ubicación geográfica determinada y se ofrece a través de redes públicas de telecomunicaciones fijas, que pueden ser alámbricas o inalámbricas</w:t>
      </w:r>
      <w:r w:rsidR="00E6751D">
        <w:rPr>
          <w:lang w:eastAsia="es-ES"/>
        </w:rPr>
        <w:t>;</w:t>
      </w:r>
    </w:p>
    <w:p w14:paraId="3CD2BEC0" w14:textId="77777777" w:rsidR="004C189C" w:rsidRPr="004C189C" w:rsidRDefault="004C189C" w:rsidP="000763D4">
      <w:pPr>
        <w:pStyle w:val="Prrafodelista"/>
        <w:numPr>
          <w:ilvl w:val="0"/>
          <w:numId w:val="29"/>
        </w:numPr>
        <w:spacing w:after="120" w:line="276" w:lineRule="auto"/>
        <w:ind w:left="567"/>
        <w:contextualSpacing w:val="0"/>
        <w:rPr>
          <w:sz w:val="28"/>
        </w:rPr>
      </w:pPr>
      <w:r w:rsidRPr="00E6751D">
        <w:rPr>
          <w:b/>
          <w:szCs w:val="18"/>
        </w:rPr>
        <w:t>Enlaces dedicados</w:t>
      </w:r>
      <w:r w:rsidR="00E6751D" w:rsidRPr="00E6751D">
        <w:rPr>
          <w:szCs w:val="18"/>
        </w:rPr>
        <w:t xml:space="preserve">. </w:t>
      </w:r>
      <w:r w:rsidR="00E6751D" w:rsidRPr="00E6751D">
        <w:t>Los enlaces dedicados se utilizan para transportar tráfico entre distintos puntos de las redes, conectarse con redes de otros operadores, intercambiar tráfico y dar conectividad a usuarios finales, y son utilizados por usuarios que desean llegar a clientes ubicados en lugares donde no tienen infraestructura propia</w:t>
      </w:r>
      <w:r w:rsidRPr="00E6751D">
        <w:rPr>
          <w:szCs w:val="18"/>
        </w:rPr>
        <w:t>,</w:t>
      </w:r>
      <w:r w:rsidRPr="004C189C">
        <w:rPr>
          <w:szCs w:val="18"/>
        </w:rPr>
        <w:t xml:space="preserve"> y</w:t>
      </w:r>
    </w:p>
    <w:p w14:paraId="7BECA8F5" w14:textId="77777777" w:rsidR="004C189C" w:rsidRPr="00E6751D" w:rsidRDefault="004C189C" w:rsidP="000763D4">
      <w:pPr>
        <w:pStyle w:val="Prrafodelista"/>
        <w:numPr>
          <w:ilvl w:val="0"/>
          <w:numId w:val="29"/>
        </w:numPr>
        <w:spacing w:after="120" w:line="276" w:lineRule="auto"/>
        <w:ind w:left="567"/>
        <w:contextualSpacing w:val="0"/>
        <w:rPr>
          <w:b/>
          <w:sz w:val="28"/>
        </w:rPr>
      </w:pPr>
      <w:r w:rsidRPr="00E6751D">
        <w:rPr>
          <w:b/>
          <w:szCs w:val="18"/>
        </w:rPr>
        <w:t>Sitios para Telecomunicaciones</w:t>
      </w:r>
      <w:r w:rsidR="00E6751D">
        <w:rPr>
          <w:b/>
          <w:szCs w:val="18"/>
        </w:rPr>
        <w:t xml:space="preserve">. </w:t>
      </w:r>
      <w:r w:rsidR="00E2705A" w:rsidRPr="00E2705A">
        <w:rPr>
          <w:szCs w:val="18"/>
        </w:rPr>
        <w:t>Infraestructura pasiva que incluye e</w:t>
      </w:r>
      <w:r w:rsidR="00E6751D" w:rsidRPr="00E2705A">
        <w:rPr>
          <w:rFonts w:eastAsia="Times New Roman"/>
          <w:bCs/>
          <w:color w:val="000000"/>
        </w:rPr>
        <w:t>spacios</w:t>
      </w:r>
      <w:r w:rsidR="00E6751D" w:rsidRPr="00E6751D">
        <w:rPr>
          <w:rFonts w:eastAsia="Times New Roman"/>
          <w:bCs/>
          <w:color w:val="000000"/>
        </w:rPr>
        <w:t xml:space="preserve"> físicos en torres y azoteas, así como elementos accesorios, para que los usuarios</w:t>
      </w:r>
      <w:r w:rsidR="00E6751D" w:rsidRPr="00021217">
        <w:rPr>
          <w:rFonts w:eastAsia="Times New Roman"/>
          <w:bCs/>
          <w:color w:val="000000"/>
        </w:rPr>
        <w:t xml:space="preserve">, </w:t>
      </w:r>
      <w:r w:rsidR="00E6751D">
        <w:rPr>
          <w:rFonts w:eastAsia="Times New Roman"/>
          <w:bCs/>
          <w:color w:val="000000"/>
        </w:rPr>
        <w:t xml:space="preserve">principalmente </w:t>
      </w:r>
      <w:r w:rsidR="00E6751D" w:rsidRPr="00021217">
        <w:rPr>
          <w:rFonts w:eastAsia="Times New Roman"/>
          <w:bCs/>
          <w:color w:val="000000"/>
        </w:rPr>
        <w:t xml:space="preserve">operadores de </w:t>
      </w:r>
      <w:r w:rsidR="00E6751D">
        <w:rPr>
          <w:rFonts w:eastAsia="Times New Roman"/>
          <w:bCs/>
          <w:color w:val="000000"/>
        </w:rPr>
        <w:t>red</w:t>
      </w:r>
      <w:r w:rsidR="00E6751D" w:rsidRPr="00274BE9">
        <w:rPr>
          <w:rFonts w:eastAsia="Times New Roman"/>
          <w:bCs/>
          <w:color w:val="000000"/>
        </w:rPr>
        <w:t>es de telecomunicaciones para servicios móviles</w:t>
      </w:r>
      <w:r w:rsidR="00E6751D" w:rsidRPr="00021217">
        <w:rPr>
          <w:rFonts w:eastAsia="Times New Roman"/>
          <w:bCs/>
          <w:color w:val="000000"/>
        </w:rPr>
        <w:t>, puedan instalar equipo</w:t>
      </w:r>
      <w:r w:rsidR="00E6751D">
        <w:rPr>
          <w:rFonts w:eastAsia="Times New Roman"/>
          <w:bCs/>
          <w:color w:val="000000"/>
        </w:rPr>
        <w:t>s</w:t>
      </w:r>
      <w:r w:rsidR="00E6751D" w:rsidRPr="00021217">
        <w:rPr>
          <w:rFonts w:eastAsia="Times New Roman"/>
          <w:bCs/>
          <w:color w:val="000000"/>
        </w:rPr>
        <w:t xml:space="preserve"> y de esa manera proveer servicios a usuarios finales</w:t>
      </w:r>
      <w:r w:rsidR="00E6751D">
        <w:rPr>
          <w:rFonts w:eastAsia="Times New Roman"/>
          <w:bCs/>
          <w:color w:val="000000"/>
        </w:rPr>
        <w:t>.</w:t>
      </w:r>
    </w:p>
    <w:p w14:paraId="411ABDB5" w14:textId="77777777" w:rsidR="006161FB" w:rsidRDefault="006161FB" w:rsidP="004C189C">
      <w:r w:rsidRPr="004C189C">
        <w:t xml:space="preserve">Por lo anterior, se concluye que </w:t>
      </w:r>
      <w:r w:rsidR="00385AB1">
        <w:t xml:space="preserve">los agentes económicos que participan en la Operación son titulares de concesiones para prestar servicios de telecomunicaciones y proveen </w:t>
      </w:r>
      <w:r w:rsidR="00385AB1" w:rsidRPr="008F4335">
        <w:t xml:space="preserve">servicios </w:t>
      </w:r>
      <w:r w:rsidR="00385AB1">
        <w:t xml:space="preserve">en el sector </w:t>
      </w:r>
      <w:r w:rsidR="00385AB1" w:rsidRPr="008F4335">
        <w:t xml:space="preserve">de </w:t>
      </w:r>
      <w:r w:rsidR="00385AB1" w:rsidRPr="002315A4">
        <w:rPr>
          <w:b/>
        </w:rPr>
        <w:t>telecomunicaciones</w:t>
      </w:r>
      <w:r w:rsidR="00385AB1" w:rsidRPr="008F4335">
        <w:t xml:space="preserve">, </w:t>
      </w:r>
      <w:r w:rsidR="00385AB1">
        <w:t xml:space="preserve">por lo que </w:t>
      </w:r>
      <w:r w:rsidR="00385AB1" w:rsidRPr="008F4335">
        <w:t xml:space="preserve">el análisis de cumplimiento de los supuestos que establecen los párrafos primero a cuarto del </w:t>
      </w:r>
      <w:r w:rsidR="0043778B">
        <w:t>Artículo Noveno Transitorio</w:t>
      </w:r>
      <w:r w:rsidR="00385AB1" w:rsidRPr="008F4335">
        <w:t xml:space="preserve"> se realiza respecto de ese sector</w:t>
      </w:r>
      <w:r w:rsidRPr="004C189C">
        <w:t>.</w:t>
      </w:r>
    </w:p>
    <w:p w14:paraId="39ECA896" w14:textId="77777777" w:rsidR="00F80D00" w:rsidRPr="008F4335" w:rsidRDefault="00F80D00" w:rsidP="00F80D00">
      <w:pPr>
        <w:pStyle w:val="Ttulo2"/>
        <w:spacing w:before="240"/>
      </w:pPr>
      <w:bookmarkStart w:id="55" w:name="_Toc511061425"/>
      <w:r w:rsidRPr="008F4335">
        <w:t xml:space="preserve">QUINTO. Evaluación de los requisitos </w:t>
      </w:r>
      <w:r>
        <w:t xml:space="preserve">y elementos </w:t>
      </w:r>
      <w:r w:rsidRPr="008F4335">
        <w:t xml:space="preserve">establecidos en los párrafos primero a cuarto del </w:t>
      </w:r>
      <w:r>
        <w:t>Artículo Noveno Transitorio</w:t>
      </w:r>
      <w:bookmarkEnd w:id="55"/>
    </w:p>
    <w:p w14:paraId="470C688B" w14:textId="77777777" w:rsidR="00F80D00" w:rsidRDefault="00F80D00" w:rsidP="00F80D00">
      <w:r>
        <w:t>Tal y como se refiere en el Considerando Segundo de esta resolución, el Artículo Noveno Transitorio está vigente en tanto exista un agente económico declarado preponderante en el sector donde ocurra la concentración que sea materia del aviso.</w:t>
      </w:r>
    </w:p>
    <w:p w14:paraId="42138579" w14:textId="77777777" w:rsidR="00F80D00" w:rsidRDefault="00F80D00" w:rsidP="00F80D00">
      <w:pPr>
        <w:ind w:right="-1"/>
      </w:pPr>
      <w:r>
        <w:t>A este respecto, e</w:t>
      </w:r>
      <w:r w:rsidRPr="00D02EA4">
        <w:t xml:space="preserve">l </w:t>
      </w:r>
      <w:r>
        <w:t>seis</w:t>
      </w:r>
      <w:r w:rsidRPr="00D02EA4">
        <w:t xml:space="preserve"> de marzo de </w:t>
      </w:r>
      <w:r>
        <w:t>agosto de dos mil catorce</w:t>
      </w:r>
      <w:r w:rsidRPr="00D02EA4">
        <w:t>, el Pleno del Instituto emitió la</w:t>
      </w:r>
      <w:r>
        <w:t>:</w:t>
      </w:r>
    </w:p>
    <w:p w14:paraId="01F438CB" w14:textId="77777777" w:rsidR="00F80D00" w:rsidRPr="00D02EA4" w:rsidRDefault="00F80D00" w:rsidP="00F80D00">
      <w:pPr>
        <w:ind w:left="567" w:right="-1"/>
        <w:rPr>
          <w:sz w:val="20"/>
          <w:lang w:eastAsia="es-ES"/>
        </w:rPr>
      </w:pPr>
      <w:r w:rsidRPr="00D02EA4">
        <w:rPr>
          <w:sz w:val="20"/>
          <w:lang w:eastAsia="es-ES"/>
        </w:rPr>
        <w:lastRenderedPageBreak/>
        <w:t>“</w:t>
      </w:r>
      <w:r w:rsidRPr="00D02EA4">
        <w:rPr>
          <w:i/>
          <w:sz w:val="20"/>
          <w:lang w:eastAsia="es-ES"/>
        </w:rPr>
        <w:t xml:space="preserve">Resolución mediante la cual el Pleno del Instituto Federal de Telecomunicaciones determina al grupo de interés económico del que forman parte América Móvil, S.A.B. de C.V., Teléfonos de México, S.A.B. de C.V., Teléfonos del Noroeste, S.A. de C.V., </w:t>
      </w:r>
      <w:proofErr w:type="spellStart"/>
      <w:r w:rsidRPr="00D02EA4">
        <w:rPr>
          <w:i/>
          <w:sz w:val="20"/>
          <w:lang w:eastAsia="es-ES"/>
        </w:rPr>
        <w:t>Radiomóvil</w:t>
      </w:r>
      <w:proofErr w:type="spellEnd"/>
      <w:r w:rsidRPr="00D02EA4">
        <w:rPr>
          <w:i/>
          <w:sz w:val="20"/>
          <w:lang w:eastAsia="es-ES"/>
        </w:rPr>
        <w:t xml:space="preserve"> </w:t>
      </w:r>
      <w:proofErr w:type="spellStart"/>
      <w:r w:rsidRPr="00D02EA4">
        <w:rPr>
          <w:i/>
          <w:sz w:val="20"/>
          <w:lang w:eastAsia="es-ES"/>
        </w:rPr>
        <w:t>Dipsa</w:t>
      </w:r>
      <w:proofErr w:type="spellEnd"/>
      <w:r w:rsidRPr="00D02EA4">
        <w:rPr>
          <w:i/>
          <w:sz w:val="20"/>
          <w:lang w:eastAsia="es-ES"/>
        </w:rPr>
        <w:t xml:space="preserve">, S.A.B. de C. V., </w:t>
      </w:r>
      <w:r w:rsidRPr="00D02EA4">
        <w:rPr>
          <w:i/>
          <w:sz w:val="20"/>
        </w:rPr>
        <w:t>Grupo Carso, S.A.B. de C.V. y Grupo Financiero Inbursa, S.A.B. de C.V.</w:t>
      </w:r>
      <w:r w:rsidRPr="00D02EA4">
        <w:rPr>
          <w:i/>
          <w:sz w:val="20"/>
          <w:lang w:eastAsia="es-ES"/>
        </w:rPr>
        <w:t xml:space="preserve">, como </w:t>
      </w:r>
      <w:r w:rsidRPr="00D02EA4">
        <w:rPr>
          <w:i/>
          <w:sz w:val="20"/>
          <w:u w:val="single"/>
          <w:lang w:eastAsia="es-ES"/>
        </w:rPr>
        <w:t>agente económico preponderante en el sector de telecomunicaciones</w:t>
      </w:r>
      <w:r w:rsidRPr="00D02EA4">
        <w:rPr>
          <w:i/>
          <w:sz w:val="20"/>
          <w:lang w:eastAsia="es-ES"/>
        </w:rPr>
        <w:t xml:space="preserve"> y le impone las medidas necesarias para evitar que se afecte la competencia y la libre concurrencia</w:t>
      </w:r>
      <w:r w:rsidRPr="00D02EA4">
        <w:rPr>
          <w:sz w:val="20"/>
          <w:lang w:eastAsia="es-ES"/>
        </w:rPr>
        <w:t>” (Resolución de Preponderancia en Telecomunicaciones).</w:t>
      </w:r>
      <w:r w:rsidRPr="00D02EA4">
        <w:rPr>
          <w:rStyle w:val="Refdenotaalpie"/>
          <w:sz w:val="20"/>
        </w:rPr>
        <w:footnoteReference w:id="55"/>
      </w:r>
      <w:r>
        <w:rPr>
          <w:sz w:val="20"/>
          <w:lang w:eastAsia="es-ES"/>
        </w:rPr>
        <w:t xml:space="preserve"> [Énfasis añadido]</w:t>
      </w:r>
    </w:p>
    <w:p w14:paraId="11338250" w14:textId="77777777" w:rsidR="00F80D00" w:rsidRDefault="00F80D00" w:rsidP="00F80D00">
      <w:pPr>
        <w:ind w:right="-1"/>
      </w:pPr>
      <w:r>
        <w:rPr>
          <w:lang w:eastAsia="es-ES"/>
        </w:rPr>
        <w:t xml:space="preserve">La </w:t>
      </w:r>
      <w:r w:rsidRPr="00D02EA4">
        <w:rPr>
          <w:lang w:eastAsia="es-ES"/>
        </w:rPr>
        <w:t>Resolución de Preponderancia en Telecomunicaciones</w:t>
      </w:r>
      <w:r>
        <w:rPr>
          <w:lang w:eastAsia="es-ES"/>
        </w:rPr>
        <w:t xml:space="preserve"> no ha sido revocada ni modificada en cuanto a la determinación del a</w:t>
      </w:r>
      <w:r w:rsidRPr="00FB6FE6">
        <w:t xml:space="preserve">gente </w:t>
      </w:r>
      <w:r>
        <w:t>e</w:t>
      </w:r>
      <w:r w:rsidRPr="00FB6FE6">
        <w:t xml:space="preserve">conómico </w:t>
      </w:r>
      <w:r>
        <w:t>p</w:t>
      </w:r>
      <w:r w:rsidRPr="00FB6FE6">
        <w:t>reponderante en el sector de telecomunicaciones (AEPT)</w:t>
      </w:r>
      <w:r>
        <w:t xml:space="preserve">. Dado que existe </w:t>
      </w:r>
      <w:r w:rsidRPr="003A5E18">
        <w:t>un agente económico preponderante en el sector de telecomunicaciones</w:t>
      </w:r>
      <w:r>
        <w:t xml:space="preserve">, la Operación puede tramitarse y resolverse en términos de lo dispuesto en </w:t>
      </w:r>
      <w:r w:rsidRPr="003A5E18">
        <w:t>los</w:t>
      </w:r>
      <w:r>
        <w:rPr>
          <w:b/>
        </w:rPr>
        <w:t xml:space="preserve"> </w:t>
      </w:r>
      <w:r w:rsidRPr="00D56B1B">
        <w:t>párrafo</w:t>
      </w:r>
      <w:r>
        <w:t>s</w:t>
      </w:r>
      <w:r w:rsidRPr="00D56B1B">
        <w:t xml:space="preserve"> primero </w:t>
      </w:r>
      <w:r>
        <w:t xml:space="preserve">a cuarto </w:t>
      </w:r>
      <w:r w:rsidRPr="00D56B1B">
        <w:t xml:space="preserve">del </w:t>
      </w:r>
      <w:r>
        <w:t>Artículo Noveno Transitorio</w:t>
      </w:r>
      <w:r w:rsidRPr="003A5E18">
        <w:t>.</w:t>
      </w:r>
    </w:p>
    <w:p w14:paraId="001B043F" w14:textId="77777777" w:rsidR="00F80D00" w:rsidRDefault="00F80D00" w:rsidP="00F80D00">
      <w:r>
        <w:t>Conforme a esa misma disposición,</w:t>
      </w:r>
      <w:r w:rsidRPr="008F4335">
        <w:t xml:space="preserve"> </w:t>
      </w:r>
      <w:r>
        <w:t xml:space="preserve">los agentes económicos </w:t>
      </w:r>
      <w:r w:rsidRPr="008F4335">
        <w:t>pueden</w:t>
      </w:r>
      <w:r>
        <w:t xml:space="preserve"> realizar </w:t>
      </w:r>
      <w:r w:rsidRPr="003A5E18">
        <w:rPr>
          <w:b/>
        </w:rPr>
        <w:t>concentraciones</w:t>
      </w:r>
      <w:r>
        <w:t xml:space="preserve"> en el sector de telecomunicaciones sin la autorización previa del Instituto, siempre que se reúnan los siguientes requisitos:</w:t>
      </w:r>
    </w:p>
    <w:p w14:paraId="277E8C73" w14:textId="77777777" w:rsidR="00F80D00" w:rsidRDefault="00F80D00" w:rsidP="00F80D00">
      <w:pPr>
        <w:pStyle w:val="Prrafodelista"/>
        <w:numPr>
          <w:ilvl w:val="0"/>
          <w:numId w:val="56"/>
        </w:numPr>
        <w:spacing w:after="120" w:line="276" w:lineRule="auto"/>
        <w:ind w:left="567"/>
        <w:contextualSpacing w:val="0"/>
      </w:pPr>
      <w:r>
        <w:t xml:space="preserve">Los agentes </w:t>
      </w:r>
      <w:r w:rsidRPr="008F4335">
        <w:t xml:space="preserve">económicos </w:t>
      </w:r>
      <w:r>
        <w:t>involucrados sean titulares de concesiones;</w:t>
      </w:r>
    </w:p>
    <w:p w14:paraId="3CDEEE06" w14:textId="77777777" w:rsidR="00F80D00" w:rsidRPr="003626E6" w:rsidRDefault="00F80D00" w:rsidP="00F80D00">
      <w:pPr>
        <w:pStyle w:val="Prrafodelista"/>
        <w:numPr>
          <w:ilvl w:val="0"/>
          <w:numId w:val="56"/>
        </w:numPr>
        <w:spacing w:after="120" w:line="276" w:lineRule="auto"/>
        <w:ind w:left="567"/>
        <w:contextualSpacing w:val="0"/>
      </w:pPr>
      <w:r>
        <w:t xml:space="preserve">Los agentes </w:t>
      </w:r>
      <w:r w:rsidRPr="008F4335">
        <w:t xml:space="preserve">económicos </w:t>
      </w:r>
      <w:r w:rsidRPr="003626E6">
        <w:t xml:space="preserve">involucrados presenten </w:t>
      </w:r>
      <w:r>
        <w:t xml:space="preserve">ante el Instituto </w:t>
      </w:r>
      <w:r w:rsidRPr="003626E6">
        <w:t>un aviso por escrito dentro de los 10 (diez) días siguientes a la realización de la concentración, y</w:t>
      </w:r>
    </w:p>
    <w:p w14:paraId="4F5E20AA" w14:textId="77777777" w:rsidR="00F80D00" w:rsidRPr="003626E6" w:rsidRDefault="00F80D00" w:rsidP="00F80D00">
      <w:pPr>
        <w:pStyle w:val="Prrafodelista"/>
        <w:numPr>
          <w:ilvl w:val="0"/>
          <w:numId w:val="56"/>
        </w:numPr>
        <w:spacing w:after="120" w:line="276" w:lineRule="auto"/>
        <w:ind w:left="567"/>
        <w:contextualSpacing w:val="0"/>
      </w:pPr>
      <w:r w:rsidRPr="003626E6">
        <w:t xml:space="preserve">El aviso se acompañe de la información a que se refiere el artículo 89 de la LFCE y los elementos de convicción que demuestren que la concentración cumple con los 4 (cuatro) requisitos señalados en los incisos </w:t>
      </w:r>
      <w:r w:rsidRPr="003626E6">
        <w:rPr>
          <w:b/>
        </w:rPr>
        <w:t>a</w:t>
      </w:r>
      <w:r w:rsidRPr="003626E6">
        <w:t xml:space="preserve">. a </w:t>
      </w:r>
      <w:r w:rsidRPr="003626E6">
        <w:rPr>
          <w:b/>
        </w:rPr>
        <w:t>d</w:t>
      </w:r>
      <w:r w:rsidRPr="003626E6">
        <w:t>. del párrafo primero del artículo de mérito.</w:t>
      </w:r>
    </w:p>
    <w:p w14:paraId="6917F458" w14:textId="40CEFF2A" w:rsidR="00F80D00" w:rsidRDefault="00F80D00" w:rsidP="00F80D00">
      <w:r>
        <w:t>E</w:t>
      </w:r>
      <w:r w:rsidRPr="003626E6">
        <w:t xml:space="preserve">n </w:t>
      </w:r>
      <w:r>
        <w:t>esta sección</w:t>
      </w:r>
      <w:r w:rsidRPr="003626E6">
        <w:t xml:space="preserve"> se realiza el análisis para determinar si la Operación cumple los requisitos mencionados</w:t>
      </w:r>
      <w:r>
        <w:t>, tomando en consideración los elementos contenidos en el expediente, aportados por las Partes</w:t>
      </w:r>
      <w:r w:rsidRPr="003626E6">
        <w:t>.</w:t>
      </w:r>
    </w:p>
    <w:p w14:paraId="5705C4F6" w14:textId="77777777" w:rsidR="00F80D00" w:rsidRPr="002F3305" w:rsidRDefault="00F80D00" w:rsidP="002F3305">
      <w:pPr>
        <w:rPr>
          <w:b/>
        </w:rPr>
      </w:pPr>
      <w:bookmarkStart w:id="56" w:name="_Toc510429551"/>
      <w:bookmarkStart w:id="57" w:name="_Toc510440070"/>
      <w:bookmarkStart w:id="58" w:name="_Toc511061426"/>
      <w:bookmarkEnd w:id="56"/>
      <w:bookmarkEnd w:id="57"/>
      <w:r w:rsidRPr="002F3305">
        <w:rPr>
          <w:b/>
        </w:rPr>
        <w:t>La Operación constituye una concentración</w:t>
      </w:r>
      <w:bookmarkEnd w:id="58"/>
    </w:p>
    <w:p w14:paraId="1361E7EA" w14:textId="77777777" w:rsidR="00F80D00" w:rsidRPr="003A5E18" w:rsidRDefault="00F80D00" w:rsidP="00F80D00">
      <w:r>
        <w:t xml:space="preserve">El término </w:t>
      </w:r>
      <w:r w:rsidRPr="003A5E18">
        <w:rPr>
          <w:i/>
        </w:rPr>
        <w:t>“concentración”</w:t>
      </w:r>
      <w:r>
        <w:t xml:space="preserve"> no está definido en la LFTR ni en el decreto que la expidió. No obstante, sirve de referencia la definición contenida en la LFCE</w:t>
      </w:r>
      <w:r w:rsidRPr="003A5E18">
        <w:t>:</w:t>
      </w:r>
    </w:p>
    <w:p w14:paraId="2E0AA79E" w14:textId="77777777" w:rsidR="00F80D00" w:rsidRPr="003A5E18" w:rsidRDefault="00F80D00" w:rsidP="00F80D00">
      <w:pPr>
        <w:pStyle w:val="Cita"/>
        <w:spacing w:before="120" w:after="120" w:line="276" w:lineRule="auto"/>
        <w:ind w:left="567" w:right="48"/>
        <w:jc w:val="center"/>
      </w:pPr>
      <w:r>
        <w:t>“</w:t>
      </w:r>
      <w:r w:rsidRPr="003A5E18">
        <w:t>Capítulo VI</w:t>
      </w:r>
    </w:p>
    <w:p w14:paraId="69CD274C" w14:textId="77777777" w:rsidR="00F80D00" w:rsidRPr="003A5E18" w:rsidRDefault="00F80D00" w:rsidP="00F80D00">
      <w:pPr>
        <w:pStyle w:val="Cita"/>
        <w:spacing w:before="120" w:after="120" w:line="276" w:lineRule="auto"/>
        <w:ind w:left="567" w:right="48"/>
        <w:jc w:val="center"/>
      </w:pPr>
      <w:r w:rsidRPr="003A5E18">
        <w:t>De las Concentraciones</w:t>
      </w:r>
    </w:p>
    <w:p w14:paraId="7E6972B6" w14:textId="77777777" w:rsidR="00F80D00" w:rsidRPr="003A5E18" w:rsidRDefault="00F80D00" w:rsidP="00F80D00">
      <w:pPr>
        <w:pStyle w:val="Cita"/>
        <w:spacing w:before="120" w:after="120" w:line="276" w:lineRule="auto"/>
        <w:ind w:left="567" w:right="48"/>
        <w:jc w:val="center"/>
      </w:pPr>
      <w:r w:rsidRPr="003A5E18">
        <w:t>Sección I</w:t>
      </w:r>
    </w:p>
    <w:p w14:paraId="2E62A3BC" w14:textId="77777777" w:rsidR="00F80D00" w:rsidRPr="003A5E18" w:rsidRDefault="00F80D00" w:rsidP="00F80D00">
      <w:pPr>
        <w:pStyle w:val="Cita"/>
        <w:spacing w:before="120" w:after="120" w:line="276" w:lineRule="auto"/>
        <w:ind w:left="567" w:right="48"/>
        <w:jc w:val="center"/>
      </w:pPr>
      <w:r w:rsidRPr="003A5E18">
        <w:t>De la Definición de Concentración</w:t>
      </w:r>
    </w:p>
    <w:p w14:paraId="19302144" w14:textId="77777777" w:rsidR="00F80D00" w:rsidRPr="003A5E18" w:rsidRDefault="00F80D00" w:rsidP="00F80D00">
      <w:pPr>
        <w:pStyle w:val="Cita"/>
        <w:spacing w:before="120" w:after="120" w:line="276" w:lineRule="auto"/>
        <w:ind w:left="567" w:right="48"/>
      </w:pPr>
      <w:r w:rsidRPr="003A5E18">
        <w:t xml:space="preserve">Artículo 61. Para los efectos de esta Ley, </w:t>
      </w:r>
      <w:r w:rsidRPr="003A5E18">
        <w:rPr>
          <w:b/>
        </w:rPr>
        <w:t>se entiende por concentración</w:t>
      </w:r>
      <w:r w:rsidRPr="003A5E18">
        <w:t xml:space="preserve"> la fusión, </w:t>
      </w:r>
      <w:r w:rsidRPr="003A5E18">
        <w:rPr>
          <w:b/>
        </w:rPr>
        <w:t>adquisición del control o cualquier acto</w:t>
      </w:r>
      <w:r w:rsidRPr="003A5E18">
        <w:t xml:space="preserve"> por virtud del cual se unan sociedades, asociaciones, acciones, partes sociales, fideicomisos o activos en general </w:t>
      </w:r>
      <w:r w:rsidRPr="003A5E18">
        <w:rPr>
          <w:b/>
        </w:rPr>
        <w:t xml:space="preserve">que se realice </w:t>
      </w:r>
      <w:r w:rsidRPr="003A5E18">
        <w:rPr>
          <w:b/>
        </w:rPr>
        <w:lastRenderedPageBreak/>
        <w:t>entre</w:t>
      </w:r>
      <w:r w:rsidRPr="003A5E18">
        <w:t xml:space="preserve"> competidores, proveedores, clientes o </w:t>
      </w:r>
      <w:r w:rsidRPr="003A5E18">
        <w:rPr>
          <w:b/>
        </w:rPr>
        <w:t>cualesquiera otros agentes económicos</w:t>
      </w:r>
      <w:r w:rsidRPr="003A5E18">
        <w:t xml:space="preserve">. La Comisión no autorizará o en su caso investigará y sancionará aquellas concentraciones cuyo objeto o efecto sea disminuir, dañar o impedir la competencia y la libre concurrencia respecto de bienes o servicios iguales, similares o sustancialmente relacionados.” </w:t>
      </w:r>
      <w:r w:rsidRPr="003A5E18">
        <w:rPr>
          <w:i w:val="0"/>
        </w:rPr>
        <w:t>[Énfasis añadido]</w:t>
      </w:r>
    </w:p>
    <w:p w14:paraId="6678E97E" w14:textId="77777777" w:rsidR="00F80D00" w:rsidRDefault="00F80D00" w:rsidP="00F80D00">
      <w:r>
        <w:t>Tratándose de un concepto jurídico indeterminado contenido en el régimen transitorio previsto en el decreto que expide a la LFTR, esta autoridad — en ejercicio de las facultades otorgadas en la fracción LVII del artículo 15 este ordenamiento — adopta una interpretación del término “</w:t>
      </w:r>
      <w:r w:rsidRPr="00044D07">
        <w:rPr>
          <w:i/>
        </w:rPr>
        <w:t>concentración</w:t>
      </w:r>
      <w:r>
        <w:t>” en forma armónica con lo previsto en el artículo 61 de la LFCE — que constituye una disposición administrativa en materia de telecomunicaciones y radiodifusión, que pertenece al ámbito de sus atribuciones.</w:t>
      </w:r>
    </w:p>
    <w:p w14:paraId="47A28507" w14:textId="69D5C6C5" w:rsidR="00F80D00" w:rsidRDefault="00F80D00" w:rsidP="00F80D00">
      <w:r>
        <w:t xml:space="preserve">Así, se verifica que la Operación constituye una </w:t>
      </w:r>
      <w:r>
        <w:rPr>
          <w:i/>
        </w:rPr>
        <w:t>concentración</w:t>
      </w:r>
      <w:r>
        <w:t xml:space="preserve"> consistente en la adquisición de las Sociedades Adquiridas por parte de los Compradores.</w:t>
      </w:r>
    </w:p>
    <w:p w14:paraId="40D639DB" w14:textId="77777777" w:rsidR="00F80D00" w:rsidRPr="002F3305" w:rsidRDefault="00F80D00" w:rsidP="002F3305">
      <w:pPr>
        <w:rPr>
          <w:b/>
        </w:rPr>
      </w:pPr>
      <w:bookmarkStart w:id="59" w:name="_Toc511061427"/>
      <w:r w:rsidRPr="002F3305">
        <w:rPr>
          <w:b/>
        </w:rPr>
        <w:t>5.1. Los Agentes económicos que realizaron la concentración son titulares de concesiones</w:t>
      </w:r>
      <w:bookmarkEnd w:id="59"/>
    </w:p>
    <w:p w14:paraId="75765801" w14:textId="77777777" w:rsidR="00F80D00" w:rsidRDefault="00F80D00" w:rsidP="00F80D00">
      <w:r>
        <w:t xml:space="preserve">El término </w:t>
      </w:r>
      <w:r w:rsidRPr="00B5535E">
        <w:rPr>
          <w:i/>
        </w:rPr>
        <w:t>“</w:t>
      </w:r>
      <w:r>
        <w:rPr>
          <w:i/>
        </w:rPr>
        <w:t>agente económico</w:t>
      </w:r>
      <w:r w:rsidRPr="00B5535E">
        <w:rPr>
          <w:i/>
        </w:rPr>
        <w:t>”</w:t>
      </w:r>
      <w:r>
        <w:t xml:space="preserve"> no está definido en la LFTR ni en el decreto que la expidió. No obstante, sirve de referencia la definición contenida en el artículo 3, fracción I, de la LFCE:</w:t>
      </w:r>
    </w:p>
    <w:p w14:paraId="581B0936" w14:textId="77777777" w:rsidR="00F80D00" w:rsidRDefault="00F80D00" w:rsidP="00F80D00">
      <w:pPr>
        <w:pStyle w:val="Cita"/>
        <w:spacing w:before="120" w:after="120" w:line="276" w:lineRule="auto"/>
        <w:ind w:left="567" w:right="48"/>
      </w:pPr>
      <w:r>
        <w:t>“Artículo 3. Para los efectos de esta Ley, se entiende por:</w:t>
      </w:r>
    </w:p>
    <w:p w14:paraId="203D375C" w14:textId="77777777" w:rsidR="00F80D00" w:rsidRDefault="00F80D00" w:rsidP="00F80D00">
      <w:pPr>
        <w:pStyle w:val="Cita"/>
        <w:spacing w:before="120" w:after="120" w:line="276" w:lineRule="auto"/>
        <w:ind w:left="567" w:right="48"/>
      </w:pPr>
      <w:r w:rsidRPr="003A5E18">
        <w:rPr>
          <w:b/>
        </w:rPr>
        <w:t xml:space="preserve">I. Agente Económico: </w:t>
      </w:r>
      <w:r>
        <w:t xml:space="preserve">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 </w:t>
      </w:r>
      <w:r w:rsidRPr="003A5E18">
        <w:rPr>
          <w:i w:val="0"/>
        </w:rPr>
        <w:t>[Énfasis añadido]</w:t>
      </w:r>
    </w:p>
    <w:p w14:paraId="6781769F" w14:textId="77777777" w:rsidR="00F80D00" w:rsidRPr="00B5535E" w:rsidRDefault="00F80D00" w:rsidP="00F80D00">
      <w:r>
        <w:t>De conformidad con diversos criterios judiciales,</w:t>
      </w:r>
      <w:r>
        <w:rPr>
          <w:rStyle w:val="Refdenotaalpie"/>
        </w:rPr>
        <w:footnoteReference w:id="56"/>
      </w:r>
      <w:r>
        <w:t xml:space="preserve"> aplicados consistentemente en precedentes decisorios del Instituto,</w:t>
      </w:r>
      <w:r>
        <w:rPr>
          <w:rStyle w:val="Refdenotaalpie"/>
        </w:rPr>
        <w:footnoteReference w:id="57"/>
      </w:r>
      <w:r>
        <w:t xml:space="preserve"> los agentes económicos se definen hasta su dimensión de grupo de interés económico. Lo anterior, en el entendido de que </w:t>
      </w:r>
      <w:r w:rsidRPr="00F61110">
        <w:t>cuando el artículo 3</w:t>
      </w:r>
      <w:r>
        <w:t xml:space="preserve">, fracción I, </w:t>
      </w:r>
      <w:r w:rsidRPr="00F61110">
        <w:t xml:space="preserve">de la LFCE se refiere a </w:t>
      </w:r>
      <w:r w:rsidRPr="003A5E18">
        <w:rPr>
          <w:i/>
        </w:rPr>
        <w:t>"cualquier otra forma de participación en la actividad económica"</w:t>
      </w:r>
      <w:r w:rsidRPr="00F61110">
        <w:t>, no se refiere solamente a la presencia de algún sujeto / de derecho, sino también a la actividad que éstos pueden desarrollar o realizar y que trasciende a la vida económica del país. Por ende, se colige que un grupo de personas físicas o morales, al participar en la economía como un solo ente, pueden, en su conjunto, considerarse como un "Agente Económico", con independencia de la forma en que el grupo esté configurado</w:t>
      </w:r>
    </w:p>
    <w:p w14:paraId="6CB0A66C" w14:textId="4B3F6419" w:rsidR="00F80D00" w:rsidRDefault="00F80D00" w:rsidP="00F80D00">
      <w:r>
        <w:t>En ejercicio de las facultades que la fracción LVII del artículo 15 de la LFTR otorga a esta autoridad, para efectos de esta resolución el término “</w:t>
      </w:r>
      <w:r w:rsidRPr="003A5E18">
        <w:rPr>
          <w:i/>
        </w:rPr>
        <w:t>agente económico</w:t>
      </w:r>
      <w:r>
        <w:t xml:space="preserve">” se entenderá </w:t>
      </w:r>
      <w:r>
        <w:lastRenderedPageBreak/>
        <w:t xml:space="preserve">hasta su dimensión de GIE. </w:t>
      </w:r>
      <w:r w:rsidRPr="003A5E18">
        <w:t>Un GIE se define como dos o más sujetos de derecho con intereses comerciales y financieros afines que coordinan sus actividades para participar en los mercados y actividades económicas, a través del control o influencia decisiva, directa o indirecta, que uno de sus integrantes ejerce sobre los demás.</w:t>
      </w:r>
    </w:p>
    <w:p w14:paraId="4FED7651" w14:textId="77777777" w:rsidR="00F80D00" w:rsidRPr="003A5E18" w:rsidRDefault="00F80D00" w:rsidP="00F80D00">
      <w:pPr>
        <w:autoSpaceDE w:val="0"/>
        <w:autoSpaceDN w:val="0"/>
      </w:pPr>
      <w:r>
        <w:t xml:space="preserve">Bajo esta interpretación, se evalúa si los agentes económicos —hasta su dimensión de </w:t>
      </w:r>
      <w:proofErr w:type="spellStart"/>
      <w:r>
        <w:t>GIEs</w:t>
      </w:r>
      <w:proofErr w:type="spellEnd"/>
      <w:r>
        <w:t xml:space="preserve"> — que realizaron la concentración (i.e. los Vendedores y los Compradores) son titulares de concesiones.</w:t>
      </w:r>
    </w:p>
    <w:p w14:paraId="63E0EFA5" w14:textId="77777777" w:rsidR="00F80D00" w:rsidRDefault="00F80D00" w:rsidP="00F80D00">
      <w:pPr>
        <w:ind w:right="-1"/>
      </w:pPr>
      <w:r>
        <w:t>C</w:t>
      </w:r>
      <w:r w:rsidRPr="008F4335">
        <w:t xml:space="preserve">omo se </w:t>
      </w:r>
      <w:r>
        <w:t xml:space="preserve">expone </w:t>
      </w:r>
      <w:r w:rsidRPr="008F4335">
        <w:t xml:space="preserve">en el Considerando </w:t>
      </w:r>
      <w:r>
        <w:t>Cuarto, a la fecha de cierre de la Operación:</w:t>
      </w:r>
    </w:p>
    <w:p w14:paraId="47566E33" w14:textId="77777777" w:rsidR="00F80D00" w:rsidRDefault="00F80D00" w:rsidP="00F80D00">
      <w:pPr>
        <w:pStyle w:val="Prrafodelista"/>
        <w:numPr>
          <w:ilvl w:val="0"/>
          <w:numId w:val="54"/>
        </w:numPr>
        <w:ind w:left="567" w:hanging="357"/>
        <w:contextualSpacing w:val="0"/>
      </w:pPr>
      <w:r>
        <w:t>El GIE Grupo KIO, al cual pertenecen los Vendedores, es titular de una concesión de red pública de telecomunicaciones a través de Metro Net (véase sección 4.1.4 de esta resolución), y</w:t>
      </w:r>
    </w:p>
    <w:p w14:paraId="59CE6B86" w14:textId="77777777" w:rsidR="00F80D00" w:rsidRDefault="00F80D00" w:rsidP="00F80D00">
      <w:pPr>
        <w:pStyle w:val="Prrafodelista"/>
        <w:numPr>
          <w:ilvl w:val="0"/>
          <w:numId w:val="54"/>
        </w:numPr>
        <w:ind w:left="567" w:hanging="357"/>
        <w:contextualSpacing w:val="0"/>
      </w:pPr>
      <w:r>
        <w:t xml:space="preserve">El GIE Grupo ATC, al cual pertenecen los Compradores, era titular de una concesión única a través de MATC </w:t>
      </w:r>
      <w:proofErr w:type="spellStart"/>
      <w:r>
        <w:t>Fibraoptica</w:t>
      </w:r>
      <w:proofErr w:type="spellEnd"/>
      <w:r>
        <w:t xml:space="preserve"> (véase sección 4.3.4 de esta resolución).</w:t>
      </w:r>
    </w:p>
    <w:p w14:paraId="5EFFDB14" w14:textId="77777777" w:rsidR="00F80D00" w:rsidRPr="008F4335" w:rsidRDefault="00F80D00" w:rsidP="00F80D00">
      <w:pPr>
        <w:ind w:right="-1"/>
      </w:pPr>
      <w:r>
        <w:t xml:space="preserve">En términos de lo anterior, </w:t>
      </w:r>
      <w:r>
        <w:rPr>
          <w:b/>
        </w:rPr>
        <w:t xml:space="preserve">se tiene por cumplido el requisito </w:t>
      </w:r>
      <w:r w:rsidRPr="00D56B1B">
        <w:t xml:space="preserve">establecido en el párrafo primero del </w:t>
      </w:r>
      <w:r>
        <w:t xml:space="preserve">Artículo Noveno Transitorio en el sentido de que </w:t>
      </w:r>
      <w:r w:rsidRPr="003A5E18">
        <w:rPr>
          <w:b/>
        </w:rPr>
        <w:t xml:space="preserve">la concentración </w:t>
      </w:r>
      <w:r w:rsidRPr="00F61110">
        <w:rPr>
          <w:b/>
        </w:rPr>
        <w:t>se realizó</w:t>
      </w:r>
      <w:r w:rsidRPr="00F32175">
        <w:rPr>
          <w:b/>
        </w:rPr>
        <w:t xml:space="preserve"> “</w:t>
      </w:r>
      <w:r w:rsidRPr="00F32175">
        <w:rPr>
          <w:b/>
          <w:i/>
        </w:rPr>
        <w:t>entre agentes económicos titulares de concesiones.</w:t>
      </w:r>
      <w:r w:rsidRPr="00F32175">
        <w:rPr>
          <w:b/>
        </w:rPr>
        <w:t>”</w:t>
      </w:r>
      <w:r>
        <w:t xml:space="preserve"> </w:t>
      </w:r>
    </w:p>
    <w:p w14:paraId="18848195" w14:textId="77777777" w:rsidR="00F80D00" w:rsidRPr="002F3305" w:rsidRDefault="00F80D00" w:rsidP="002F3305">
      <w:pPr>
        <w:rPr>
          <w:b/>
        </w:rPr>
      </w:pPr>
      <w:bookmarkStart w:id="60" w:name="_Toc511061428"/>
      <w:r w:rsidRPr="002F3305">
        <w:rPr>
          <w:b/>
        </w:rPr>
        <w:t>5.2. Presentación oportuna del Aviso de Concentración</w:t>
      </w:r>
      <w:bookmarkEnd w:id="60"/>
    </w:p>
    <w:p w14:paraId="2E6BF983" w14:textId="77777777" w:rsidR="00F80D00" w:rsidRDefault="00F80D00" w:rsidP="00F80D00">
      <w:pPr>
        <w:ind w:right="-1"/>
      </w:pPr>
      <w:r w:rsidRPr="00D02EE3">
        <w:t xml:space="preserve">De acuerdo con la información y la documentación proporcionada por las Partes, la Operación </w:t>
      </w:r>
      <w:r>
        <w:t>se realizó con efectos plenos</w:t>
      </w:r>
      <w:r w:rsidRPr="00D02EE3">
        <w:t xml:space="preserve"> el </w:t>
      </w:r>
      <w:r>
        <w:t>diecisiete</w:t>
      </w:r>
      <w:r w:rsidRPr="00D02EE3">
        <w:t xml:space="preserve"> de noviembre de </w:t>
      </w:r>
      <w:r>
        <w:t>dos mil diecisiete</w:t>
      </w:r>
      <w:r w:rsidRPr="00D02EE3">
        <w:t>.</w:t>
      </w:r>
      <w:r>
        <w:t xml:space="preserve"> Así, d</w:t>
      </w:r>
      <w:r w:rsidRPr="00D02EE3">
        <w:t xml:space="preserve">e conformidad con el párrafo cuarto del </w:t>
      </w:r>
      <w:r>
        <w:t>Artículo Noveno Transitorio</w:t>
      </w:r>
      <w:r w:rsidRPr="00D02EE3">
        <w:t xml:space="preserve">, las Partes debieron presentar el Aviso de Concentración ante el Instituto dentro de los 10 (diez) días siguientes al </w:t>
      </w:r>
      <w:r>
        <w:t>diecisiete</w:t>
      </w:r>
      <w:r w:rsidRPr="00D02EE3">
        <w:t xml:space="preserve"> de noviembre de </w:t>
      </w:r>
      <w:r>
        <w:t>dos mil diecisiete</w:t>
      </w:r>
      <w:r w:rsidRPr="00D02EE3">
        <w:t xml:space="preserve">. </w:t>
      </w:r>
    </w:p>
    <w:p w14:paraId="7F4FDBE5" w14:textId="77777777" w:rsidR="00F80D00" w:rsidRDefault="00F80D00" w:rsidP="00F80D00">
      <w:pPr>
        <w:ind w:right="-1"/>
      </w:pPr>
      <w:r>
        <w:t>E</w:t>
      </w:r>
      <w:r w:rsidRPr="00D02EE3">
        <w:t>n términos del artículo 28, párrafo primero, de la LFPA, aplicable en el presente procedimiento, las actuaciones se practicarán en días hábiles, por lo que el plazo</w:t>
      </w:r>
      <w:r>
        <w:t xml:space="preserve"> señalado en el párrafo anterior feneció el cuatro de diciembre de dos mil diecisiete, toda vez que el veinte de noviembre de dos mil diecisiete fue considerado inhábil en términos del artículo 28, párrafo segundo, de la LFPA, y el acuerdo CUARTO del </w:t>
      </w:r>
      <w:r w:rsidRPr="00044D07">
        <w:rPr>
          <w:i/>
        </w:rPr>
        <w:t>“</w:t>
      </w:r>
      <w:r w:rsidRPr="00D02EE3">
        <w:rPr>
          <w:i/>
        </w:rPr>
        <w:t>ACUERDO mediante el cual el Pleno del Instituto Federal de Telecomunicaciones aprueba su calendario anual de sesiones ordinarias y el calendario anual de labores para el año 2017 y principios de 2018</w:t>
      </w:r>
      <w:r>
        <w:rPr>
          <w:i/>
        </w:rPr>
        <w:t>”.</w:t>
      </w:r>
      <w:r>
        <w:rPr>
          <w:rStyle w:val="Refdenotaalpie"/>
          <w:i/>
        </w:rPr>
        <w:footnoteReference w:id="58"/>
      </w:r>
    </w:p>
    <w:p w14:paraId="35B3E112" w14:textId="77777777" w:rsidR="00F80D00" w:rsidRDefault="00F80D00" w:rsidP="00F80D00">
      <w:pPr>
        <w:ind w:right="-1"/>
      </w:pPr>
      <w:r>
        <w:t>Toda vez que el Aviso de Concentración fue presentado por las Partes ante el Instituto el cuatro de diciembre de dos mil diecisiete,</w:t>
      </w:r>
      <w:r w:rsidRPr="00D02EE3">
        <w:t xml:space="preserve"> </w:t>
      </w:r>
      <w:r>
        <w:t xml:space="preserve">se concluye que </w:t>
      </w:r>
      <w:r w:rsidRPr="00F32175">
        <w:rPr>
          <w:b/>
        </w:rPr>
        <w:t>éste fue presentado</w:t>
      </w:r>
      <w:r>
        <w:t xml:space="preserve"> </w:t>
      </w:r>
      <w:r w:rsidRPr="00D02EE3">
        <w:rPr>
          <w:b/>
        </w:rPr>
        <w:t xml:space="preserve">en tiempo y forma conforme al párrafo cuarto del </w:t>
      </w:r>
      <w:r>
        <w:rPr>
          <w:b/>
        </w:rPr>
        <w:t>Artículo Noveno Transitorio</w:t>
      </w:r>
      <w:r w:rsidRPr="00D02EE3">
        <w:t>.</w:t>
      </w:r>
    </w:p>
    <w:p w14:paraId="50CE3333" w14:textId="77777777" w:rsidR="00F80D00" w:rsidRPr="002F3305" w:rsidRDefault="00F80D00" w:rsidP="002F3305">
      <w:pPr>
        <w:rPr>
          <w:b/>
        </w:rPr>
      </w:pPr>
      <w:bookmarkStart w:id="61" w:name="_Toc511061429"/>
      <w:r w:rsidRPr="002F3305">
        <w:rPr>
          <w:b/>
        </w:rPr>
        <w:t>5.3. Evaluación de los requisitos previstos en los incisos a. a d. del párrafo primero del Artículo Noveno Transitorio</w:t>
      </w:r>
      <w:bookmarkEnd w:id="61"/>
    </w:p>
    <w:p w14:paraId="118F0632" w14:textId="77777777" w:rsidR="00F80D00" w:rsidRPr="002F3305" w:rsidRDefault="00F80D00" w:rsidP="002F3305">
      <w:pPr>
        <w:rPr>
          <w:b/>
        </w:rPr>
      </w:pPr>
      <w:bookmarkStart w:id="62" w:name="_Toc511061430"/>
      <w:r w:rsidRPr="002F3305">
        <w:rPr>
          <w:b/>
        </w:rPr>
        <w:lastRenderedPageBreak/>
        <w:t>Elementos para calcular las participaciones sectoriales previstas en los incisos a. y b.</w:t>
      </w:r>
      <w:bookmarkEnd w:id="62"/>
    </w:p>
    <w:p w14:paraId="36ED5766" w14:textId="77777777" w:rsidR="00F80D00" w:rsidRPr="00D12845" w:rsidRDefault="00F80D00" w:rsidP="00F80D00">
      <w:pPr>
        <w:ind w:right="-1"/>
        <w:rPr>
          <w:lang w:eastAsia="es-ES"/>
        </w:rPr>
      </w:pPr>
      <w:r w:rsidRPr="00D12845">
        <w:t>A este respecto, e</w:t>
      </w:r>
      <w:r w:rsidRPr="00D12845">
        <w:rPr>
          <w:lang w:eastAsia="es-ES"/>
        </w:rPr>
        <w:t xml:space="preserve">n la Resolución de Preponderancia en Telecomunicaciones el Instituto identificó 7 (siete) </w:t>
      </w:r>
      <w:r w:rsidRPr="00D12845">
        <w:t>servicios de referencia para estimar la participación del AEPT:</w:t>
      </w:r>
    </w:p>
    <w:p w14:paraId="4A3EB67A" w14:textId="77777777" w:rsidR="00F80D00" w:rsidRPr="00D12845" w:rsidRDefault="00F80D00" w:rsidP="00F80D00">
      <w:pPr>
        <w:pStyle w:val="Prrafodelista"/>
        <w:numPr>
          <w:ilvl w:val="0"/>
          <w:numId w:val="4"/>
        </w:numPr>
        <w:spacing w:after="120" w:line="276" w:lineRule="auto"/>
        <w:ind w:left="567" w:right="-1"/>
        <w:contextualSpacing w:val="0"/>
      </w:pPr>
      <w:r w:rsidRPr="00D12845">
        <w:t xml:space="preserve">Servicio de </w:t>
      </w:r>
      <w:r>
        <w:t>T</w:t>
      </w:r>
      <w:r w:rsidRPr="00D12845">
        <w:t xml:space="preserve">elefonía </w:t>
      </w:r>
      <w:r>
        <w:t>F</w:t>
      </w:r>
      <w:r w:rsidRPr="00D12845">
        <w:t>ija,</w:t>
      </w:r>
    </w:p>
    <w:p w14:paraId="62EB38AA" w14:textId="77777777" w:rsidR="00F80D00" w:rsidRPr="00D12845" w:rsidRDefault="00F80D00" w:rsidP="00F80D00">
      <w:pPr>
        <w:pStyle w:val="Prrafodelista"/>
        <w:numPr>
          <w:ilvl w:val="0"/>
          <w:numId w:val="4"/>
        </w:numPr>
        <w:spacing w:after="120" w:line="276" w:lineRule="auto"/>
        <w:ind w:left="567" w:right="-1"/>
        <w:contextualSpacing w:val="0"/>
      </w:pPr>
      <w:r w:rsidRPr="00D12845">
        <w:t>Servicio de Acceso a Internet Fijo,</w:t>
      </w:r>
    </w:p>
    <w:p w14:paraId="74E9C37F" w14:textId="77777777" w:rsidR="00F80D00" w:rsidRPr="00D12845" w:rsidRDefault="00F80D00" w:rsidP="00F80D00">
      <w:pPr>
        <w:pStyle w:val="Prrafodelista"/>
        <w:numPr>
          <w:ilvl w:val="0"/>
          <w:numId w:val="4"/>
        </w:numPr>
        <w:spacing w:after="120" w:line="276" w:lineRule="auto"/>
        <w:ind w:left="567" w:right="-1"/>
        <w:contextualSpacing w:val="0"/>
      </w:pPr>
      <w:r w:rsidRPr="00D12845">
        <w:t xml:space="preserve">Servicio de </w:t>
      </w:r>
      <w:r>
        <w:t>T</w:t>
      </w:r>
      <w:r w:rsidRPr="00D12845">
        <w:t xml:space="preserve">elefonía </w:t>
      </w:r>
      <w:r>
        <w:t>M</w:t>
      </w:r>
      <w:r w:rsidRPr="00D12845">
        <w:t>óvil,</w:t>
      </w:r>
    </w:p>
    <w:p w14:paraId="46FDD500" w14:textId="77777777" w:rsidR="00F80D00" w:rsidRPr="00D12845" w:rsidRDefault="00F80D00" w:rsidP="00F80D00">
      <w:pPr>
        <w:pStyle w:val="Prrafodelista"/>
        <w:numPr>
          <w:ilvl w:val="0"/>
          <w:numId w:val="4"/>
        </w:numPr>
        <w:spacing w:after="120" w:line="276" w:lineRule="auto"/>
        <w:ind w:left="567" w:right="-1"/>
        <w:contextualSpacing w:val="0"/>
      </w:pPr>
      <w:r w:rsidRPr="00D12845">
        <w:t xml:space="preserve">Servicio de datos móviles (Acceso a Internet </w:t>
      </w:r>
      <w:r>
        <w:t>M</w:t>
      </w:r>
      <w:r w:rsidRPr="00D12845">
        <w:t>óvil),</w:t>
      </w:r>
    </w:p>
    <w:p w14:paraId="12E13034" w14:textId="77777777" w:rsidR="00F80D00" w:rsidRPr="00D12845" w:rsidRDefault="00F80D00" w:rsidP="00F80D00">
      <w:pPr>
        <w:pStyle w:val="Prrafodelista"/>
        <w:numPr>
          <w:ilvl w:val="0"/>
          <w:numId w:val="4"/>
        </w:numPr>
        <w:spacing w:after="120" w:line="276" w:lineRule="auto"/>
        <w:ind w:left="567" w:right="-1"/>
        <w:contextualSpacing w:val="0"/>
      </w:pPr>
      <w:r w:rsidRPr="00D12845">
        <w:t xml:space="preserve">Servicio de </w:t>
      </w:r>
      <w:r>
        <w:t>T</w:t>
      </w:r>
      <w:r w:rsidRPr="00D12845">
        <w:t xml:space="preserve">elevisión </w:t>
      </w:r>
      <w:r>
        <w:t>y Audio Restringido (STAR)</w:t>
      </w:r>
      <w:r w:rsidRPr="00D12845">
        <w:t>,</w:t>
      </w:r>
    </w:p>
    <w:p w14:paraId="6402EE24" w14:textId="77777777" w:rsidR="00F80D00" w:rsidRPr="00D12845" w:rsidRDefault="00F80D00" w:rsidP="00F80D00">
      <w:pPr>
        <w:pStyle w:val="Prrafodelista"/>
        <w:numPr>
          <w:ilvl w:val="0"/>
          <w:numId w:val="4"/>
        </w:numPr>
        <w:spacing w:after="120" w:line="276" w:lineRule="auto"/>
        <w:ind w:left="567" w:right="-1"/>
        <w:contextualSpacing w:val="0"/>
      </w:pPr>
      <w:r w:rsidRPr="00D12845">
        <w:t>Servicio de radiolocalización móvil de personas</w:t>
      </w:r>
      <w:r>
        <w:t xml:space="preserve"> (</w:t>
      </w:r>
      <w:proofErr w:type="spellStart"/>
      <w:r w:rsidRPr="00D30BB2">
        <w:rPr>
          <w:i/>
        </w:rPr>
        <w:t>Paging</w:t>
      </w:r>
      <w:proofErr w:type="spellEnd"/>
      <w:r>
        <w:t>)</w:t>
      </w:r>
      <w:r w:rsidRPr="00D12845">
        <w:t>, y</w:t>
      </w:r>
    </w:p>
    <w:p w14:paraId="5F76BE35" w14:textId="77777777" w:rsidR="00F80D00" w:rsidRPr="00D12845" w:rsidRDefault="00F80D00" w:rsidP="00F80D00">
      <w:pPr>
        <w:pStyle w:val="Prrafodelista"/>
        <w:numPr>
          <w:ilvl w:val="0"/>
          <w:numId w:val="4"/>
        </w:numPr>
        <w:spacing w:after="120" w:line="276" w:lineRule="auto"/>
        <w:ind w:left="567" w:right="-1"/>
        <w:contextualSpacing w:val="0"/>
      </w:pPr>
      <w:r w:rsidRPr="00D12845">
        <w:t>Servicio móvil de radiocomunicación especializada de flotillas</w:t>
      </w:r>
      <w:r>
        <w:t xml:space="preserve"> (</w:t>
      </w:r>
      <w:proofErr w:type="spellStart"/>
      <w:r w:rsidRPr="00D30BB2">
        <w:rPr>
          <w:i/>
        </w:rPr>
        <w:t>Trunking</w:t>
      </w:r>
      <w:proofErr w:type="spellEnd"/>
      <w:r>
        <w:t>)</w:t>
      </w:r>
      <w:r w:rsidRPr="00D12845">
        <w:t>.</w:t>
      </w:r>
    </w:p>
    <w:p w14:paraId="696BDD01" w14:textId="0087C7B5" w:rsidR="00F80D00" w:rsidRDefault="00F80D00" w:rsidP="00F80D00">
      <w:pPr>
        <w:ind w:right="-1"/>
      </w:pPr>
      <w:r w:rsidRPr="00D12845">
        <w:t xml:space="preserve">En consistencia con la </w:t>
      </w:r>
      <w:r w:rsidRPr="00D12845">
        <w:rPr>
          <w:lang w:eastAsia="es-ES"/>
        </w:rPr>
        <w:t xml:space="preserve">Resolución de Preponderancia en Telecomunicaciones, </w:t>
      </w:r>
      <w:r w:rsidRPr="00D12845">
        <w:t xml:space="preserve">para evaluar los requisitos establecidos en los incisos </w:t>
      </w:r>
      <w:r w:rsidRPr="00D12845">
        <w:rPr>
          <w:b/>
        </w:rPr>
        <w:t>a. y</w:t>
      </w:r>
      <w:r w:rsidRPr="00D12845">
        <w:t xml:space="preserve"> </w:t>
      </w:r>
      <w:r w:rsidRPr="00D12845">
        <w:rPr>
          <w:b/>
        </w:rPr>
        <w:t xml:space="preserve">b. </w:t>
      </w:r>
      <w:r w:rsidRPr="00D12845">
        <w:t xml:space="preserve">del párrafo primero del </w:t>
      </w:r>
      <w:r>
        <w:t>Artículo Noveno Transitorio</w:t>
      </w:r>
      <w:r w:rsidRPr="00D12845">
        <w:t xml:space="preserve">, en la presente resolución se consideran los 7 (siete) servicios referidos en la </w:t>
      </w:r>
      <w:r w:rsidRPr="00D12845">
        <w:rPr>
          <w:lang w:eastAsia="es-ES"/>
        </w:rPr>
        <w:t>Resolución de Preponderancia en Telecomunicaciones</w:t>
      </w:r>
      <w:r w:rsidRPr="00D12845">
        <w:t>.</w:t>
      </w:r>
    </w:p>
    <w:p w14:paraId="6A0A62D3" w14:textId="77777777" w:rsidR="00F80D00" w:rsidRDefault="00F80D00" w:rsidP="00F80D00">
      <w:pPr>
        <w:ind w:right="-1"/>
        <w:rPr>
          <w:lang w:eastAsia="es-ES"/>
        </w:rPr>
      </w:pPr>
      <w:r w:rsidRPr="00D12845">
        <w:t xml:space="preserve">Adicionalmente a lo anterior, se identificó que </w:t>
      </w:r>
      <w:r>
        <w:t>los Compradores y las Sociedades Adquiridas</w:t>
      </w:r>
      <w:r w:rsidRPr="00D12845">
        <w:t xml:space="preserve"> participan en la provisión de otros servicios en el sector de telecomunicaciones</w:t>
      </w:r>
      <w:r>
        <w:t>:</w:t>
      </w:r>
      <w:r w:rsidRPr="00D12845">
        <w:t xml:space="preserve"> </w:t>
      </w:r>
      <w:r w:rsidRPr="00D30BB2">
        <w:rPr>
          <w:b/>
          <w:szCs w:val="18"/>
        </w:rPr>
        <w:t xml:space="preserve">Enlaces </w:t>
      </w:r>
      <w:r>
        <w:rPr>
          <w:b/>
          <w:szCs w:val="18"/>
        </w:rPr>
        <w:t>d</w:t>
      </w:r>
      <w:r w:rsidRPr="00D30BB2">
        <w:rPr>
          <w:b/>
          <w:szCs w:val="18"/>
        </w:rPr>
        <w:t xml:space="preserve">edicados </w:t>
      </w:r>
      <w:r w:rsidRPr="00D30BB2">
        <w:rPr>
          <w:b/>
        </w:rPr>
        <w:t xml:space="preserve">y </w:t>
      </w:r>
      <w:r w:rsidRPr="00D30BB2">
        <w:rPr>
          <w:b/>
          <w:szCs w:val="18"/>
        </w:rPr>
        <w:t>Sitios para Telecomunicaciones</w:t>
      </w:r>
      <w:r>
        <w:t xml:space="preserve">. </w:t>
      </w:r>
      <w:r>
        <w:rPr>
          <w:lang w:eastAsia="es-ES"/>
        </w:rPr>
        <w:t>En particular, se identificó que el GIE Grupo ATC participa en la provisión de Sitios para Telecomunicaciones, el cual en precedentes decisorios de este Instituto se ha considerado como un servicio que pertenece al sector de telecomunicaciones.</w:t>
      </w:r>
      <w:r>
        <w:rPr>
          <w:rStyle w:val="Refdenotaalpie"/>
          <w:lang w:eastAsia="es-ES"/>
        </w:rPr>
        <w:footnoteReference w:id="59"/>
      </w:r>
    </w:p>
    <w:p w14:paraId="2B7E3556" w14:textId="77777777" w:rsidR="00F80D00" w:rsidRDefault="00F80D00" w:rsidP="00F80D00">
      <w:pPr>
        <w:ind w:right="-1"/>
        <w:rPr>
          <w:b/>
          <w:szCs w:val="18"/>
        </w:rPr>
      </w:pPr>
      <w:r>
        <w:rPr>
          <w:lang w:eastAsia="es-ES"/>
        </w:rPr>
        <w:lastRenderedPageBreak/>
        <w:t xml:space="preserve">Así, </w:t>
      </w:r>
      <w:r w:rsidRPr="00D12845">
        <w:t xml:space="preserve">para efectos de evaluar los incisos a. y b. </w:t>
      </w:r>
      <w:r w:rsidRPr="00883D6B">
        <w:t>mencionados</w:t>
      </w:r>
      <w:r>
        <w:t xml:space="preserve">, </w:t>
      </w:r>
      <w:r w:rsidRPr="00E4427F">
        <w:rPr>
          <w:b/>
        </w:rPr>
        <w:t>en la presente resolución, además de los 7 (siete) servicios señalados anteriormente, también se considera</w:t>
      </w:r>
      <w:r>
        <w:rPr>
          <w:b/>
        </w:rPr>
        <w:t>n</w:t>
      </w:r>
      <w:r w:rsidRPr="00E4427F">
        <w:rPr>
          <w:b/>
        </w:rPr>
        <w:t xml:space="preserve"> l</w:t>
      </w:r>
      <w:r>
        <w:rPr>
          <w:b/>
        </w:rPr>
        <w:t>os</w:t>
      </w:r>
      <w:r w:rsidRPr="00E4427F">
        <w:rPr>
          <w:b/>
        </w:rPr>
        <w:t xml:space="preserve"> servicio</w:t>
      </w:r>
      <w:r>
        <w:rPr>
          <w:b/>
        </w:rPr>
        <w:t>s</w:t>
      </w:r>
      <w:r w:rsidRPr="00E4427F">
        <w:rPr>
          <w:b/>
        </w:rPr>
        <w:t xml:space="preserve"> de </w:t>
      </w:r>
      <w:r>
        <w:rPr>
          <w:b/>
        </w:rPr>
        <w:t xml:space="preserve">Enlaces dedicados y </w:t>
      </w:r>
      <w:r w:rsidRPr="00E4427F">
        <w:rPr>
          <w:b/>
          <w:szCs w:val="18"/>
        </w:rPr>
        <w:t>Sitios para Telecomunicaciones</w:t>
      </w:r>
      <w:r>
        <w:rPr>
          <w:b/>
          <w:szCs w:val="18"/>
        </w:rPr>
        <w:t>.</w:t>
      </w:r>
    </w:p>
    <w:p w14:paraId="23D0E150" w14:textId="77777777" w:rsidR="00F80D00" w:rsidRDefault="00F80D00" w:rsidP="00F80D00">
      <w:pPr>
        <w:ind w:right="-1"/>
      </w:pPr>
      <w:r>
        <w:t>D</w:t>
      </w:r>
      <w:r w:rsidRPr="00883D6B">
        <w:t xml:space="preserve">e conformidad con lo establecido en el párrafo segundo del </w:t>
      </w:r>
      <w:r>
        <w:t>Artículo Noveno Transitorio</w:t>
      </w:r>
      <w:r w:rsidRPr="00883D6B">
        <w:t>, para estimar las participaciones sectoriales y los índices de concentración en el sector, se toma como indicador el número de suscriptores y usuarios de los servicios.</w:t>
      </w:r>
    </w:p>
    <w:p w14:paraId="1F606EF7" w14:textId="1FA9887D" w:rsidR="00F80D00" w:rsidRDefault="00F80D00" w:rsidP="00F80D00">
      <w:pPr>
        <w:ind w:right="-1"/>
        <w:rPr>
          <w:lang w:eastAsia="es-ES"/>
        </w:rPr>
      </w:pPr>
      <w:r w:rsidRPr="0093190F">
        <w:rPr>
          <w:szCs w:val="18"/>
        </w:rPr>
        <w:t>Es de señalar que, para el servicio</w:t>
      </w:r>
      <w:r w:rsidRPr="00783F4F">
        <w:rPr>
          <w:szCs w:val="18"/>
        </w:rPr>
        <w:t xml:space="preserve"> de Enlaces dedicados</w:t>
      </w:r>
      <w:r>
        <w:rPr>
          <w:szCs w:val="18"/>
        </w:rPr>
        <w:t>,</w:t>
      </w:r>
      <w:r w:rsidRPr="00783F4F">
        <w:rPr>
          <w:szCs w:val="18"/>
        </w:rPr>
        <w:t xml:space="preserve"> </w:t>
      </w:r>
      <w:r>
        <w:rPr>
          <w:szCs w:val="18"/>
        </w:rPr>
        <w:t xml:space="preserve">se cuenta con información respecto a los suscriptores de las Sociedades Adquiridas y del GIE Grupo KIO, pero </w:t>
      </w:r>
      <w:r w:rsidRPr="00783F4F">
        <w:t xml:space="preserve">no se cuenta con </w:t>
      </w:r>
      <w:r w:rsidRPr="00783F4F">
        <w:rPr>
          <w:lang w:eastAsia="es-ES"/>
        </w:rPr>
        <w:t>información</w:t>
      </w:r>
      <w:r>
        <w:rPr>
          <w:lang w:eastAsia="es-ES"/>
        </w:rPr>
        <w:t xml:space="preserve"> de usuarios o suscriptores de ese servicio respecto a los demás competidores</w:t>
      </w:r>
      <w:r w:rsidRPr="00E4427F">
        <w:rPr>
          <w:lang w:eastAsia="es-ES"/>
        </w:rPr>
        <w:t>.</w:t>
      </w:r>
      <w:r>
        <w:rPr>
          <w:lang w:eastAsia="es-ES"/>
        </w:rPr>
        <w:t xml:space="preserve"> </w:t>
      </w:r>
    </w:p>
    <w:p w14:paraId="518DB659" w14:textId="77777777" w:rsidR="00F80D00" w:rsidRPr="00883D6B" w:rsidRDefault="00F80D00" w:rsidP="00F80D00">
      <w:pPr>
        <w:ind w:right="-1"/>
      </w:pPr>
      <w:r>
        <w:rPr>
          <w:lang w:eastAsia="es-ES"/>
        </w:rPr>
        <w:t>En ese sentido, para efectos del análisis de la presente resolución, se considera que los suscriptores de Enlaces dedicados de las Sociedades Adquiridas y del GIE Grupo KIO equivalen al total de suscriptores de ese servicio, lo cual corresponde al escenario más estricto para la Operación en términos de los efectos en materia de competencia económica y de variación en los índices de concentración previstos en el Artículo Noveno Transitorio</w:t>
      </w:r>
      <w:r>
        <w:t>.</w:t>
      </w:r>
    </w:p>
    <w:p w14:paraId="44994C26" w14:textId="77777777" w:rsidR="00F80D00" w:rsidRPr="002F3305" w:rsidRDefault="00F80D00" w:rsidP="002F3305">
      <w:pPr>
        <w:ind w:firstLine="708"/>
        <w:rPr>
          <w:b/>
        </w:rPr>
      </w:pPr>
      <w:bookmarkStart w:id="63" w:name="_Toc511061431"/>
      <w:r w:rsidRPr="002F3305">
        <w:rPr>
          <w:b/>
        </w:rPr>
        <w:t>5.3.1. Inciso a.</w:t>
      </w:r>
      <w:bookmarkEnd w:id="63"/>
    </w:p>
    <w:p w14:paraId="480B2326" w14:textId="77777777" w:rsidR="00F80D00" w:rsidRDefault="00F80D00" w:rsidP="00F80D00">
      <w:pPr>
        <w:rPr>
          <w:highlight w:val="yellow"/>
        </w:rPr>
      </w:pPr>
      <w:r w:rsidRPr="00DF2911">
        <w:t xml:space="preserve">El inciso a. del párrafo primero del </w:t>
      </w:r>
      <w:r>
        <w:t>Artículo Noveno Transitorio establece lo siguiente:</w:t>
      </w:r>
    </w:p>
    <w:p w14:paraId="6E503E5F" w14:textId="77777777" w:rsidR="00F80D00" w:rsidRPr="00FD7A15" w:rsidRDefault="00F80D00" w:rsidP="00F80D00">
      <w:pPr>
        <w:pStyle w:val="Prrafodelista"/>
        <w:numPr>
          <w:ilvl w:val="0"/>
          <w:numId w:val="23"/>
        </w:numPr>
        <w:spacing w:after="120" w:line="276" w:lineRule="auto"/>
        <w:ind w:left="567"/>
        <w:contextualSpacing w:val="0"/>
        <w:rPr>
          <w:sz w:val="20"/>
        </w:rPr>
      </w:pPr>
      <w:r w:rsidRPr="00FD7A15">
        <w:rPr>
          <w:i/>
          <w:sz w:val="20"/>
        </w:rPr>
        <w:t xml:space="preserve">Generen una reducción sectorial del Índice de Dominancia “ID”, siempre que el índice </w:t>
      </w:r>
      <w:proofErr w:type="spellStart"/>
      <w:r w:rsidRPr="00FD7A15">
        <w:rPr>
          <w:i/>
          <w:sz w:val="20"/>
        </w:rPr>
        <w:t>Hirschman-Herfindahl</w:t>
      </w:r>
      <w:proofErr w:type="spellEnd"/>
      <w:r w:rsidRPr="00FD7A15">
        <w:rPr>
          <w:i/>
          <w:sz w:val="20"/>
        </w:rPr>
        <w:t xml:space="preserve"> “IHH” no se incremente en más de doscientos puntos;</w:t>
      </w:r>
    </w:p>
    <w:p w14:paraId="1775ACFD" w14:textId="0AD3FA72" w:rsidR="00F80D00" w:rsidRDefault="00F80D00" w:rsidP="00F80D00">
      <w:r w:rsidRPr="00BB7CDC">
        <w:t>Los índices de concentración IHH e ID se estiman con base en las participaciones de las Partes y terceros agentes económi</w:t>
      </w:r>
      <w:r>
        <w:t xml:space="preserve">cos que concurren en el sector. </w:t>
      </w:r>
      <w:r w:rsidRPr="00BB7CDC">
        <w:t>A continuación</w:t>
      </w:r>
      <w:r>
        <w:t>,</w:t>
      </w:r>
      <w:r w:rsidRPr="00BB7CDC">
        <w:t xml:space="preserve"> se presenta</w:t>
      </w:r>
      <w:r>
        <w:t xml:space="preserve"> el número de usuarios y suscriptores por proveedor </w:t>
      </w:r>
      <w:r w:rsidRPr="00BB7CDC">
        <w:t>con base en la información de la que dispone este Instituto respecto de 9 (nueve) servicios identificados en el sector de telecomunicaciones: T</w:t>
      </w:r>
      <w:r w:rsidRPr="00BB7CDC">
        <w:rPr>
          <w:rFonts w:cs="Arial"/>
          <w:color w:val="000000"/>
        </w:rPr>
        <w:t xml:space="preserve">elefonía Fija, Acceso a Internet Fijo, Telefonía Móvil, Acceso a Internet Móvil, STAR, </w:t>
      </w:r>
      <w:proofErr w:type="spellStart"/>
      <w:r w:rsidRPr="00BB7CDC">
        <w:rPr>
          <w:rFonts w:cs="Arial"/>
          <w:i/>
          <w:color w:val="000000"/>
        </w:rPr>
        <w:t>Paging</w:t>
      </w:r>
      <w:proofErr w:type="spellEnd"/>
      <w:r w:rsidRPr="00BB7CDC">
        <w:rPr>
          <w:rFonts w:cs="Arial"/>
          <w:color w:val="000000"/>
        </w:rPr>
        <w:t xml:space="preserve">, </w:t>
      </w:r>
      <w:proofErr w:type="spellStart"/>
      <w:r w:rsidRPr="00BB7CDC">
        <w:rPr>
          <w:rFonts w:cs="Arial"/>
          <w:i/>
          <w:color w:val="000000"/>
        </w:rPr>
        <w:t>Trunking</w:t>
      </w:r>
      <w:proofErr w:type="spellEnd"/>
      <w:r w:rsidRPr="00BB7CDC">
        <w:rPr>
          <w:rFonts w:cs="Arial"/>
          <w:color w:val="000000"/>
        </w:rPr>
        <w:t>, Enlaces Dedicados y Sitios para Telecomunicaciones</w:t>
      </w:r>
      <w:r w:rsidRPr="00BB7CDC">
        <w:t>.</w:t>
      </w:r>
    </w:p>
    <w:p w14:paraId="187A1DBC" w14:textId="77777777" w:rsidR="00F80D00" w:rsidRPr="000D4CA0" w:rsidRDefault="00F80D00" w:rsidP="00F80D00">
      <w:pPr>
        <w:pStyle w:val="Sinespaciado"/>
        <w:keepNext/>
        <w:numPr>
          <w:ilvl w:val="0"/>
          <w:numId w:val="24"/>
        </w:numPr>
        <w:spacing w:before="120" w:after="120" w:line="276" w:lineRule="auto"/>
        <w:ind w:left="1701" w:right="48" w:hanging="1275"/>
        <w:jc w:val="both"/>
        <w:rPr>
          <w:rFonts w:ascii="ITC Avant Garde" w:hAnsi="ITC Avant Garde"/>
          <w:b/>
        </w:rPr>
      </w:pPr>
      <w:r w:rsidRPr="000D4CA0">
        <w:rPr>
          <w:rFonts w:ascii="ITC Avant Garde" w:hAnsi="ITC Avant Garde"/>
          <w:b/>
        </w:rPr>
        <w:t>Suscriptores y usuarios, a nivel nacional, de servicios en el sector de telecomunicaciones (</w:t>
      </w:r>
      <w:r>
        <w:rPr>
          <w:rFonts w:ascii="ITC Avant Garde" w:hAnsi="ITC Avant Garde"/>
          <w:b/>
        </w:rPr>
        <w:t>junio</w:t>
      </w:r>
      <w:r w:rsidRPr="000D4CA0">
        <w:rPr>
          <w:rFonts w:ascii="ITC Avant Garde" w:hAnsi="ITC Avant Garde"/>
          <w:b/>
        </w:rPr>
        <w:t xml:space="preserve"> de 2017)</w:t>
      </w:r>
    </w:p>
    <w:tbl>
      <w:tblPr>
        <w:tblStyle w:val="Tablaconcuadrcula"/>
        <w:tblW w:w="9493" w:type="dxa"/>
        <w:tblLook w:val="04A0" w:firstRow="1" w:lastRow="0" w:firstColumn="1" w:lastColumn="0" w:noHBand="0" w:noVBand="1"/>
        <w:tblCaption w:val="Cuadro 25."/>
        <w:tblDescription w:val="Presenta los datos respecto de los suscriptores y usuarios, a nivel nacional, de servicios en el sector de telecomunicaciones (junio de 2017)"/>
      </w:tblPr>
      <w:tblGrid>
        <w:gridCol w:w="2353"/>
        <w:gridCol w:w="1718"/>
        <w:gridCol w:w="1986"/>
        <w:gridCol w:w="1718"/>
        <w:gridCol w:w="1718"/>
      </w:tblGrid>
      <w:tr w:rsidR="007B485A" w14:paraId="73F597E9" w14:textId="77777777" w:rsidTr="00483A07">
        <w:trPr>
          <w:tblHeader/>
        </w:trPr>
        <w:tc>
          <w:tcPr>
            <w:tcW w:w="2353" w:type="dxa"/>
            <w:shd w:val="clear" w:color="auto" w:fill="92D050"/>
            <w:vAlign w:val="center"/>
          </w:tcPr>
          <w:p w14:paraId="5805DC86" w14:textId="3BFAF923" w:rsidR="007B485A" w:rsidRDefault="007B485A" w:rsidP="007B485A">
            <w:pPr>
              <w:spacing w:before="0" w:after="0" w:line="240" w:lineRule="auto"/>
              <w:ind w:right="-1"/>
              <w:jc w:val="center"/>
              <w:rPr>
                <w:highlight w:val="yellow"/>
              </w:rPr>
            </w:pPr>
            <w:r w:rsidRPr="00B502B5">
              <w:rPr>
                <w:rFonts w:eastAsia="Times New Roman" w:cs="Calibri"/>
                <w:b/>
                <w:color w:val="000000"/>
                <w:sz w:val="18"/>
                <w:szCs w:val="18"/>
                <w:lang w:val="es-MX"/>
              </w:rPr>
              <w:t>Usuarios o Suscriptores de</w:t>
            </w:r>
          </w:p>
        </w:tc>
        <w:tc>
          <w:tcPr>
            <w:tcW w:w="1718" w:type="dxa"/>
            <w:shd w:val="clear" w:color="auto" w:fill="92D050"/>
            <w:vAlign w:val="center"/>
          </w:tcPr>
          <w:p w14:paraId="73E9F3B1" w14:textId="102F144F" w:rsidR="007B485A" w:rsidRPr="00B502B5" w:rsidRDefault="007B485A" w:rsidP="007B485A">
            <w:pPr>
              <w:spacing w:before="0" w:after="0" w:line="240" w:lineRule="auto"/>
              <w:jc w:val="center"/>
              <w:rPr>
                <w:rFonts w:eastAsia="Times New Roman" w:cs="Calibri"/>
                <w:b/>
                <w:color w:val="000000"/>
                <w:sz w:val="18"/>
                <w:szCs w:val="18"/>
              </w:rPr>
            </w:pPr>
            <w:r w:rsidRPr="00B502B5">
              <w:rPr>
                <w:rFonts w:eastAsia="Times New Roman" w:cs="Calibri"/>
                <w:b/>
                <w:color w:val="000000"/>
                <w:sz w:val="18"/>
                <w:szCs w:val="18"/>
                <w:lang w:val="es-MX"/>
              </w:rPr>
              <w:t>Proveedor</w:t>
            </w:r>
            <w:r w:rsidRPr="00B502B5">
              <w:rPr>
                <w:rFonts w:eastAsia="Times New Roman" w:cs="Calibri"/>
                <w:b/>
                <w:color w:val="000000"/>
                <w:sz w:val="18"/>
                <w:szCs w:val="18"/>
              </w:rPr>
              <w:t xml:space="preserve"> Compradores</w:t>
            </w:r>
          </w:p>
        </w:tc>
        <w:tc>
          <w:tcPr>
            <w:tcW w:w="1986" w:type="dxa"/>
            <w:shd w:val="clear" w:color="auto" w:fill="92D050"/>
            <w:vAlign w:val="center"/>
          </w:tcPr>
          <w:p w14:paraId="7136C688" w14:textId="0D352E88" w:rsidR="007B485A" w:rsidRPr="00B502B5" w:rsidRDefault="007B485A" w:rsidP="007B485A">
            <w:pPr>
              <w:spacing w:before="0" w:after="0" w:line="240" w:lineRule="auto"/>
              <w:jc w:val="center"/>
              <w:rPr>
                <w:rFonts w:eastAsia="Times New Roman" w:cs="Calibri"/>
                <w:b/>
                <w:bCs/>
                <w:color w:val="000000"/>
                <w:sz w:val="18"/>
                <w:szCs w:val="18"/>
              </w:rPr>
            </w:pPr>
            <w:r w:rsidRPr="00B502B5">
              <w:rPr>
                <w:rFonts w:eastAsia="Times New Roman" w:cs="Calibri"/>
                <w:b/>
                <w:color w:val="000000"/>
                <w:sz w:val="18"/>
                <w:szCs w:val="18"/>
                <w:lang w:val="es-MX"/>
              </w:rPr>
              <w:t>Proveedor</w:t>
            </w:r>
            <w:r w:rsidRPr="00B502B5">
              <w:rPr>
                <w:rFonts w:eastAsia="Times New Roman" w:cs="Calibri"/>
                <w:b/>
                <w:bCs/>
                <w:color w:val="000000"/>
                <w:sz w:val="18"/>
                <w:szCs w:val="18"/>
              </w:rPr>
              <w:t xml:space="preserve"> Sociedades Adquiridas</w:t>
            </w:r>
          </w:p>
        </w:tc>
        <w:tc>
          <w:tcPr>
            <w:tcW w:w="1718" w:type="dxa"/>
            <w:shd w:val="clear" w:color="auto" w:fill="92D050"/>
            <w:vAlign w:val="center"/>
          </w:tcPr>
          <w:p w14:paraId="5D6B4BB6" w14:textId="55E1B256" w:rsidR="007B485A" w:rsidRPr="00B502B5" w:rsidRDefault="007B485A" w:rsidP="007B485A">
            <w:pPr>
              <w:spacing w:before="0" w:after="0" w:line="240" w:lineRule="auto"/>
              <w:jc w:val="center"/>
              <w:rPr>
                <w:rFonts w:eastAsia="Times New Roman" w:cs="Calibri"/>
                <w:b/>
                <w:bCs/>
                <w:color w:val="000000"/>
                <w:sz w:val="18"/>
                <w:szCs w:val="18"/>
              </w:rPr>
            </w:pPr>
            <w:r w:rsidRPr="00B502B5">
              <w:rPr>
                <w:rFonts w:eastAsia="Times New Roman" w:cs="Calibri"/>
                <w:b/>
                <w:color w:val="000000"/>
                <w:sz w:val="18"/>
                <w:szCs w:val="18"/>
                <w:lang w:val="es-MX"/>
              </w:rPr>
              <w:t>Proveedor</w:t>
            </w:r>
            <w:r w:rsidRPr="00B502B5">
              <w:rPr>
                <w:rFonts w:eastAsia="Times New Roman" w:cs="Calibri"/>
                <w:b/>
                <w:bCs/>
                <w:color w:val="000000"/>
                <w:sz w:val="18"/>
                <w:szCs w:val="18"/>
              </w:rPr>
              <w:t xml:space="preserve"> Otros</w:t>
            </w:r>
          </w:p>
        </w:tc>
        <w:tc>
          <w:tcPr>
            <w:tcW w:w="1718" w:type="dxa"/>
            <w:shd w:val="clear" w:color="auto" w:fill="92D050"/>
            <w:vAlign w:val="center"/>
          </w:tcPr>
          <w:p w14:paraId="78446C24" w14:textId="5DA826A3" w:rsidR="007B485A" w:rsidRDefault="007B485A" w:rsidP="007B485A">
            <w:pPr>
              <w:spacing w:before="0" w:after="0" w:line="240" w:lineRule="auto"/>
              <w:ind w:right="-1"/>
              <w:jc w:val="center"/>
              <w:rPr>
                <w:highlight w:val="yellow"/>
              </w:rPr>
            </w:pPr>
            <w:r w:rsidRPr="00B502B5">
              <w:rPr>
                <w:rFonts w:eastAsia="Times New Roman" w:cs="Calibri"/>
                <w:b/>
                <w:color w:val="000000"/>
                <w:sz w:val="18"/>
                <w:szCs w:val="18"/>
              </w:rPr>
              <w:t>TOTAL</w:t>
            </w:r>
          </w:p>
        </w:tc>
      </w:tr>
      <w:tr w:rsidR="007B485A" w14:paraId="27784AF7" w14:textId="77777777" w:rsidTr="00483A07">
        <w:tc>
          <w:tcPr>
            <w:tcW w:w="2353" w:type="dxa"/>
            <w:vAlign w:val="center"/>
          </w:tcPr>
          <w:p w14:paraId="21166B6F" w14:textId="77777777" w:rsidR="007B485A" w:rsidRPr="00B502B5" w:rsidRDefault="007B485A" w:rsidP="007B485A">
            <w:pPr>
              <w:spacing w:before="0" w:after="0" w:line="240" w:lineRule="auto"/>
              <w:jc w:val="left"/>
              <w:rPr>
                <w:rFonts w:eastAsia="Times New Roman" w:cs="Calibri"/>
                <w:color w:val="000000"/>
                <w:sz w:val="18"/>
                <w:szCs w:val="18"/>
                <w:lang w:val="es-MX"/>
              </w:rPr>
            </w:pPr>
            <w:r w:rsidRPr="00B502B5">
              <w:rPr>
                <w:rFonts w:eastAsia="Times New Roman" w:cs="Calibri"/>
                <w:color w:val="000000"/>
                <w:sz w:val="18"/>
                <w:szCs w:val="18"/>
              </w:rPr>
              <w:t>Telefonía Móvil</w:t>
            </w:r>
          </w:p>
        </w:tc>
        <w:tc>
          <w:tcPr>
            <w:tcW w:w="1718" w:type="dxa"/>
            <w:vAlign w:val="center"/>
          </w:tcPr>
          <w:p w14:paraId="74243639" w14:textId="77777777" w:rsidR="007B485A" w:rsidRPr="00D479A0" w:rsidRDefault="007B485A" w:rsidP="007B485A">
            <w:pPr>
              <w:spacing w:before="0" w:after="0" w:line="240" w:lineRule="auto"/>
              <w:ind w:right="-1"/>
              <w:jc w:val="right"/>
            </w:pPr>
            <w:r w:rsidRPr="00D479A0">
              <w:t>0</w:t>
            </w:r>
          </w:p>
        </w:tc>
        <w:tc>
          <w:tcPr>
            <w:tcW w:w="1986" w:type="dxa"/>
            <w:vAlign w:val="center"/>
          </w:tcPr>
          <w:p w14:paraId="2C410BB0" w14:textId="77777777" w:rsidR="007B485A" w:rsidRPr="00D479A0" w:rsidRDefault="007B485A" w:rsidP="007B485A">
            <w:pPr>
              <w:spacing w:before="0" w:after="0" w:line="240" w:lineRule="auto"/>
              <w:ind w:right="-1"/>
              <w:jc w:val="right"/>
            </w:pPr>
            <w:r w:rsidRPr="00D479A0">
              <w:t>0</w:t>
            </w:r>
          </w:p>
        </w:tc>
        <w:tc>
          <w:tcPr>
            <w:tcW w:w="1718" w:type="dxa"/>
            <w:vAlign w:val="center"/>
          </w:tcPr>
          <w:p w14:paraId="566A36D4" w14:textId="77777777" w:rsidR="007B485A" w:rsidRPr="00D479A0" w:rsidRDefault="007B485A" w:rsidP="007B485A">
            <w:pPr>
              <w:spacing w:before="0" w:after="0" w:line="240" w:lineRule="auto"/>
              <w:ind w:right="-1"/>
              <w:jc w:val="right"/>
            </w:pPr>
            <w:r w:rsidRPr="00D479A0">
              <w:t>111,668,414</w:t>
            </w:r>
          </w:p>
        </w:tc>
        <w:tc>
          <w:tcPr>
            <w:tcW w:w="1718" w:type="dxa"/>
            <w:vAlign w:val="center"/>
          </w:tcPr>
          <w:p w14:paraId="43C63F54" w14:textId="77777777" w:rsidR="007B485A" w:rsidRPr="00D479A0" w:rsidRDefault="007B485A" w:rsidP="007B485A">
            <w:pPr>
              <w:spacing w:before="0" w:after="0" w:line="240" w:lineRule="auto"/>
              <w:ind w:right="-1"/>
              <w:jc w:val="right"/>
            </w:pPr>
            <w:r w:rsidRPr="00D479A0">
              <w:t>111,668,414</w:t>
            </w:r>
          </w:p>
        </w:tc>
      </w:tr>
      <w:tr w:rsidR="007B485A" w14:paraId="43800AFC" w14:textId="77777777" w:rsidTr="00483A07">
        <w:tc>
          <w:tcPr>
            <w:tcW w:w="2353" w:type="dxa"/>
            <w:vAlign w:val="center"/>
          </w:tcPr>
          <w:p w14:paraId="4CE0AA37" w14:textId="77777777" w:rsidR="007B485A" w:rsidRPr="00B502B5" w:rsidRDefault="007B485A" w:rsidP="007B485A">
            <w:pPr>
              <w:spacing w:before="0" w:after="0" w:line="240" w:lineRule="auto"/>
              <w:jc w:val="left"/>
              <w:rPr>
                <w:rFonts w:eastAsia="Times New Roman" w:cs="Calibri"/>
                <w:color w:val="000000"/>
                <w:sz w:val="18"/>
                <w:szCs w:val="18"/>
                <w:lang w:val="es-MX"/>
              </w:rPr>
            </w:pPr>
            <w:r w:rsidRPr="00B502B5">
              <w:rPr>
                <w:rFonts w:eastAsia="Times New Roman" w:cs="Calibri"/>
                <w:color w:val="000000"/>
                <w:sz w:val="18"/>
                <w:szCs w:val="18"/>
              </w:rPr>
              <w:t>Acceso a Internet Móvil</w:t>
            </w:r>
          </w:p>
        </w:tc>
        <w:tc>
          <w:tcPr>
            <w:tcW w:w="1718" w:type="dxa"/>
            <w:vAlign w:val="center"/>
          </w:tcPr>
          <w:p w14:paraId="61EEDA91" w14:textId="77777777" w:rsidR="007B485A" w:rsidRPr="00D479A0" w:rsidRDefault="007B485A" w:rsidP="007B485A">
            <w:pPr>
              <w:spacing w:before="0" w:after="0" w:line="240" w:lineRule="auto"/>
              <w:ind w:right="-1"/>
              <w:jc w:val="right"/>
            </w:pPr>
            <w:r w:rsidRPr="00D479A0">
              <w:t>0</w:t>
            </w:r>
          </w:p>
        </w:tc>
        <w:tc>
          <w:tcPr>
            <w:tcW w:w="1986" w:type="dxa"/>
            <w:vAlign w:val="center"/>
          </w:tcPr>
          <w:p w14:paraId="2343DDAB" w14:textId="77777777" w:rsidR="007B485A" w:rsidRPr="00D479A0" w:rsidRDefault="007B485A" w:rsidP="007B485A">
            <w:pPr>
              <w:spacing w:before="0" w:after="0" w:line="240" w:lineRule="auto"/>
              <w:ind w:right="-1"/>
              <w:jc w:val="right"/>
            </w:pPr>
            <w:r w:rsidRPr="00D479A0">
              <w:t>0</w:t>
            </w:r>
          </w:p>
        </w:tc>
        <w:tc>
          <w:tcPr>
            <w:tcW w:w="1718" w:type="dxa"/>
            <w:vAlign w:val="center"/>
          </w:tcPr>
          <w:p w14:paraId="7D9BBFA9" w14:textId="77777777" w:rsidR="007B485A" w:rsidRPr="00D479A0" w:rsidRDefault="007B485A" w:rsidP="007B485A">
            <w:pPr>
              <w:spacing w:before="0" w:after="0" w:line="240" w:lineRule="auto"/>
              <w:ind w:right="-1"/>
              <w:jc w:val="right"/>
            </w:pPr>
            <w:r w:rsidRPr="00D479A0">
              <w:t>76,934,161</w:t>
            </w:r>
          </w:p>
        </w:tc>
        <w:tc>
          <w:tcPr>
            <w:tcW w:w="1718" w:type="dxa"/>
            <w:vAlign w:val="center"/>
          </w:tcPr>
          <w:p w14:paraId="5B14AEBA" w14:textId="77777777" w:rsidR="007B485A" w:rsidRPr="00D479A0" w:rsidRDefault="007B485A" w:rsidP="007B485A">
            <w:pPr>
              <w:spacing w:before="0" w:after="0" w:line="240" w:lineRule="auto"/>
              <w:ind w:right="-1"/>
              <w:jc w:val="right"/>
            </w:pPr>
            <w:r w:rsidRPr="00D479A0">
              <w:t>76,934,161</w:t>
            </w:r>
          </w:p>
        </w:tc>
      </w:tr>
      <w:tr w:rsidR="007B485A" w14:paraId="3137F257" w14:textId="77777777" w:rsidTr="00483A07">
        <w:tc>
          <w:tcPr>
            <w:tcW w:w="2353" w:type="dxa"/>
            <w:vAlign w:val="center"/>
          </w:tcPr>
          <w:p w14:paraId="2232313A" w14:textId="77777777" w:rsidR="007B485A" w:rsidRPr="00B502B5" w:rsidRDefault="007B485A" w:rsidP="007B485A">
            <w:pPr>
              <w:spacing w:before="0" w:after="0" w:line="240" w:lineRule="auto"/>
              <w:jc w:val="left"/>
              <w:rPr>
                <w:rFonts w:eastAsia="Times New Roman" w:cs="Calibri"/>
                <w:color w:val="000000"/>
                <w:sz w:val="18"/>
                <w:szCs w:val="18"/>
              </w:rPr>
            </w:pPr>
            <w:r>
              <w:rPr>
                <w:rFonts w:eastAsia="Times New Roman" w:cs="Calibri"/>
                <w:color w:val="000000"/>
                <w:sz w:val="18"/>
                <w:szCs w:val="18"/>
              </w:rPr>
              <w:t>STAR</w:t>
            </w:r>
          </w:p>
        </w:tc>
        <w:tc>
          <w:tcPr>
            <w:tcW w:w="1718" w:type="dxa"/>
            <w:vAlign w:val="center"/>
          </w:tcPr>
          <w:p w14:paraId="7A974313" w14:textId="77777777" w:rsidR="007B485A" w:rsidRPr="00D479A0" w:rsidRDefault="007B485A" w:rsidP="007B485A">
            <w:pPr>
              <w:spacing w:before="0" w:after="0" w:line="240" w:lineRule="auto"/>
              <w:ind w:right="-1"/>
              <w:jc w:val="right"/>
            </w:pPr>
            <w:r w:rsidRPr="00D479A0">
              <w:t>0</w:t>
            </w:r>
          </w:p>
        </w:tc>
        <w:tc>
          <w:tcPr>
            <w:tcW w:w="1986" w:type="dxa"/>
            <w:vAlign w:val="center"/>
          </w:tcPr>
          <w:p w14:paraId="17F53B46" w14:textId="77777777" w:rsidR="007B485A" w:rsidRPr="00D479A0" w:rsidRDefault="007B485A" w:rsidP="007B485A">
            <w:pPr>
              <w:spacing w:before="0" w:after="0" w:line="240" w:lineRule="auto"/>
              <w:ind w:right="-1"/>
              <w:jc w:val="right"/>
            </w:pPr>
            <w:r w:rsidRPr="00D479A0">
              <w:t>0</w:t>
            </w:r>
          </w:p>
        </w:tc>
        <w:tc>
          <w:tcPr>
            <w:tcW w:w="1718" w:type="dxa"/>
            <w:vAlign w:val="center"/>
          </w:tcPr>
          <w:p w14:paraId="35EF9A36" w14:textId="77777777" w:rsidR="007B485A" w:rsidRPr="00D479A0" w:rsidRDefault="007B485A" w:rsidP="007B485A">
            <w:pPr>
              <w:spacing w:before="0" w:after="0" w:line="240" w:lineRule="auto"/>
              <w:ind w:right="-1"/>
              <w:jc w:val="right"/>
            </w:pPr>
            <w:r w:rsidRPr="00D479A0">
              <w:t>22,401,420</w:t>
            </w:r>
          </w:p>
        </w:tc>
        <w:tc>
          <w:tcPr>
            <w:tcW w:w="1718" w:type="dxa"/>
            <w:vAlign w:val="center"/>
          </w:tcPr>
          <w:p w14:paraId="43FBE2C8" w14:textId="77777777" w:rsidR="007B485A" w:rsidRPr="00D479A0" w:rsidRDefault="007B485A" w:rsidP="007B485A">
            <w:pPr>
              <w:spacing w:before="0" w:after="0" w:line="240" w:lineRule="auto"/>
              <w:ind w:right="-1"/>
              <w:jc w:val="right"/>
            </w:pPr>
            <w:r w:rsidRPr="00D479A0">
              <w:t>22,401,420</w:t>
            </w:r>
          </w:p>
        </w:tc>
      </w:tr>
      <w:tr w:rsidR="007B485A" w14:paraId="7CBDDCB1" w14:textId="77777777" w:rsidTr="00483A07">
        <w:tc>
          <w:tcPr>
            <w:tcW w:w="2353" w:type="dxa"/>
            <w:vAlign w:val="center"/>
          </w:tcPr>
          <w:p w14:paraId="4A58CBB9" w14:textId="77777777" w:rsidR="007B485A" w:rsidRPr="00B502B5" w:rsidRDefault="007B485A" w:rsidP="007B485A">
            <w:pPr>
              <w:spacing w:before="0" w:after="0" w:line="240" w:lineRule="auto"/>
              <w:jc w:val="left"/>
              <w:rPr>
                <w:rFonts w:eastAsia="Times New Roman" w:cs="Calibri"/>
                <w:color w:val="000000"/>
                <w:sz w:val="18"/>
                <w:szCs w:val="18"/>
                <w:lang w:val="es-MX"/>
              </w:rPr>
            </w:pPr>
            <w:r w:rsidRPr="00B502B5">
              <w:rPr>
                <w:rFonts w:eastAsia="Times New Roman" w:cs="Calibri"/>
                <w:color w:val="000000"/>
                <w:sz w:val="18"/>
                <w:szCs w:val="18"/>
              </w:rPr>
              <w:t>Telefonía Fija</w:t>
            </w:r>
          </w:p>
        </w:tc>
        <w:tc>
          <w:tcPr>
            <w:tcW w:w="1718" w:type="dxa"/>
            <w:vAlign w:val="center"/>
          </w:tcPr>
          <w:p w14:paraId="4B8C430F" w14:textId="77777777" w:rsidR="007B485A" w:rsidRPr="00D479A0" w:rsidRDefault="007B485A" w:rsidP="007B485A">
            <w:pPr>
              <w:spacing w:before="0" w:after="0" w:line="240" w:lineRule="auto"/>
              <w:ind w:right="-1"/>
              <w:jc w:val="right"/>
            </w:pPr>
            <w:r w:rsidRPr="00D479A0">
              <w:t>0</w:t>
            </w:r>
          </w:p>
        </w:tc>
        <w:tc>
          <w:tcPr>
            <w:tcW w:w="1986" w:type="dxa"/>
            <w:vAlign w:val="center"/>
          </w:tcPr>
          <w:p w14:paraId="5EF581E5" w14:textId="77777777" w:rsidR="007B485A" w:rsidRPr="00D479A0" w:rsidRDefault="007B485A" w:rsidP="007B485A">
            <w:pPr>
              <w:spacing w:before="0" w:after="0" w:line="240" w:lineRule="auto"/>
              <w:ind w:right="-1"/>
              <w:jc w:val="right"/>
            </w:pPr>
            <w:r w:rsidRPr="00D479A0">
              <w:t>0</w:t>
            </w:r>
          </w:p>
        </w:tc>
        <w:tc>
          <w:tcPr>
            <w:tcW w:w="1718" w:type="dxa"/>
            <w:vAlign w:val="center"/>
          </w:tcPr>
          <w:p w14:paraId="0B851A2B" w14:textId="77777777" w:rsidR="007B485A" w:rsidRPr="00D479A0" w:rsidRDefault="007B485A" w:rsidP="007B485A">
            <w:pPr>
              <w:spacing w:before="0" w:after="0" w:line="240" w:lineRule="auto"/>
              <w:ind w:right="-1"/>
              <w:jc w:val="right"/>
            </w:pPr>
            <w:r w:rsidRPr="00D479A0">
              <w:t>20,069,260</w:t>
            </w:r>
          </w:p>
        </w:tc>
        <w:tc>
          <w:tcPr>
            <w:tcW w:w="1718" w:type="dxa"/>
            <w:vAlign w:val="center"/>
          </w:tcPr>
          <w:p w14:paraId="0C498D49" w14:textId="77777777" w:rsidR="007B485A" w:rsidRPr="00D479A0" w:rsidRDefault="007B485A" w:rsidP="007B485A">
            <w:pPr>
              <w:spacing w:before="0" w:after="0" w:line="240" w:lineRule="auto"/>
              <w:ind w:right="-1"/>
              <w:jc w:val="right"/>
            </w:pPr>
            <w:r w:rsidRPr="00D479A0">
              <w:t>20,069,260</w:t>
            </w:r>
          </w:p>
        </w:tc>
      </w:tr>
      <w:tr w:rsidR="007B485A" w14:paraId="43567B45" w14:textId="77777777" w:rsidTr="00483A07">
        <w:tc>
          <w:tcPr>
            <w:tcW w:w="2353" w:type="dxa"/>
            <w:vAlign w:val="center"/>
          </w:tcPr>
          <w:p w14:paraId="1AC874D4" w14:textId="77777777" w:rsidR="007B485A" w:rsidRPr="00B502B5" w:rsidRDefault="007B485A" w:rsidP="007B485A">
            <w:pPr>
              <w:spacing w:before="0" w:after="0" w:line="240" w:lineRule="auto"/>
              <w:jc w:val="left"/>
              <w:rPr>
                <w:rFonts w:eastAsia="Times New Roman" w:cs="Calibri"/>
                <w:color w:val="000000"/>
                <w:sz w:val="18"/>
                <w:szCs w:val="18"/>
                <w:lang w:val="es-MX"/>
              </w:rPr>
            </w:pPr>
            <w:r w:rsidRPr="00B502B5">
              <w:rPr>
                <w:rFonts w:eastAsia="Times New Roman" w:cs="Calibri"/>
                <w:color w:val="000000"/>
                <w:sz w:val="18"/>
                <w:szCs w:val="18"/>
              </w:rPr>
              <w:lastRenderedPageBreak/>
              <w:t>Acceso a Internet Fijo</w:t>
            </w:r>
          </w:p>
        </w:tc>
        <w:tc>
          <w:tcPr>
            <w:tcW w:w="1718" w:type="dxa"/>
            <w:vAlign w:val="center"/>
          </w:tcPr>
          <w:p w14:paraId="1736ACAE" w14:textId="77777777" w:rsidR="007B485A" w:rsidRPr="00D479A0" w:rsidRDefault="007B485A" w:rsidP="007B485A">
            <w:pPr>
              <w:spacing w:before="0" w:after="0" w:line="240" w:lineRule="auto"/>
              <w:ind w:right="-1"/>
              <w:jc w:val="right"/>
            </w:pPr>
            <w:r w:rsidRPr="00D479A0">
              <w:t>0</w:t>
            </w:r>
          </w:p>
        </w:tc>
        <w:tc>
          <w:tcPr>
            <w:tcW w:w="1986" w:type="dxa"/>
          </w:tcPr>
          <w:p w14:paraId="278B4383" w14:textId="02925DB2" w:rsidR="007B485A" w:rsidRPr="000F6197" w:rsidRDefault="007B485A" w:rsidP="007B485A">
            <w:pPr>
              <w:spacing w:before="0" w:after="0" w:line="240" w:lineRule="auto"/>
              <w:ind w:right="-1"/>
              <w:jc w:val="right"/>
              <w:rPr>
                <w:highlight w:val="cyan"/>
              </w:rPr>
            </w:pPr>
            <w:r>
              <w:rPr>
                <w:b/>
                <w:bCs/>
                <w:color w:val="0000CC"/>
                <w:sz w:val="19"/>
                <w:szCs w:val="19"/>
              </w:rPr>
              <w:t>“CONFIDENCIAL POR LEY (284</w:t>
            </w:r>
            <w:r w:rsidRPr="00577D59">
              <w:rPr>
                <w:b/>
                <w:bCs/>
                <w:color w:val="0000CC"/>
                <w:sz w:val="19"/>
                <w:szCs w:val="19"/>
              </w:rPr>
              <w:t>)”</w:t>
            </w:r>
          </w:p>
        </w:tc>
        <w:tc>
          <w:tcPr>
            <w:tcW w:w="1718" w:type="dxa"/>
          </w:tcPr>
          <w:p w14:paraId="24A9CA30" w14:textId="08437240" w:rsidR="007B485A" w:rsidRPr="000F6197" w:rsidRDefault="007B485A" w:rsidP="007B485A">
            <w:pPr>
              <w:spacing w:before="0" w:after="0" w:line="240" w:lineRule="auto"/>
              <w:ind w:right="-1"/>
              <w:jc w:val="right"/>
              <w:rPr>
                <w:highlight w:val="cyan"/>
              </w:rPr>
            </w:pPr>
            <w:r w:rsidRPr="00577D59">
              <w:rPr>
                <w:b/>
                <w:bCs/>
                <w:color w:val="0000CC"/>
                <w:sz w:val="19"/>
                <w:szCs w:val="19"/>
              </w:rPr>
              <w:t>“CONFIDENCIAL POR LEY (</w:t>
            </w:r>
            <w:r>
              <w:rPr>
                <w:b/>
                <w:bCs/>
                <w:color w:val="0000CC"/>
                <w:sz w:val="19"/>
                <w:szCs w:val="19"/>
              </w:rPr>
              <w:t>285</w:t>
            </w:r>
            <w:r w:rsidRPr="00577D59">
              <w:rPr>
                <w:b/>
                <w:bCs/>
                <w:color w:val="0000CC"/>
                <w:sz w:val="19"/>
                <w:szCs w:val="19"/>
              </w:rPr>
              <w:t>)”</w:t>
            </w:r>
          </w:p>
        </w:tc>
        <w:tc>
          <w:tcPr>
            <w:tcW w:w="1718" w:type="dxa"/>
            <w:vAlign w:val="center"/>
          </w:tcPr>
          <w:p w14:paraId="20BE65DC" w14:textId="77777777" w:rsidR="007B485A" w:rsidRPr="003F2CAB" w:rsidRDefault="007B485A" w:rsidP="007B485A">
            <w:pPr>
              <w:spacing w:before="0" w:after="0" w:line="240" w:lineRule="auto"/>
              <w:ind w:right="-1"/>
              <w:jc w:val="right"/>
            </w:pPr>
            <w:r w:rsidRPr="00AA2E31">
              <w:t>16,477,839</w:t>
            </w:r>
          </w:p>
        </w:tc>
      </w:tr>
      <w:tr w:rsidR="007B485A" w14:paraId="48B82DD8" w14:textId="77777777" w:rsidTr="00483A07">
        <w:tc>
          <w:tcPr>
            <w:tcW w:w="2353" w:type="dxa"/>
            <w:vAlign w:val="center"/>
          </w:tcPr>
          <w:p w14:paraId="67C3D171" w14:textId="77777777" w:rsidR="007B485A" w:rsidRPr="00B502B5" w:rsidRDefault="007B485A" w:rsidP="007B485A">
            <w:pPr>
              <w:spacing w:before="0" w:after="0" w:line="240" w:lineRule="auto"/>
              <w:jc w:val="left"/>
              <w:rPr>
                <w:rFonts w:eastAsia="Times New Roman" w:cs="Calibri"/>
                <w:i/>
                <w:iCs/>
                <w:color w:val="000000"/>
                <w:sz w:val="18"/>
                <w:szCs w:val="18"/>
                <w:lang w:val="es-MX"/>
              </w:rPr>
            </w:pPr>
            <w:r w:rsidRPr="00B502B5">
              <w:rPr>
                <w:rFonts w:eastAsia="Times New Roman" w:cs="Calibri"/>
                <w:i/>
                <w:iCs/>
                <w:color w:val="000000"/>
                <w:sz w:val="18"/>
                <w:szCs w:val="18"/>
              </w:rPr>
              <w:t>Trunking</w:t>
            </w:r>
            <w:r w:rsidRPr="00974B8E">
              <w:rPr>
                <w:rFonts w:eastAsia="Times New Roman" w:cs="Calibri"/>
                <w:i/>
                <w:iCs/>
                <w:color w:val="000000"/>
                <w:sz w:val="18"/>
                <w:szCs w:val="18"/>
                <w:vertAlign w:val="superscript"/>
              </w:rPr>
              <w:t>1/</w:t>
            </w:r>
          </w:p>
        </w:tc>
        <w:tc>
          <w:tcPr>
            <w:tcW w:w="1718" w:type="dxa"/>
            <w:vAlign w:val="center"/>
          </w:tcPr>
          <w:p w14:paraId="5E46D1E9" w14:textId="77777777" w:rsidR="007B485A" w:rsidRPr="00D479A0" w:rsidRDefault="007B485A" w:rsidP="007B485A">
            <w:pPr>
              <w:spacing w:before="0" w:after="0" w:line="240" w:lineRule="auto"/>
              <w:ind w:right="-1"/>
              <w:jc w:val="right"/>
            </w:pPr>
            <w:r w:rsidRPr="00D479A0">
              <w:t>0</w:t>
            </w:r>
          </w:p>
        </w:tc>
        <w:tc>
          <w:tcPr>
            <w:tcW w:w="1986" w:type="dxa"/>
            <w:vAlign w:val="center"/>
          </w:tcPr>
          <w:p w14:paraId="5DEFCD21" w14:textId="77777777" w:rsidR="007B485A" w:rsidRPr="00D479A0" w:rsidRDefault="007B485A" w:rsidP="007B485A">
            <w:pPr>
              <w:spacing w:before="0" w:after="0" w:line="240" w:lineRule="auto"/>
              <w:ind w:right="-1"/>
              <w:jc w:val="right"/>
            </w:pPr>
            <w:r w:rsidRPr="00D479A0">
              <w:t>0</w:t>
            </w:r>
          </w:p>
        </w:tc>
        <w:tc>
          <w:tcPr>
            <w:tcW w:w="1718" w:type="dxa"/>
            <w:vAlign w:val="center"/>
          </w:tcPr>
          <w:p w14:paraId="539D63FF" w14:textId="77777777" w:rsidR="007B485A" w:rsidRPr="00D479A0" w:rsidRDefault="007B485A" w:rsidP="007B485A">
            <w:pPr>
              <w:spacing w:before="0" w:after="0" w:line="240" w:lineRule="auto"/>
              <w:ind w:right="-1"/>
              <w:jc w:val="right"/>
            </w:pPr>
            <w:r w:rsidRPr="00D479A0">
              <w:t>154,696</w:t>
            </w:r>
          </w:p>
        </w:tc>
        <w:tc>
          <w:tcPr>
            <w:tcW w:w="1718" w:type="dxa"/>
            <w:vAlign w:val="center"/>
          </w:tcPr>
          <w:p w14:paraId="581214E3" w14:textId="77777777" w:rsidR="007B485A" w:rsidRPr="00D479A0" w:rsidRDefault="007B485A" w:rsidP="007B485A">
            <w:pPr>
              <w:spacing w:before="0" w:after="0" w:line="240" w:lineRule="auto"/>
              <w:ind w:right="-1"/>
              <w:jc w:val="right"/>
            </w:pPr>
            <w:r w:rsidRPr="00D479A0">
              <w:t>154,696</w:t>
            </w:r>
          </w:p>
        </w:tc>
      </w:tr>
      <w:tr w:rsidR="007B485A" w14:paraId="66AF59A6" w14:textId="77777777" w:rsidTr="00EB4B7C">
        <w:tc>
          <w:tcPr>
            <w:tcW w:w="2353" w:type="dxa"/>
            <w:vAlign w:val="center"/>
          </w:tcPr>
          <w:p w14:paraId="5CC38817" w14:textId="77777777" w:rsidR="007B485A" w:rsidRPr="00B502B5" w:rsidRDefault="007B485A" w:rsidP="007B485A">
            <w:pPr>
              <w:spacing w:before="0" w:after="0" w:line="240" w:lineRule="auto"/>
              <w:jc w:val="left"/>
              <w:rPr>
                <w:rFonts w:eastAsia="Times New Roman" w:cs="Calibri"/>
                <w:bCs/>
                <w:color w:val="000000"/>
                <w:sz w:val="18"/>
                <w:szCs w:val="18"/>
                <w:lang w:val="es-MX"/>
              </w:rPr>
            </w:pPr>
            <w:r w:rsidRPr="00B502B5">
              <w:rPr>
                <w:rFonts w:eastAsia="Times New Roman" w:cs="Calibri"/>
                <w:bCs/>
                <w:color w:val="000000"/>
                <w:sz w:val="18"/>
                <w:szCs w:val="18"/>
              </w:rPr>
              <w:t>Sitios para Telecomunicaciones</w:t>
            </w:r>
            <w:r w:rsidRPr="00BE0007">
              <w:rPr>
                <w:rFonts w:eastAsia="Times New Roman" w:cs="Calibri"/>
                <w:bCs/>
                <w:color w:val="000000"/>
                <w:sz w:val="18"/>
                <w:szCs w:val="18"/>
                <w:vertAlign w:val="superscript"/>
              </w:rPr>
              <w:t>2/</w:t>
            </w:r>
          </w:p>
        </w:tc>
        <w:tc>
          <w:tcPr>
            <w:tcW w:w="1718" w:type="dxa"/>
            <w:vAlign w:val="center"/>
          </w:tcPr>
          <w:p w14:paraId="5448C547" w14:textId="66E49E28" w:rsidR="007B485A" w:rsidRPr="000F6197" w:rsidRDefault="007B485A" w:rsidP="007B485A">
            <w:pPr>
              <w:spacing w:before="0" w:after="0" w:line="240" w:lineRule="auto"/>
              <w:ind w:right="-1"/>
              <w:jc w:val="right"/>
              <w:rPr>
                <w:highlight w:val="cyan"/>
              </w:rPr>
            </w:pPr>
            <w:r>
              <w:rPr>
                <w:b/>
                <w:bCs/>
                <w:color w:val="0000CC"/>
                <w:sz w:val="19"/>
                <w:szCs w:val="19"/>
              </w:rPr>
              <w:t>“CONFIDENCIAL POR LEY (286</w:t>
            </w:r>
            <w:r w:rsidRPr="00E63FC2">
              <w:rPr>
                <w:b/>
                <w:bCs/>
                <w:color w:val="0000CC"/>
                <w:sz w:val="19"/>
                <w:szCs w:val="19"/>
              </w:rPr>
              <w:t>)”</w:t>
            </w:r>
          </w:p>
        </w:tc>
        <w:tc>
          <w:tcPr>
            <w:tcW w:w="1986" w:type="dxa"/>
            <w:vAlign w:val="center"/>
          </w:tcPr>
          <w:p w14:paraId="06C5165A" w14:textId="77777777" w:rsidR="007B485A" w:rsidRPr="00937574" w:rsidRDefault="007B485A" w:rsidP="007B485A">
            <w:pPr>
              <w:spacing w:before="0" w:after="0" w:line="240" w:lineRule="auto"/>
              <w:ind w:right="-1"/>
              <w:jc w:val="right"/>
            </w:pPr>
            <w:r w:rsidRPr="00937574">
              <w:t>0</w:t>
            </w:r>
          </w:p>
        </w:tc>
        <w:tc>
          <w:tcPr>
            <w:tcW w:w="1718" w:type="dxa"/>
          </w:tcPr>
          <w:p w14:paraId="51F74134" w14:textId="685FFC45" w:rsidR="007B485A" w:rsidRPr="000F6197" w:rsidRDefault="007B485A" w:rsidP="007B485A">
            <w:pPr>
              <w:spacing w:before="0" w:after="0" w:line="240" w:lineRule="auto"/>
              <w:ind w:right="-1"/>
              <w:jc w:val="right"/>
              <w:rPr>
                <w:highlight w:val="cyan"/>
              </w:rPr>
            </w:pPr>
            <w:r w:rsidRPr="00647FD2">
              <w:rPr>
                <w:b/>
                <w:bCs/>
                <w:color w:val="0000CC"/>
                <w:sz w:val="19"/>
                <w:szCs w:val="19"/>
              </w:rPr>
              <w:t>“CONFIDENCIAL POR LEY (</w:t>
            </w:r>
            <w:r>
              <w:rPr>
                <w:b/>
                <w:bCs/>
                <w:color w:val="0000CC"/>
                <w:sz w:val="19"/>
                <w:szCs w:val="19"/>
              </w:rPr>
              <w:t>287</w:t>
            </w:r>
            <w:r w:rsidRPr="00647FD2">
              <w:rPr>
                <w:b/>
                <w:bCs/>
                <w:color w:val="0000CC"/>
                <w:sz w:val="19"/>
                <w:szCs w:val="19"/>
              </w:rPr>
              <w:t>)”</w:t>
            </w:r>
          </w:p>
        </w:tc>
        <w:tc>
          <w:tcPr>
            <w:tcW w:w="1718" w:type="dxa"/>
          </w:tcPr>
          <w:p w14:paraId="158D3ECF" w14:textId="0902B877" w:rsidR="007B485A" w:rsidRPr="000F6197" w:rsidRDefault="007B485A" w:rsidP="007B485A">
            <w:pPr>
              <w:spacing w:before="0" w:after="0" w:line="240" w:lineRule="auto"/>
              <w:ind w:right="-1"/>
              <w:jc w:val="right"/>
              <w:rPr>
                <w:highlight w:val="cyan"/>
              </w:rPr>
            </w:pPr>
            <w:r w:rsidRPr="00647FD2">
              <w:rPr>
                <w:b/>
                <w:bCs/>
                <w:color w:val="0000CC"/>
                <w:sz w:val="19"/>
                <w:szCs w:val="19"/>
              </w:rPr>
              <w:t>“CONFIDENCIAL POR LEY (</w:t>
            </w:r>
            <w:r>
              <w:rPr>
                <w:b/>
                <w:bCs/>
                <w:color w:val="0000CC"/>
                <w:sz w:val="19"/>
                <w:szCs w:val="19"/>
              </w:rPr>
              <w:t>288</w:t>
            </w:r>
            <w:r w:rsidRPr="00647FD2">
              <w:rPr>
                <w:b/>
                <w:bCs/>
                <w:color w:val="0000CC"/>
                <w:sz w:val="19"/>
                <w:szCs w:val="19"/>
              </w:rPr>
              <w:t>)”</w:t>
            </w:r>
          </w:p>
        </w:tc>
      </w:tr>
      <w:tr w:rsidR="007B485A" w14:paraId="1A383EF3" w14:textId="77777777" w:rsidTr="00483A07">
        <w:tc>
          <w:tcPr>
            <w:tcW w:w="2353" w:type="dxa"/>
            <w:vAlign w:val="center"/>
          </w:tcPr>
          <w:p w14:paraId="700F15F6" w14:textId="77777777" w:rsidR="007B485A" w:rsidRPr="00B502B5" w:rsidRDefault="007B485A" w:rsidP="007B485A">
            <w:pPr>
              <w:spacing w:before="0" w:after="0" w:line="240" w:lineRule="auto"/>
              <w:jc w:val="left"/>
              <w:rPr>
                <w:rFonts w:eastAsia="Times New Roman" w:cs="Calibri"/>
                <w:i/>
                <w:iCs/>
                <w:color w:val="000000"/>
                <w:sz w:val="18"/>
                <w:szCs w:val="18"/>
                <w:lang w:val="es-MX"/>
              </w:rPr>
            </w:pPr>
            <w:r w:rsidRPr="00B502B5">
              <w:rPr>
                <w:rFonts w:eastAsia="Times New Roman" w:cs="Calibri"/>
                <w:i/>
                <w:iCs/>
                <w:color w:val="000000"/>
                <w:sz w:val="18"/>
                <w:szCs w:val="18"/>
              </w:rPr>
              <w:t>Paging</w:t>
            </w:r>
            <w:r w:rsidRPr="00974B8E">
              <w:rPr>
                <w:rFonts w:eastAsia="Times New Roman" w:cs="Calibri"/>
                <w:i/>
                <w:iCs/>
                <w:color w:val="000000"/>
                <w:sz w:val="18"/>
                <w:szCs w:val="18"/>
                <w:vertAlign w:val="superscript"/>
              </w:rPr>
              <w:t>1/</w:t>
            </w:r>
          </w:p>
        </w:tc>
        <w:tc>
          <w:tcPr>
            <w:tcW w:w="1718" w:type="dxa"/>
            <w:vAlign w:val="center"/>
          </w:tcPr>
          <w:p w14:paraId="0DCA6459" w14:textId="77777777" w:rsidR="007B485A" w:rsidRPr="00D479A0" w:rsidRDefault="007B485A" w:rsidP="007B485A">
            <w:pPr>
              <w:spacing w:before="0" w:after="0" w:line="240" w:lineRule="auto"/>
              <w:ind w:right="-1"/>
              <w:jc w:val="right"/>
            </w:pPr>
            <w:r w:rsidRPr="00D479A0">
              <w:t>0</w:t>
            </w:r>
          </w:p>
        </w:tc>
        <w:tc>
          <w:tcPr>
            <w:tcW w:w="1986" w:type="dxa"/>
            <w:vAlign w:val="center"/>
          </w:tcPr>
          <w:p w14:paraId="2878660D" w14:textId="77777777" w:rsidR="007B485A" w:rsidRPr="00D479A0" w:rsidRDefault="007B485A" w:rsidP="007B485A">
            <w:pPr>
              <w:spacing w:before="0" w:after="0" w:line="240" w:lineRule="auto"/>
              <w:ind w:right="-1"/>
              <w:jc w:val="right"/>
            </w:pPr>
            <w:r w:rsidRPr="00D479A0">
              <w:t>0</w:t>
            </w:r>
          </w:p>
        </w:tc>
        <w:tc>
          <w:tcPr>
            <w:tcW w:w="1718" w:type="dxa"/>
            <w:vAlign w:val="center"/>
          </w:tcPr>
          <w:p w14:paraId="2DEFD1A6" w14:textId="77777777" w:rsidR="007B485A" w:rsidRPr="00D479A0" w:rsidRDefault="007B485A" w:rsidP="007B485A">
            <w:pPr>
              <w:spacing w:before="0" w:after="0" w:line="240" w:lineRule="auto"/>
              <w:ind w:right="-1"/>
              <w:jc w:val="right"/>
            </w:pPr>
            <w:r w:rsidRPr="00D479A0">
              <w:t>898</w:t>
            </w:r>
          </w:p>
        </w:tc>
        <w:tc>
          <w:tcPr>
            <w:tcW w:w="1718" w:type="dxa"/>
            <w:vAlign w:val="center"/>
          </w:tcPr>
          <w:p w14:paraId="644A875F" w14:textId="77777777" w:rsidR="007B485A" w:rsidRPr="00D479A0" w:rsidRDefault="007B485A" w:rsidP="007B485A">
            <w:pPr>
              <w:spacing w:before="0" w:after="0" w:line="240" w:lineRule="auto"/>
              <w:ind w:right="-1"/>
              <w:jc w:val="right"/>
            </w:pPr>
            <w:r w:rsidRPr="00D479A0">
              <w:t>898</w:t>
            </w:r>
          </w:p>
        </w:tc>
      </w:tr>
      <w:tr w:rsidR="007B485A" w14:paraId="4B33A6C9" w14:textId="77777777" w:rsidTr="00483A07">
        <w:tc>
          <w:tcPr>
            <w:tcW w:w="2353" w:type="dxa"/>
            <w:vAlign w:val="center"/>
          </w:tcPr>
          <w:p w14:paraId="7AD3B848" w14:textId="77777777" w:rsidR="007B485A" w:rsidRPr="00E67372" w:rsidRDefault="007B485A" w:rsidP="007B485A">
            <w:pPr>
              <w:spacing w:before="0" w:after="0" w:line="240" w:lineRule="auto"/>
              <w:jc w:val="left"/>
              <w:rPr>
                <w:rFonts w:eastAsia="Times New Roman" w:cs="Calibri"/>
                <w:iCs/>
                <w:color w:val="000000"/>
                <w:sz w:val="18"/>
                <w:szCs w:val="18"/>
              </w:rPr>
            </w:pPr>
            <w:r w:rsidRPr="00E67372">
              <w:rPr>
                <w:rFonts w:eastAsia="Times New Roman" w:cs="Calibri"/>
                <w:iCs/>
                <w:color w:val="000000"/>
                <w:sz w:val="18"/>
                <w:szCs w:val="18"/>
              </w:rPr>
              <w:t>Enlaces dedicados</w:t>
            </w:r>
          </w:p>
        </w:tc>
        <w:tc>
          <w:tcPr>
            <w:tcW w:w="1718" w:type="dxa"/>
            <w:vAlign w:val="center"/>
          </w:tcPr>
          <w:p w14:paraId="2751915A" w14:textId="77777777" w:rsidR="007B485A" w:rsidRPr="00D479A0" w:rsidRDefault="007B485A" w:rsidP="007B485A">
            <w:pPr>
              <w:spacing w:before="0" w:after="0" w:line="240" w:lineRule="auto"/>
              <w:ind w:right="-1"/>
              <w:jc w:val="right"/>
            </w:pPr>
            <w:r>
              <w:t>0</w:t>
            </w:r>
          </w:p>
        </w:tc>
        <w:tc>
          <w:tcPr>
            <w:tcW w:w="1986" w:type="dxa"/>
          </w:tcPr>
          <w:p w14:paraId="7F41F272" w14:textId="3011EA96" w:rsidR="007B485A" w:rsidRPr="003F2CAB" w:rsidRDefault="007B485A" w:rsidP="007B485A">
            <w:pPr>
              <w:spacing w:before="0" w:after="0" w:line="240" w:lineRule="auto"/>
              <w:ind w:right="-1"/>
              <w:jc w:val="right"/>
            </w:pPr>
            <w:r w:rsidRPr="00B11DB5">
              <w:rPr>
                <w:b/>
                <w:bCs/>
                <w:color w:val="0000CC"/>
                <w:sz w:val="19"/>
                <w:szCs w:val="19"/>
              </w:rPr>
              <w:t>“CONFIDENCIAL POR LEY (</w:t>
            </w:r>
            <w:r>
              <w:rPr>
                <w:b/>
                <w:bCs/>
                <w:color w:val="0000CC"/>
                <w:sz w:val="19"/>
                <w:szCs w:val="19"/>
              </w:rPr>
              <w:t>289</w:t>
            </w:r>
            <w:r w:rsidRPr="00B11DB5">
              <w:rPr>
                <w:b/>
                <w:bCs/>
                <w:color w:val="0000CC"/>
                <w:sz w:val="19"/>
                <w:szCs w:val="19"/>
              </w:rPr>
              <w:t>)”</w:t>
            </w:r>
          </w:p>
        </w:tc>
        <w:tc>
          <w:tcPr>
            <w:tcW w:w="1718" w:type="dxa"/>
          </w:tcPr>
          <w:p w14:paraId="1FFF0DEE" w14:textId="2100943A" w:rsidR="007B485A" w:rsidRPr="000F6197" w:rsidRDefault="007B485A" w:rsidP="007B485A">
            <w:pPr>
              <w:spacing w:before="0" w:after="0" w:line="240" w:lineRule="auto"/>
              <w:ind w:right="-1"/>
              <w:jc w:val="right"/>
              <w:rPr>
                <w:highlight w:val="cyan"/>
              </w:rPr>
            </w:pPr>
            <w:r w:rsidRPr="00B11DB5">
              <w:rPr>
                <w:b/>
                <w:bCs/>
                <w:color w:val="0000CC"/>
                <w:sz w:val="19"/>
                <w:szCs w:val="19"/>
              </w:rPr>
              <w:t>“CONFIDENCIAL POR LEY (</w:t>
            </w:r>
            <w:r>
              <w:rPr>
                <w:b/>
                <w:bCs/>
                <w:color w:val="0000CC"/>
                <w:sz w:val="19"/>
                <w:szCs w:val="19"/>
              </w:rPr>
              <w:t>290</w:t>
            </w:r>
            <w:r w:rsidRPr="00B11DB5">
              <w:rPr>
                <w:b/>
                <w:bCs/>
                <w:color w:val="0000CC"/>
                <w:sz w:val="19"/>
                <w:szCs w:val="19"/>
              </w:rPr>
              <w:t>)”</w:t>
            </w:r>
          </w:p>
        </w:tc>
        <w:tc>
          <w:tcPr>
            <w:tcW w:w="1718" w:type="dxa"/>
          </w:tcPr>
          <w:p w14:paraId="16C62986" w14:textId="653019F5" w:rsidR="007B485A" w:rsidRPr="000F6197" w:rsidRDefault="007B485A" w:rsidP="007B485A">
            <w:pPr>
              <w:spacing w:before="0" w:after="0" w:line="240" w:lineRule="auto"/>
              <w:ind w:right="-1"/>
              <w:jc w:val="right"/>
              <w:rPr>
                <w:highlight w:val="cyan"/>
              </w:rPr>
            </w:pPr>
            <w:r w:rsidRPr="00B11DB5">
              <w:rPr>
                <w:b/>
                <w:bCs/>
                <w:color w:val="0000CC"/>
                <w:sz w:val="19"/>
                <w:szCs w:val="19"/>
              </w:rPr>
              <w:t>“CONFIDENCIAL POR LEY (</w:t>
            </w:r>
            <w:r>
              <w:rPr>
                <w:b/>
                <w:bCs/>
                <w:color w:val="0000CC"/>
                <w:sz w:val="19"/>
                <w:szCs w:val="19"/>
              </w:rPr>
              <w:t>291</w:t>
            </w:r>
            <w:r w:rsidRPr="00B11DB5">
              <w:rPr>
                <w:b/>
                <w:bCs/>
                <w:color w:val="0000CC"/>
                <w:sz w:val="19"/>
                <w:szCs w:val="19"/>
              </w:rPr>
              <w:t>)”</w:t>
            </w:r>
          </w:p>
        </w:tc>
      </w:tr>
      <w:tr w:rsidR="007B485A" w:rsidRPr="00783F4F" w14:paraId="7873A405" w14:textId="77777777" w:rsidTr="00483A07">
        <w:tc>
          <w:tcPr>
            <w:tcW w:w="2353" w:type="dxa"/>
            <w:vAlign w:val="center"/>
          </w:tcPr>
          <w:p w14:paraId="17925433" w14:textId="77777777" w:rsidR="007B485A" w:rsidRPr="00783F4F" w:rsidRDefault="007B485A" w:rsidP="007B485A">
            <w:pPr>
              <w:spacing w:before="0" w:after="0" w:line="240" w:lineRule="auto"/>
              <w:jc w:val="left"/>
              <w:rPr>
                <w:rFonts w:eastAsia="Times New Roman" w:cs="Calibri"/>
                <w:b/>
                <w:bCs/>
                <w:color w:val="000000"/>
                <w:sz w:val="18"/>
                <w:szCs w:val="18"/>
              </w:rPr>
            </w:pPr>
            <w:r w:rsidRPr="00783F4F">
              <w:rPr>
                <w:rFonts w:eastAsia="Times New Roman" w:cs="Calibri"/>
                <w:b/>
                <w:bCs/>
                <w:color w:val="000000"/>
                <w:sz w:val="18"/>
                <w:szCs w:val="18"/>
              </w:rPr>
              <w:t>TOTAL</w:t>
            </w:r>
          </w:p>
        </w:tc>
        <w:tc>
          <w:tcPr>
            <w:tcW w:w="1718" w:type="dxa"/>
          </w:tcPr>
          <w:p w14:paraId="63B4E092" w14:textId="0487F651" w:rsidR="007B485A" w:rsidRPr="00783F4F" w:rsidRDefault="007B485A" w:rsidP="007B485A">
            <w:pPr>
              <w:spacing w:before="0" w:after="0" w:line="240" w:lineRule="auto"/>
              <w:ind w:right="-1"/>
              <w:jc w:val="right"/>
              <w:rPr>
                <w:b/>
              </w:rPr>
            </w:pPr>
            <w:r w:rsidRPr="006C042A">
              <w:rPr>
                <w:b/>
                <w:bCs/>
                <w:color w:val="0000CC"/>
                <w:sz w:val="19"/>
                <w:szCs w:val="19"/>
              </w:rPr>
              <w:t>“CONFIDENCIAL POR LEY (</w:t>
            </w:r>
            <w:r>
              <w:rPr>
                <w:b/>
                <w:bCs/>
                <w:color w:val="0000CC"/>
                <w:sz w:val="19"/>
                <w:szCs w:val="19"/>
              </w:rPr>
              <w:t>292</w:t>
            </w:r>
            <w:r w:rsidRPr="006C042A">
              <w:rPr>
                <w:b/>
                <w:bCs/>
                <w:color w:val="0000CC"/>
                <w:sz w:val="19"/>
                <w:szCs w:val="19"/>
              </w:rPr>
              <w:t>)”</w:t>
            </w:r>
          </w:p>
        </w:tc>
        <w:tc>
          <w:tcPr>
            <w:tcW w:w="1986" w:type="dxa"/>
          </w:tcPr>
          <w:p w14:paraId="2D183C26" w14:textId="6625B702" w:rsidR="007B485A" w:rsidRPr="003F2CAB" w:rsidRDefault="007B485A" w:rsidP="007B485A">
            <w:pPr>
              <w:spacing w:before="0" w:after="0" w:line="240" w:lineRule="auto"/>
              <w:ind w:right="-1"/>
              <w:jc w:val="right"/>
              <w:rPr>
                <w:b/>
              </w:rPr>
            </w:pPr>
            <w:r w:rsidRPr="006C042A">
              <w:rPr>
                <w:b/>
                <w:bCs/>
                <w:color w:val="0000CC"/>
                <w:sz w:val="19"/>
                <w:szCs w:val="19"/>
              </w:rPr>
              <w:t>“CONFIDENCIAL POR LEY (</w:t>
            </w:r>
            <w:r>
              <w:rPr>
                <w:b/>
                <w:bCs/>
                <w:color w:val="0000CC"/>
                <w:sz w:val="19"/>
                <w:szCs w:val="19"/>
              </w:rPr>
              <w:t>293</w:t>
            </w:r>
            <w:r w:rsidRPr="006C042A">
              <w:rPr>
                <w:b/>
                <w:bCs/>
                <w:color w:val="0000CC"/>
                <w:sz w:val="19"/>
                <w:szCs w:val="19"/>
              </w:rPr>
              <w:t>)”</w:t>
            </w:r>
          </w:p>
        </w:tc>
        <w:tc>
          <w:tcPr>
            <w:tcW w:w="1718" w:type="dxa"/>
          </w:tcPr>
          <w:p w14:paraId="15C841FE" w14:textId="7F67A003" w:rsidR="007B485A" w:rsidRPr="000F6197" w:rsidRDefault="007B485A" w:rsidP="007B485A">
            <w:pPr>
              <w:spacing w:before="0" w:after="0" w:line="240" w:lineRule="auto"/>
              <w:ind w:right="-1"/>
              <w:jc w:val="right"/>
              <w:rPr>
                <w:b/>
                <w:highlight w:val="cyan"/>
              </w:rPr>
            </w:pPr>
            <w:r w:rsidRPr="006C042A">
              <w:rPr>
                <w:b/>
                <w:bCs/>
                <w:color w:val="0000CC"/>
                <w:sz w:val="19"/>
                <w:szCs w:val="19"/>
              </w:rPr>
              <w:t>“</w:t>
            </w:r>
            <w:r>
              <w:rPr>
                <w:b/>
                <w:bCs/>
                <w:color w:val="0000CC"/>
                <w:sz w:val="19"/>
                <w:szCs w:val="19"/>
              </w:rPr>
              <w:t>CONFIDENCIAL POR LEY (294</w:t>
            </w:r>
            <w:r w:rsidRPr="006C042A">
              <w:rPr>
                <w:b/>
                <w:bCs/>
                <w:color w:val="0000CC"/>
                <w:sz w:val="19"/>
                <w:szCs w:val="19"/>
              </w:rPr>
              <w:t>)”</w:t>
            </w:r>
          </w:p>
        </w:tc>
        <w:tc>
          <w:tcPr>
            <w:tcW w:w="1718" w:type="dxa"/>
          </w:tcPr>
          <w:p w14:paraId="3E986BFD" w14:textId="1E67F9C9" w:rsidR="007B485A" w:rsidRPr="000F6197" w:rsidRDefault="007B485A" w:rsidP="007B485A">
            <w:pPr>
              <w:spacing w:before="0" w:after="0" w:line="240" w:lineRule="auto"/>
              <w:ind w:right="-1"/>
              <w:jc w:val="right"/>
              <w:rPr>
                <w:b/>
                <w:highlight w:val="cyan"/>
              </w:rPr>
            </w:pPr>
            <w:r w:rsidRPr="006C042A">
              <w:rPr>
                <w:b/>
                <w:bCs/>
                <w:color w:val="0000CC"/>
                <w:sz w:val="19"/>
                <w:szCs w:val="19"/>
              </w:rPr>
              <w:t>“CONFIDENCIAL POR LEY (</w:t>
            </w:r>
            <w:r>
              <w:rPr>
                <w:b/>
                <w:bCs/>
                <w:color w:val="0000CC"/>
                <w:sz w:val="19"/>
                <w:szCs w:val="19"/>
              </w:rPr>
              <w:t>295</w:t>
            </w:r>
            <w:r w:rsidRPr="006C042A">
              <w:rPr>
                <w:b/>
                <w:bCs/>
                <w:color w:val="0000CC"/>
                <w:sz w:val="19"/>
                <w:szCs w:val="19"/>
              </w:rPr>
              <w:t>)”</w:t>
            </w:r>
          </w:p>
        </w:tc>
      </w:tr>
      <w:tr w:rsidR="007B485A" w:rsidRPr="00BB7CDC" w14:paraId="241B86FE" w14:textId="77777777" w:rsidTr="00483A07">
        <w:tc>
          <w:tcPr>
            <w:tcW w:w="2353" w:type="dxa"/>
            <w:vAlign w:val="center"/>
          </w:tcPr>
          <w:p w14:paraId="07684F3A" w14:textId="77777777" w:rsidR="007B485A" w:rsidRPr="00783F4F" w:rsidRDefault="007B485A" w:rsidP="007B485A">
            <w:pPr>
              <w:spacing w:before="0" w:after="0" w:line="240" w:lineRule="auto"/>
              <w:jc w:val="left"/>
              <w:rPr>
                <w:rFonts w:eastAsia="Times New Roman" w:cs="Calibri"/>
                <w:b/>
                <w:bCs/>
                <w:color w:val="000000"/>
                <w:sz w:val="18"/>
                <w:szCs w:val="18"/>
                <w:lang w:val="es-MX"/>
              </w:rPr>
            </w:pPr>
            <w:r w:rsidRPr="00783F4F">
              <w:rPr>
                <w:rFonts w:eastAsia="Times New Roman" w:cs="Calibri"/>
                <w:b/>
                <w:bCs/>
                <w:color w:val="000000"/>
                <w:sz w:val="18"/>
                <w:szCs w:val="18"/>
              </w:rPr>
              <w:t>Participación sectorial (%)</w:t>
            </w:r>
          </w:p>
        </w:tc>
        <w:tc>
          <w:tcPr>
            <w:tcW w:w="1718" w:type="dxa"/>
            <w:vAlign w:val="center"/>
          </w:tcPr>
          <w:p w14:paraId="47B41DD7" w14:textId="77777777" w:rsidR="007B485A" w:rsidRPr="00783F4F" w:rsidRDefault="007B485A" w:rsidP="007B485A">
            <w:pPr>
              <w:spacing w:before="0" w:after="0" w:line="240" w:lineRule="auto"/>
              <w:jc w:val="right"/>
              <w:rPr>
                <w:rFonts w:eastAsia="Times New Roman" w:cs="Calibri"/>
                <w:b/>
                <w:bCs/>
                <w:color w:val="000000"/>
                <w:sz w:val="18"/>
                <w:szCs w:val="18"/>
                <w:lang w:val="es-MX"/>
              </w:rPr>
            </w:pPr>
            <w:r w:rsidRPr="00783F4F">
              <w:rPr>
                <w:rFonts w:eastAsia="Times New Roman" w:cs="Calibri"/>
                <w:b/>
                <w:bCs/>
                <w:color w:val="000000"/>
                <w:sz w:val="18"/>
                <w:szCs w:val="18"/>
                <w:lang w:val="es-MX"/>
              </w:rPr>
              <w:t>0.0056</w:t>
            </w:r>
          </w:p>
        </w:tc>
        <w:tc>
          <w:tcPr>
            <w:tcW w:w="1986" w:type="dxa"/>
            <w:vAlign w:val="center"/>
          </w:tcPr>
          <w:p w14:paraId="63E99CAA" w14:textId="77777777" w:rsidR="007B485A" w:rsidRPr="00783F4F" w:rsidRDefault="007B485A" w:rsidP="007B485A">
            <w:pPr>
              <w:spacing w:before="0" w:after="0" w:line="240" w:lineRule="auto"/>
              <w:ind w:right="-1"/>
              <w:jc w:val="right"/>
              <w:rPr>
                <w:b/>
              </w:rPr>
            </w:pPr>
            <w:r w:rsidRPr="00783F4F">
              <w:rPr>
                <w:b/>
              </w:rPr>
              <w:t>0.000</w:t>
            </w:r>
            <w:r>
              <w:rPr>
                <w:b/>
              </w:rPr>
              <w:t>3</w:t>
            </w:r>
          </w:p>
        </w:tc>
        <w:tc>
          <w:tcPr>
            <w:tcW w:w="1718" w:type="dxa"/>
            <w:vAlign w:val="center"/>
          </w:tcPr>
          <w:p w14:paraId="142C249D" w14:textId="77777777" w:rsidR="007B485A" w:rsidRPr="00783F4F" w:rsidRDefault="007B485A" w:rsidP="007B485A">
            <w:pPr>
              <w:spacing w:before="0" w:after="0" w:line="240" w:lineRule="auto"/>
              <w:ind w:right="-1"/>
              <w:jc w:val="right"/>
              <w:rPr>
                <w:b/>
              </w:rPr>
            </w:pPr>
            <w:r w:rsidRPr="00783F4F">
              <w:rPr>
                <w:b/>
              </w:rPr>
              <w:t>99.994</w:t>
            </w:r>
            <w:r>
              <w:rPr>
                <w:b/>
              </w:rPr>
              <w:t>2</w:t>
            </w:r>
          </w:p>
        </w:tc>
        <w:tc>
          <w:tcPr>
            <w:tcW w:w="1718" w:type="dxa"/>
            <w:vAlign w:val="center"/>
          </w:tcPr>
          <w:p w14:paraId="7C85625D" w14:textId="77777777" w:rsidR="007B485A" w:rsidRPr="00783F4F" w:rsidRDefault="007B485A" w:rsidP="007B485A">
            <w:pPr>
              <w:spacing w:before="0" w:after="0" w:line="240" w:lineRule="auto"/>
              <w:ind w:right="-1"/>
              <w:jc w:val="right"/>
              <w:rPr>
                <w:b/>
              </w:rPr>
            </w:pPr>
            <w:r w:rsidRPr="00783F4F">
              <w:rPr>
                <w:b/>
              </w:rPr>
              <w:t>100.00</w:t>
            </w:r>
          </w:p>
        </w:tc>
      </w:tr>
    </w:tbl>
    <w:p w14:paraId="4F1685D4" w14:textId="77777777" w:rsidR="00F80D00" w:rsidRPr="00974B8E" w:rsidRDefault="00F80D00" w:rsidP="00F80D00">
      <w:pPr>
        <w:spacing w:before="0" w:after="0"/>
        <w:ind w:left="142" w:right="48"/>
        <w:rPr>
          <w:sz w:val="16"/>
          <w:szCs w:val="16"/>
        </w:rPr>
      </w:pPr>
      <w:r w:rsidRPr="00974B8E">
        <w:rPr>
          <w:sz w:val="16"/>
          <w:szCs w:val="16"/>
        </w:rPr>
        <w:t xml:space="preserve">Fuente: Elaboración propia con información </w:t>
      </w:r>
      <w:r>
        <w:rPr>
          <w:sz w:val="16"/>
          <w:szCs w:val="16"/>
        </w:rPr>
        <w:t xml:space="preserve">publicada por </w:t>
      </w:r>
      <w:r w:rsidRPr="00974B8E">
        <w:rPr>
          <w:sz w:val="16"/>
          <w:szCs w:val="16"/>
        </w:rPr>
        <w:t xml:space="preserve">el Instituto </w:t>
      </w:r>
      <w:r>
        <w:rPr>
          <w:sz w:val="16"/>
          <w:szCs w:val="16"/>
        </w:rPr>
        <w:t>en el Banco de Información de Telecomunicaciones, a</w:t>
      </w:r>
      <w:r w:rsidRPr="00974B8E">
        <w:rPr>
          <w:sz w:val="16"/>
          <w:szCs w:val="16"/>
        </w:rPr>
        <w:t>l segundo trimestre de 2017, lo cual constituye la mejor información disponible.</w:t>
      </w:r>
    </w:p>
    <w:p w14:paraId="78AD66B1" w14:textId="77777777" w:rsidR="00AA05F6" w:rsidRDefault="00AA05F6" w:rsidP="00F80D00">
      <w:pPr>
        <w:pStyle w:val="Textobajocuadro"/>
        <w:ind w:left="142" w:right="48"/>
        <w:rPr>
          <w:szCs w:val="16"/>
        </w:rPr>
      </w:pPr>
    </w:p>
    <w:p w14:paraId="2E1901C4" w14:textId="4EE167D9" w:rsidR="00F80D00" w:rsidRPr="00974B8E" w:rsidRDefault="00F80D00" w:rsidP="00F80D00">
      <w:pPr>
        <w:pStyle w:val="Textobajocuadro"/>
        <w:ind w:left="142" w:right="48"/>
        <w:rPr>
          <w:szCs w:val="16"/>
        </w:rPr>
      </w:pPr>
      <w:r w:rsidRPr="00974B8E">
        <w:rPr>
          <w:szCs w:val="16"/>
        </w:rPr>
        <w:t>Notas:</w:t>
      </w:r>
    </w:p>
    <w:p w14:paraId="10657753" w14:textId="53643E0E" w:rsidR="00F80D00" w:rsidRDefault="00F80D00" w:rsidP="00F80D00">
      <w:pPr>
        <w:pStyle w:val="Textobajocuadro"/>
        <w:ind w:left="142" w:right="48"/>
        <w:rPr>
          <w:szCs w:val="16"/>
        </w:rPr>
      </w:pPr>
      <w:r w:rsidRPr="00974B8E">
        <w:rPr>
          <w:szCs w:val="16"/>
        </w:rPr>
        <w:t xml:space="preserve">1/ </w:t>
      </w:r>
      <w:r>
        <w:rPr>
          <w:szCs w:val="16"/>
        </w:rPr>
        <w:t>Las cifras</w:t>
      </w:r>
      <w:r w:rsidRPr="00974B8E">
        <w:rPr>
          <w:szCs w:val="16"/>
        </w:rPr>
        <w:t xml:space="preserve"> de </w:t>
      </w:r>
      <w:proofErr w:type="spellStart"/>
      <w:r w:rsidRPr="00974B8E">
        <w:rPr>
          <w:i/>
          <w:szCs w:val="16"/>
        </w:rPr>
        <w:t>Paging</w:t>
      </w:r>
      <w:proofErr w:type="spellEnd"/>
      <w:r w:rsidRPr="00974B8E">
        <w:rPr>
          <w:szCs w:val="16"/>
        </w:rPr>
        <w:t xml:space="preserve"> y </w:t>
      </w:r>
      <w:proofErr w:type="spellStart"/>
      <w:r w:rsidRPr="00974B8E">
        <w:rPr>
          <w:i/>
          <w:szCs w:val="16"/>
        </w:rPr>
        <w:t>Trunking</w:t>
      </w:r>
      <w:proofErr w:type="spellEnd"/>
      <w:r w:rsidRPr="00974B8E">
        <w:rPr>
          <w:szCs w:val="16"/>
        </w:rPr>
        <w:t xml:space="preserve"> corresponden al cuarto trimestre de 2016, lo cual constituye la mejor información disponible.</w:t>
      </w:r>
    </w:p>
    <w:p w14:paraId="1F9F6AB2" w14:textId="72B86C6B" w:rsidR="00F80D00" w:rsidRDefault="00F80D00" w:rsidP="00F80D00">
      <w:pPr>
        <w:pStyle w:val="Textobajocuadro"/>
        <w:ind w:left="142" w:right="48"/>
        <w:rPr>
          <w:szCs w:val="16"/>
        </w:rPr>
      </w:pPr>
      <w:r>
        <w:rPr>
          <w:szCs w:val="16"/>
        </w:rPr>
        <w:t>2/ Las cifras de Sitios para Telecomunicaciones se calcularon con base en información (a diciembre de 2016) del número de torres por proveedor, proporcionada por las Partes. Fuente: Foja 27 del Expediente.</w:t>
      </w:r>
    </w:p>
    <w:p w14:paraId="41CCE357" w14:textId="451D1111" w:rsidR="00F80D00" w:rsidRPr="00974B8E" w:rsidRDefault="00F80D00" w:rsidP="00F80D00">
      <w:pPr>
        <w:pStyle w:val="Textobajocuadro"/>
        <w:ind w:left="142" w:right="48"/>
        <w:rPr>
          <w:szCs w:val="16"/>
        </w:rPr>
      </w:pPr>
      <w:r>
        <w:rPr>
          <w:szCs w:val="16"/>
        </w:rPr>
        <w:t xml:space="preserve">Para calcular el número de usuarios de Sitios para Telecomunicaciones por proveedor se multiplicó el número de torres por el número de usuarios que puede albergar cada torre: </w:t>
      </w:r>
      <w:r w:rsidR="00483A07" w:rsidRPr="00E63FC2">
        <w:rPr>
          <w:rFonts w:cs="Times New Roman"/>
          <w:b/>
          <w:bCs/>
          <w:color w:val="0000CC"/>
          <w:sz w:val="19"/>
          <w:szCs w:val="19"/>
        </w:rPr>
        <w:t>“CONFIDENCIAL POR LEY (</w:t>
      </w:r>
      <w:r w:rsidR="00687E53">
        <w:rPr>
          <w:rFonts w:cs="Times New Roman"/>
          <w:b/>
          <w:bCs/>
          <w:color w:val="0000CC"/>
          <w:sz w:val="19"/>
          <w:szCs w:val="19"/>
        </w:rPr>
        <w:t>296</w:t>
      </w:r>
      <w:r w:rsidR="00483A07" w:rsidRPr="00E63FC2">
        <w:rPr>
          <w:rFonts w:cs="Times New Roman"/>
          <w:b/>
          <w:bCs/>
          <w:color w:val="0000CC"/>
          <w:sz w:val="19"/>
          <w:szCs w:val="19"/>
        </w:rPr>
        <w:t>)”</w:t>
      </w:r>
      <w:r>
        <w:rPr>
          <w:szCs w:val="16"/>
        </w:rPr>
        <w:t xml:space="preserve"> usuarios, según información proporcionada por las Partes.</w:t>
      </w:r>
      <w:r w:rsidRPr="008227ED">
        <w:rPr>
          <w:rFonts w:eastAsia="Times New Roman"/>
          <w:color w:val="000000"/>
          <w:vertAlign w:val="superscript"/>
          <w:lang w:val="es-MX"/>
        </w:rPr>
        <w:t xml:space="preserve"> </w:t>
      </w:r>
      <w:r w:rsidRPr="00184CD5">
        <w:rPr>
          <w:rFonts w:eastAsia="Times New Roman"/>
          <w:color w:val="000000"/>
          <w:vertAlign w:val="superscript"/>
          <w:lang w:val="es-MX"/>
        </w:rPr>
        <w:footnoteReference w:id="60"/>
      </w:r>
      <w:r>
        <w:rPr>
          <w:szCs w:val="16"/>
        </w:rPr>
        <w:t xml:space="preserve"> </w:t>
      </w:r>
    </w:p>
    <w:p w14:paraId="13E94D65" w14:textId="77777777" w:rsidR="00F80D00" w:rsidRPr="00DB7BD4" w:rsidRDefault="00F80D00" w:rsidP="00F80D00">
      <w:pPr>
        <w:ind w:right="-1"/>
      </w:pPr>
      <w:r w:rsidRPr="00DB7BD4">
        <w:t xml:space="preserve">Con base en las participaciones </w:t>
      </w:r>
      <w:r>
        <w:t>sectoriales</w:t>
      </w:r>
      <w:r w:rsidRPr="00DB7BD4">
        <w:t xml:space="preserve"> a nivel nacional de cada uno de los agentes económicos </w:t>
      </w:r>
      <w:r>
        <w:t>que participan en el sector de telecomunicaciones</w:t>
      </w:r>
      <w:r w:rsidRPr="00DB7BD4">
        <w:t xml:space="preserve">, </w:t>
      </w:r>
      <w:r>
        <w:t>y</w:t>
      </w:r>
      <w:r w:rsidRPr="00DB7BD4">
        <w:t xml:space="preserve"> de conformidad con la metodología establecida en el tercer párrafo del </w:t>
      </w:r>
      <w:r>
        <w:t>Artículo Noveno Transitorio,</w:t>
      </w:r>
      <w:r w:rsidRPr="00DB7BD4">
        <w:rPr>
          <w:rStyle w:val="Refdenotaalpie"/>
        </w:rPr>
        <w:footnoteReference w:id="61"/>
      </w:r>
      <w:r>
        <w:t xml:space="preserve"> </w:t>
      </w:r>
      <w:r w:rsidRPr="00DB7BD4">
        <w:t>se calcul</w:t>
      </w:r>
      <w:r>
        <w:t>ó</w:t>
      </w:r>
      <w:r w:rsidRPr="00DB7BD4">
        <w:t xml:space="preserve"> el IHH y el ID antes y después de la Operación</w:t>
      </w:r>
      <w:r>
        <w:t>.</w:t>
      </w:r>
      <w:r w:rsidRPr="00DB7BD4">
        <w:t xml:space="preserve"> Los resultados se presentan en el siguiente cuadro.</w:t>
      </w:r>
    </w:p>
    <w:p w14:paraId="784AC99F" w14:textId="77777777" w:rsidR="00F80D00" w:rsidRPr="00937574" w:rsidRDefault="00F80D00" w:rsidP="00F80D00">
      <w:pPr>
        <w:pStyle w:val="Sinespaciado"/>
        <w:keepNext/>
        <w:numPr>
          <w:ilvl w:val="0"/>
          <w:numId w:val="24"/>
        </w:numPr>
        <w:spacing w:before="120" w:after="120" w:line="276" w:lineRule="auto"/>
        <w:ind w:left="1701" w:right="615" w:hanging="1275"/>
        <w:jc w:val="both"/>
        <w:rPr>
          <w:rFonts w:ascii="ITC Avant Garde" w:hAnsi="ITC Avant Garde"/>
          <w:b/>
        </w:rPr>
      </w:pPr>
      <w:r w:rsidRPr="00937574">
        <w:rPr>
          <w:rFonts w:ascii="ITC Avant Garde" w:hAnsi="ITC Avant Garde"/>
          <w:b/>
        </w:rPr>
        <w:t>Índices de concentración en el sector de telecomunicaciones antes y después de la Operación</w:t>
      </w:r>
    </w:p>
    <w:tbl>
      <w:tblPr>
        <w:tblW w:w="8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uadro 26."/>
        <w:tblDescription w:val="Desarrolla cuales son los índices de concentración en el sector de telecomunicaciones antes y después de la Operación"/>
      </w:tblPr>
      <w:tblGrid>
        <w:gridCol w:w="898"/>
        <w:gridCol w:w="2929"/>
        <w:gridCol w:w="3119"/>
        <w:gridCol w:w="1603"/>
      </w:tblGrid>
      <w:tr w:rsidR="00F80D00" w:rsidRPr="00DB7BD4" w14:paraId="776BFCCF" w14:textId="77777777" w:rsidTr="00F80D00">
        <w:trPr>
          <w:tblHeader/>
          <w:jc w:val="center"/>
        </w:trPr>
        <w:tc>
          <w:tcPr>
            <w:tcW w:w="898" w:type="dxa"/>
            <w:shd w:val="clear" w:color="auto" w:fill="92D050"/>
            <w:vAlign w:val="center"/>
          </w:tcPr>
          <w:p w14:paraId="6825BFDC" w14:textId="77777777" w:rsidR="00F80D00" w:rsidRPr="00DB7BD4" w:rsidRDefault="00F80D00" w:rsidP="00F80D00">
            <w:pPr>
              <w:spacing w:before="0" w:after="0"/>
              <w:ind w:right="-1"/>
              <w:jc w:val="center"/>
              <w:rPr>
                <w:b/>
                <w:sz w:val="18"/>
                <w:szCs w:val="18"/>
              </w:rPr>
            </w:pPr>
            <w:r w:rsidRPr="00DB7BD4">
              <w:rPr>
                <w:b/>
                <w:sz w:val="18"/>
                <w:szCs w:val="18"/>
              </w:rPr>
              <w:t>Índices</w:t>
            </w:r>
          </w:p>
        </w:tc>
        <w:tc>
          <w:tcPr>
            <w:tcW w:w="2929" w:type="dxa"/>
            <w:shd w:val="clear" w:color="auto" w:fill="92D050"/>
            <w:vAlign w:val="center"/>
          </w:tcPr>
          <w:p w14:paraId="0B3E58BB" w14:textId="77777777" w:rsidR="00F80D00" w:rsidRPr="00DB7BD4" w:rsidRDefault="00F80D00" w:rsidP="00F80D00">
            <w:pPr>
              <w:spacing w:before="0" w:after="0"/>
              <w:ind w:right="-1"/>
              <w:jc w:val="center"/>
              <w:rPr>
                <w:b/>
                <w:sz w:val="18"/>
                <w:szCs w:val="18"/>
              </w:rPr>
            </w:pPr>
            <w:r w:rsidRPr="00DB7BD4">
              <w:rPr>
                <w:b/>
                <w:sz w:val="18"/>
                <w:szCs w:val="18"/>
              </w:rPr>
              <w:t>Antes de la Operación</w:t>
            </w:r>
          </w:p>
        </w:tc>
        <w:tc>
          <w:tcPr>
            <w:tcW w:w="3119" w:type="dxa"/>
            <w:shd w:val="clear" w:color="auto" w:fill="92D050"/>
            <w:vAlign w:val="center"/>
          </w:tcPr>
          <w:p w14:paraId="71DEB06F" w14:textId="77777777" w:rsidR="00F80D00" w:rsidRPr="00DB7BD4" w:rsidRDefault="00F80D00" w:rsidP="00F80D00">
            <w:pPr>
              <w:spacing w:before="0" w:after="0"/>
              <w:ind w:right="-1"/>
              <w:jc w:val="center"/>
              <w:rPr>
                <w:b/>
                <w:sz w:val="18"/>
                <w:szCs w:val="18"/>
              </w:rPr>
            </w:pPr>
            <w:r w:rsidRPr="00DB7BD4">
              <w:rPr>
                <w:b/>
                <w:sz w:val="18"/>
                <w:szCs w:val="18"/>
              </w:rPr>
              <w:t>Después de la Operación</w:t>
            </w:r>
          </w:p>
        </w:tc>
        <w:tc>
          <w:tcPr>
            <w:tcW w:w="1603" w:type="dxa"/>
            <w:shd w:val="clear" w:color="auto" w:fill="92D050"/>
            <w:vAlign w:val="center"/>
          </w:tcPr>
          <w:p w14:paraId="07237C80" w14:textId="77777777" w:rsidR="00F80D00" w:rsidRPr="00DB7BD4" w:rsidRDefault="00F80D00" w:rsidP="00F80D00">
            <w:pPr>
              <w:spacing w:before="0" w:after="0"/>
              <w:ind w:right="-1"/>
              <w:jc w:val="center"/>
              <w:rPr>
                <w:b/>
                <w:sz w:val="18"/>
                <w:szCs w:val="18"/>
              </w:rPr>
            </w:pPr>
            <w:r w:rsidRPr="00DB7BD4">
              <w:rPr>
                <w:b/>
                <w:sz w:val="18"/>
                <w:szCs w:val="18"/>
              </w:rPr>
              <w:t>Diferencia</w:t>
            </w:r>
          </w:p>
        </w:tc>
      </w:tr>
      <w:tr w:rsidR="00F80D00" w:rsidRPr="0023224A" w14:paraId="680EB3ED" w14:textId="77777777" w:rsidTr="00F80D00">
        <w:trPr>
          <w:jc w:val="center"/>
        </w:trPr>
        <w:tc>
          <w:tcPr>
            <w:tcW w:w="898" w:type="dxa"/>
          </w:tcPr>
          <w:p w14:paraId="04CE87E4" w14:textId="77777777" w:rsidR="00F80D00" w:rsidRPr="00DE3EB7" w:rsidRDefault="00F80D00" w:rsidP="00F80D00">
            <w:pPr>
              <w:spacing w:before="0" w:after="0"/>
              <w:ind w:right="-1"/>
              <w:rPr>
                <w:sz w:val="18"/>
                <w:szCs w:val="18"/>
              </w:rPr>
            </w:pPr>
            <w:r w:rsidRPr="00DE3EB7">
              <w:rPr>
                <w:sz w:val="18"/>
                <w:szCs w:val="18"/>
              </w:rPr>
              <w:t>IHH</w:t>
            </w:r>
          </w:p>
        </w:tc>
        <w:tc>
          <w:tcPr>
            <w:tcW w:w="2929" w:type="dxa"/>
            <w:vAlign w:val="center"/>
          </w:tcPr>
          <w:p w14:paraId="023FDE85" w14:textId="77777777" w:rsidR="00F80D00" w:rsidRPr="00DE3EB7" w:rsidRDefault="00F80D00" w:rsidP="00F80D00">
            <w:pPr>
              <w:spacing w:before="0" w:after="0"/>
              <w:ind w:right="-1"/>
              <w:jc w:val="right"/>
              <w:rPr>
                <w:sz w:val="18"/>
                <w:szCs w:val="18"/>
              </w:rPr>
            </w:pPr>
            <w:r w:rsidRPr="00DE3EB7">
              <w:rPr>
                <w:sz w:val="18"/>
              </w:rPr>
              <w:t>4,009.</w:t>
            </w:r>
            <w:r>
              <w:rPr>
                <w:sz w:val="18"/>
              </w:rPr>
              <w:t>098800</w:t>
            </w:r>
          </w:p>
        </w:tc>
        <w:tc>
          <w:tcPr>
            <w:tcW w:w="3119" w:type="dxa"/>
            <w:vAlign w:val="center"/>
          </w:tcPr>
          <w:p w14:paraId="674839A1" w14:textId="77777777" w:rsidR="00F80D00" w:rsidRPr="0023224A" w:rsidRDefault="00F80D00" w:rsidP="00F80D00">
            <w:pPr>
              <w:spacing w:before="0" w:after="0"/>
              <w:ind w:right="-1"/>
              <w:jc w:val="right"/>
              <w:rPr>
                <w:sz w:val="18"/>
                <w:szCs w:val="18"/>
                <w:highlight w:val="yellow"/>
              </w:rPr>
            </w:pPr>
            <w:r w:rsidRPr="00DE3EB7">
              <w:rPr>
                <w:sz w:val="18"/>
              </w:rPr>
              <w:t>4,009.</w:t>
            </w:r>
            <w:r>
              <w:rPr>
                <w:sz w:val="18"/>
              </w:rPr>
              <w:t>098803</w:t>
            </w:r>
          </w:p>
        </w:tc>
        <w:tc>
          <w:tcPr>
            <w:tcW w:w="1603" w:type="dxa"/>
            <w:vAlign w:val="center"/>
          </w:tcPr>
          <w:p w14:paraId="58D7C0DD" w14:textId="77777777" w:rsidR="00F80D00" w:rsidRPr="0023224A" w:rsidRDefault="00F80D00" w:rsidP="00F80D00">
            <w:pPr>
              <w:spacing w:before="0" w:after="0"/>
              <w:ind w:right="-1"/>
              <w:jc w:val="right"/>
              <w:rPr>
                <w:sz w:val="18"/>
                <w:szCs w:val="18"/>
                <w:highlight w:val="yellow"/>
              </w:rPr>
            </w:pPr>
            <w:r>
              <w:rPr>
                <w:sz w:val="18"/>
              </w:rPr>
              <w:t>0.000003</w:t>
            </w:r>
          </w:p>
        </w:tc>
      </w:tr>
      <w:tr w:rsidR="00F80D00" w:rsidRPr="0023224A" w14:paraId="719547DE" w14:textId="77777777" w:rsidTr="00F80D00">
        <w:trPr>
          <w:trHeight w:val="53"/>
          <w:jc w:val="center"/>
        </w:trPr>
        <w:tc>
          <w:tcPr>
            <w:tcW w:w="898" w:type="dxa"/>
            <w:tcBorders>
              <w:bottom w:val="single" w:sz="4" w:space="0" w:color="auto"/>
            </w:tcBorders>
          </w:tcPr>
          <w:p w14:paraId="17197C8B" w14:textId="77777777" w:rsidR="00F80D00" w:rsidRPr="00DC3293" w:rsidRDefault="00F80D00" w:rsidP="00F80D00">
            <w:pPr>
              <w:spacing w:before="0" w:after="0"/>
              <w:ind w:right="-1"/>
              <w:rPr>
                <w:sz w:val="18"/>
                <w:szCs w:val="18"/>
              </w:rPr>
            </w:pPr>
            <w:r w:rsidRPr="00DC3293">
              <w:rPr>
                <w:sz w:val="18"/>
                <w:szCs w:val="18"/>
              </w:rPr>
              <w:t>ID</w:t>
            </w:r>
          </w:p>
        </w:tc>
        <w:tc>
          <w:tcPr>
            <w:tcW w:w="2929" w:type="dxa"/>
            <w:tcBorders>
              <w:bottom w:val="single" w:sz="4" w:space="0" w:color="auto"/>
            </w:tcBorders>
            <w:vAlign w:val="center"/>
          </w:tcPr>
          <w:p w14:paraId="47CB941F" w14:textId="77777777" w:rsidR="00F80D00" w:rsidRPr="00DC3293" w:rsidRDefault="00F80D00" w:rsidP="00F80D00">
            <w:pPr>
              <w:spacing w:before="0" w:after="0"/>
              <w:ind w:right="-1"/>
              <w:jc w:val="right"/>
              <w:rPr>
                <w:sz w:val="18"/>
                <w:szCs w:val="18"/>
              </w:rPr>
            </w:pPr>
            <w:r w:rsidRPr="00DC3293">
              <w:rPr>
                <w:sz w:val="18"/>
              </w:rPr>
              <w:t>8,226.795207</w:t>
            </w:r>
          </w:p>
        </w:tc>
        <w:tc>
          <w:tcPr>
            <w:tcW w:w="3119" w:type="dxa"/>
            <w:tcBorders>
              <w:bottom w:val="single" w:sz="4" w:space="0" w:color="auto"/>
            </w:tcBorders>
            <w:vAlign w:val="center"/>
          </w:tcPr>
          <w:p w14:paraId="67FE48DE" w14:textId="77777777" w:rsidR="00F80D00" w:rsidRPr="00DC3293" w:rsidRDefault="00F80D00" w:rsidP="00F80D00">
            <w:pPr>
              <w:spacing w:before="0" w:after="0"/>
              <w:ind w:right="-1"/>
              <w:jc w:val="right"/>
              <w:rPr>
                <w:sz w:val="18"/>
                <w:szCs w:val="18"/>
              </w:rPr>
            </w:pPr>
            <w:r w:rsidRPr="00DC3293">
              <w:rPr>
                <w:sz w:val="18"/>
              </w:rPr>
              <w:t>8,226.79519</w:t>
            </w:r>
            <w:r>
              <w:rPr>
                <w:sz w:val="18"/>
              </w:rPr>
              <w:t>5</w:t>
            </w:r>
          </w:p>
        </w:tc>
        <w:tc>
          <w:tcPr>
            <w:tcW w:w="1603" w:type="dxa"/>
            <w:tcBorders>
              <w:bottom w:val="single" w:sz="4" w:space="0" w:color="auto"/>
            </w:tcBorders>
            <w:vAlign w:val="center"/>
          </w:tcPr>
          <w:p w14:paraId="213E6429" w14:textId="77777777" w:rsidR="00F80D00" w:rsidRPr="00DC3293" w:rsidRDefault="00F80D00" w:rsidP="00F80D00">
            <w:pPr>
              <w:spacing w:before="0" w:after="0"/>
              <w:ind w:right="-1"/>
              <w:jc w:val="right"/>
              <w:rPr>
                <w:sz w:val="18"/>
                <w:szCs w:val="18"/>
              </w:rPr>
            </w:pPr>
            <w:r w:rsidRPr="00DC3293">
              <w:rPr>
                <w:sz w:val="18"/>
                <w:szCs w:val="18"/>
              </w:rPr>
              <w:t>-0.0000</w:t>
            </w:r>
            <w:r>
              <w:rPr>
                <w:sz w:val="18"/>
                <w:szCs w:val="18"/>
              </w:rPr>
              <w:t>12</w:t>
            </w:r>
          </w:p>
        </w:tc>
      </w:tr>
    </w:tbl>
    <w:p w14:paraId="37331C27" w14:textId="1CB09A35" w:rsidR="005B67BE" w:rsidRPr="005B67BE" w:rsidRDefault="005B67BE" w:rsidP="005B67BE">
      <w:pPr>
        <w:spacing w:before="0" w:after="0"/>
        <w:ind w:left="142" w:right="48"/>
        <w:rPr>
          <w:sz w:val="16"/>
          <w:szCs w:val="16"/>
        </w:rPr>
      </w:pPr>
      <w:r w:rsidRPr="005B67BE">
        <w:rPr>
          <w:sz w:val="16"/>
          <w:szCs w:val="16"/>
        </w:rPr>
        <w:t>Fuente: Elaboración y cálculos propios.</w:t>
      </w:r>
    </w:p>
    <w:p w14:paraId="7232EB91" w14:textId="01FBE2A9" w:rsidR="00F80D00" w:rsidRPr="00DB7BD4" w:rsidRDefault="00F80D00" w:rsidP="00F80D00">
      <w:pPr>
        <w:ind w:right="-1"/>
      </w:pPr>
      <w:r w:rsidRPr="00DB7BD4">
        <w:t xml:space="preserve">Como se observa en el cuadro anterior, la Operación implica una disminución </w:t>
      </w:r>
      <w:r>
        <w:t xml:space="preserve">marginal </w:t>
      </w:r>
      <w:r w:rsidRPr="00DB7BD4">
        <w:t xml:space="preserve">del </w:t>
      </w:r>
      <w:r w:rsidRPr="00DC3293">
        <w:t>ID de 0.0000</w:t>
      </w:r>
      <w:r>
        <w:t>12</w:t>
      </w:r>
      <w:r w:rsidRPr="00DC3293">
        <w:t xml:space="preserve"> </w:t>
      </w:r>
      <w:r>
        <w:t xml:space="preserve">puntos </w:t>
      </w:r>
      <w:r w:rsidRPr="00DC3293">
        <w:t>(</w:t>
      </w:r>
      <w:r>
        <w:t>doce millonésimas de un punto</w:t>
      </w:r>
      <w:r w:rsidRPr="00DC3293">
        <w:t>) y un incremento también marginal en el IHH de 0.00000</w:t>
      </w:r>
      <w:r>
        <w:t>3</w:t>
      </w:r>
      <w:r w:rsidRPr="00DC3293">
        <w:t xml:space="preserve"> </w:t>
      </w:r>
      <w:r>
        <w:t xml:space="preserve">puntos </w:t>
      </w:r>
      <w:r w:rsidRPr="00DC3293">
        <w:t>(</w:t>
      </w:r>
      <w:r>
        <w:t>tres millonésimas de un punto</w:t>
      </w:r>
      <w:r w:rsidRPr="00DC3293">
        <w:t xml:space="preserve">) a nivel nacional. </w:t>
      </w:r>
      <w:r w:rsidRPr="00DC3293">
        <w:lastRenderedPageBreak/>
        <w:t>Esto es, la Operación genera una reducción del ID en el sector y el IHH no se incrementa en más de 200</w:t>
      </w:r>
      <w:r w:rsidRPr="00DB7BD4">
        <w:t xml:space="preserve"> (doscientos) puntos.</w:t>
      </w:r>
    </w:p>
    <w:p w14:paraId="268407D2" w14:textId="77777777" w:rsidR="00F80D00" w:rsidRPr="00DB7BD4" w:rsidRDefault="00F80D00" w:rsidP="00F80D00">
      <w:pPr>
        <w:ind w:right="-1"/>
      </w:pPr>
      <w:r w:rsidRPr="00DB7BD4">
        <w:t xml:space="preserve">Por lo anterior, </w:t>
      </w:r>
      <w:r w:rsidRPr="00DB7BD4">
        <w:rPr>
          <w:b/>
        </w:rPr>
        <w:t xml:space="preserve">la Operación cumple con el </w:t>
      </w:r>
      <w:r w:rsidRPr="001F2EA3">
        <w:rPr>
          <w:b/>
        </w:rPr>
        <w:t xml:space="preserve">inciso a. del párrafo </w:t>
      </w:r>
      <w:r>
        <w:rPr>
          <w:b/>
        </w:rPr>
        <w:t xml:space="preserve">primero </w:t>
      </w:r>
      <w:r w:rsidRPr="001F2EA3">
        <w:rPr>
          <w:b/>
        </w:rPr>
        <w:t xml:space="preserve">del </w:t>
      </w:r>
      <w:r>
        <w:rPr>
          <w:b/>
        </w:rPr>
        <w:t>Artículo Noveno Transitorio</w:t>
      </w:r>
      <w:r w:rsidRPr="001F2EA3">
        <w:rPr>
          <w:b/>
        </w:rPr>
        <w:t>.</w:t>
      </w:r>
      <w:r w:rsidRPr="00DB7BD4">
        <w:t xml:space="preserve"> </w:t>
      </w:r>
    </w:p>
    <w:p w14:paraId="322CDDBB" w14:textId="77777777" w:rsidR="00F80D00" w:rsidRPr="002F3305" w:rsidRDefault="009111D7" w:rsidP="002F3305">
      <w:pPr>
        <w:ind w:firstLine="708"/>
        <w:rPr>
          <w:b/>
        </w:rPr>
      </w:pPr>
      <w:bookmarkStart w:id="64" w:name="_Toc511061432"/>
      <w:r w:rsidRPr="002F3305">
        <w:rPr>
          <w:b/>
        </w:rPr>
        <w:t xml:space="preserve">5.3.2. </w:t>
      </w:r>
      <w:r w:rsidR="00F80D00" w:rsidRPr="002F3305">
        <w:rPr>
          <w:b/>
        </w:rPr>
        <w:t>Inciso b.</w:t>
      </w:r>
      <w:bookmarkEnd w:id="64"/>
    </w:p>
    <w:p w14:paraId="7E430B9F" w14:textId="1CD0E4B8" w:rsidR="00F80D00" w:rsidRDefault="00F80D00" w:rsidP="00F80D00">
      <w:r w:rsidRPr="00DF2911">
        <w:t xml:space="preserve">El inciso </w:t>
      </w:r>
      <w:r>
        <w:t>b</w:t>
      </w:r>
      <w:r w:rsidRPr="00DF2911">
        <w:t xml:space="preserve">. del párrafo primero del </w:t>
      </w:r>
      <w:r>
        <w:t>Artículo Noveno Transitorio establece lo siguiente:</w:t>
      </w:r>
    </w:p>
    <w:p w14:paraId="6D21D7E8" w14:textId="77777777" w:rsidR="00F80D00" w:rsidRPr="00A206E7" w:rsidRDefault="00F80D00" w:rsidP="00F80D00">
      <w:pPr>
        <w:pStyle w:val="Prrafodelista"/>
        <w:numPr>
          <w:ilvl w:val="0"/>
          <w:numId w:val="23"/>
        </w:numPr>
        <w:spacing w:after="120" w:line="276" w:lineRule="auto"/>
        <w:ind w:left="567"/>
        <w:contextualSpacing w:val="0"/>
        <w:rPr>
          <w:i/>
          <w:sz w:val="20"/>
        </w:rPr>
      </w:pPr>
      <w:r w:rsidRPr="00A206E7">
        <w:rPr>
          <w:i/>
          <w:sz w:val="20"/>
        </w:rPr>
        <w:t>Tengan como resultado que el agente económico cuente con un porcentaje de participación sectorial menor al veinte por ciento;</w:t>
      </w:r>
    </w:p>
    <w:p w14:paraId="4664D6F1" w14:textId="77777777" w:rsidR="00F80D00" w:rsidRDefault="00F80D00" w:rsidP="00F80D00">
      <w:pPr>
        <w:ind w:right="-1"/>
        <w:rPr>
          <w:highlight w:val="yellow"/>
        </w:rPr>
      </w:pPr>
      <w:r w:rsidRPr="001F2EA3">
        <w:t xml:space="preserve">Para evaluar el cumplimiento de este requisito debe determinarse la participación sectorial que el GIE Grupo ATC </w:t>
      </w:r>
      <w:r w:rsidRPr="006C6FF2">
        <w:t>acumuló tras la Operación. Al respecto, con base en las cifras presentadas en el Cuadro 25, se</w:t>
      </w:r>
      <w:r w:rsidRPr="00DB7BD4">
        <w:t xml:space="preserve"> </w:t>
      </w:r>
      <w:r>
        <w:t xml:space="preserve">observa </w:t>
      </w:r>
      <w:r w:rsidRPr="00DB7BD4">
        <w:t xml:space="preserve">que antes de la Operación </w:t>
      </w:r>
      <w:r>
        <w:t xml:space="preserve">el GIE Grupo </w:t>
      </w:r>
      <w:r w:rsidRPr="00DC3293">
        <w:t xml:space="preserve">ATC tenía 0.0056% (cincuenta y seis </w:t>
      </w:r>
      <w:r>
        <w:t>diezmilésimas de un punto porcentual</w:t>
      </w:r>
      <w:r w:rsidRPr="00DC3293">
        <w:t>) de participación sectorial, mientras que las Sociedades Adquiridas tenían 0.000</w:t>
      </w:r>
      <w:r>
        <w:t>3</w:t>
      </w:r>
      <w:r w:rsidRPr="00DC3293">
        <w:t>% (</w:t>
      </w:r>
      <w:r>
        <w:t>tres</w:t>
      </w:r>
      <w:r w:rsidRPr="00DC3293">
        <w:t xml:space="preserve"> </w:t>
      </w:r>
      <w:r>
        <w:t>diezmilésimas de un punto porcentual</w:t>
      </w:r>
      <w:r w:rsidRPr="00DC3293">
        <w:t>)</w:t>
      </w:r>
      <w:r>
        <w:t>.</w:t>
      </w:r>
      <w:r w:rsidRPr="00DC3293">
        <w:t xml:space="preserve"> Así,</w:t>
      </w:r>
      <w:r>
        <w:t xml:space="preserve"> c</w:t>
      </w:r>
      <w:r w:rsidRPr="00DB7BD4">
        <w:t>omo consecuencia de la Operación, el GIE Grupo ATC acumul</w:t>
      </w:r>
      <w:r>
        <w:t>ó</w:t>
      </w:r>
      <w:r w:rsidRPr="00DB7BD4">
        <w:t xml:space="preserve"> una participación en el sector de </w:t>
      </w:r>
      <w:r w:rsidRPr="00DC3293">
        <w:t>telecomunicaciones a nivel nacional de 0.005</w:t>
      </w:r>
      <w:r>
        <w:t>9</w:t>
      </w:r>
      <w:r w:rsidRPr="00DC3293">
        <w:t xml:space="preserve">% (cincuenta y </w:t>
      </w:r>
      <w:r>
        <w:t>nueve diezmilésimas de un punto porcentual</w:t>
      </w:r>
      <w:r w:rsidRPr="00DC3293">
        <w:t>), la cual</w:t>
      </w:r>
      <w:r w:rsidRPr="001F2EA3">
        <w:t xml:space="preserve"> es menor a 20% (veinte por ciento).</w:t>
      </w:r>
    </w:p>
    <w:p w14:paraId="2596B88A" w14:textId="77777777" w:rsidR="00F80D00" w:rsidRPr="001F2EA3" w:rsidRDefault="00F80D00" w:rsidP="00F80D00">
      <w:pPr>
        <w:ind w:right="-1"/>
        <w:rPr>
          <w:strike/>
        </w:rPr>
      </w:pPr>
      <w:r w:rsidRPr="001F2EA3">
        <w:t xml:space="preserve">Por lo tanto, </w:t>
      </w:r>
      <w:r w:rsidRPr="001F2EA3">
        <w:rPr>
          <w:b/>
        </w:rPr>
        <w:t xml:space="preserve">la Operación cumple con el inciso b. del párrafo </w:t>
      </w:r>
      <w:r>
        <w:rPr>
          <w:b/>
        </w:rPr>
        <w:t xml:space="preserve">primero </w:t>
      </w:r>
      <w:r w:rsidRPr="001F2EA3">
        <w:rPr>
          <w:b/>
        </w:rPr>
        <w:t xml:space="preserve">del </w:t>
      </w:r>
      <w:r>
        <w:rPr>
          <w:b/>
        </w:rPr>
        <w:t>Artículo Noveno Transitorio</w:t>
      </w:r>
      <w:r w:rsidRPr="001F2EA3">
        <w:rPr>
          <w:b/>
        </w:rPr>
        <w:t>.</w:t>
      </w:r>
    </w:p>
    <w:p w14:paraId="22324992" w14:textId="77777777" w:rsidR="00F80D00" w:rsidRPr="002F3305" w:rsidRDefault="009111D7" w:rsidP="002F3305">
      <w:pPr>
        <w:ind w:firstLine="708"/>
        <w:rPr>
          <w:b/>
        </w:rPr>
      </w:pPr>
      <w:bookmarkStart w:id="65" w:name="_Toc511061433"/>
      <w:r w:rsidRPr="002F3305">
        <w:rPr>
          <w:b/>
        </w:rPr>
        <w:t xml:space="preserve">5.3.3. </w:t>
      </w:r>
      <w:r w:rsidR="00F80D00" w:rsidRPr="002F3305">
        <w:rPr>
          <w:b/>
        </w:rPr>
        <w:t>Inciso c.</w:t>
      </w:r>
      <w:bookmarkEnd w:id="65"/>
    </w:p>
    <w:p w14:paraId="7E3D2BCB" w14:textId="77777777" w:rsidR="00F80D00" w:rsidRDefault="00F80D00" w:rsidP="00F80D00">
      <w:pPr>
        <w:rPr>
          <w:highlight w:val="yellow"/>
        </w:rPr>
      </w:pPr>
      <w:r w:rsidRPr="00DF2911">
        <w:t xml:space="preserve">El inciso </w:t>
      </w:r>
      <w:r>
        <w:t>c</w:t>
      </w:r>
      <w:r w:rsidRPr="00DF2911">
        <w:t xml:space="preserve">. del párrafo primero del </w:t>
      </w:r>
      <w:r>
        <w:t>Artículo Noveno Transitorio establece lo siguiente:</w:t>
      </w:r>
    </w:p>
    <w:p w14:paraId="0BC60F13" w14:textId="77777777" w:rsidR="00F80D00" w:rsidRPr="00A206E7" w:rsidRDefault="00F80D00" w:rsidP="00F80D00">
      <w:pPr>
        <w:pStyle w:val="Prrafodelista"/>
        <w:numPr>
          <w:ilvl w:val="0"/>
          <w:numId w:val="23"/>
        </w:numPr>
        <w:spacing w:after="120" w:line="276" w:lineRule="auto"/>
        <w:ind w:left="567"/>
        <w:contextualSpacing w:val="0"/>
        <w:rPr>
          <w:i/>
          <w:sz w:val="20"/>
        </w:rPr>
      </w:pPr>
      <w:r w:rsidRPr="00A206E7">
        <w:rPr>
          <w:i/>
          <w:sz w:val="20"/>
        </w:rPr>
        <w:t>Que en dicha concentración no participe el agente económico preponderante en el sector en el que se lleve a cabo la concentración</w:t>
      </w:r>
      <w:r>
        <w:rPr>
          <w:i/>
          <w:sz w:val="20"/>
        </w:rPr>
        <w:t>, y</w:t>
      </w:r>
    </w:p>
    <w:p w14:paraId="483CF6FC" w14:textId="77777777" w:rsidR="00F80D00" w:rsidRPr="006C6A35" w:rsidRDefault="00F80D00" w:rsidP="00F80D00">
      <w:pPr>
        <w:ind w:right="-1"/>
      </w:pPr>
      <w:r>
        <w:t>Al respecto, l</w:t>
      </w:r>
      <w:r w:rsidRPr="006C6A35">
        <w:t xml:space="preserve">a Operación materia del Aviso de Concentración ocurre en el sector de telecomunicaciones, por lo que la condición establecida en el inciso analizado exige que no debe estar involucrada en la Operación ninguna persona que forme parte del </w:t>
      </w:r>
      <w:r>
        <w:t>AEPT</w:t>
      </w:r>
      <w:r w:rsidRPr="006C6A35">
        <w:t>.</w:t>
      </w:r>
    </w:p>
    <w:p w14:paraId="65DC0C65" w14:textId="77777777" w:rsidR="00F80D00" w:rsidRPr="006C6A35" w:rsidRDefault="00F80D00" w:rsidP="00F80D00">
      <w:pPr>
        <w:ind w:right="-1"/>
        <w:rPr>
          <w:rFonts w:eastAsia="Times New Roman"/>
          <w:color w:val="000000"/>
          <w:lang w:val="es-MX"/>
        </w:rPr>
      </w:pPr>
      <w:r w:rsidRPr="006C6A35">
        <w:t xml:space="preserve">Al respecto, </w:t>
      </w:r>
      <w:r>
        <w:t xml:space="preserve">en el </w:t>
      </w:r>
      <w:r w:rsidRPr="00A02181">
        <w:t>Escrito de Desahogo de Prevención</w:t>
      </w:r>
      <w:r w:rsidRPr="006C6A35">
        <w:t xml:space="preserve"> l</w:t>
      </w:r>
      <w:r w:rsidRPr="006C6A35">
        <w:rPr>
          <w:rFonts w:eastAsia="Times New Roman"/>
          <w:color w:val="000000"/>
          <w:lang w:val="es-MX"/>
        </w:rPr>
        <w:t xml:space="preserve">as Partes </w:t>
      </w:r>
      <w:r>
        <w:rPr>
          <w:rFonts w:eastAsia="Times New Roman"/>
          <w:color w:val="000000"/>
          <w:lang w:val="es-MX"/>
        </w:rPr>
        <w:t>declararon</w:t>
      </w:r>
      <w:r w:rsidRPr="006C6A35">
        <w:rPr>
          <w:rFonts w:eastAsia="Times New Roman"/>
          <w:color w:val="000000"/>
          <w:lang w:val="es-MX"/>
        </w:rPr>
        <w:t xml:space="preserve"> lo siguiente:</w:t>
      </w:r>
      <w:r w:rsidRPr="00874FA4">
        <w:rPr>
          <w:rFonts w:eastAsia="Times New Roman"/>
          <w:color w:val="000000"/>
          <w:sz w:val="20"/>
          <w:vertAlign w:val="superscript"/>
          <w:lang w:val="es-MX"/>
        </w:rPr>
        <w:footnoteReference w:id="62"/>
      </w:r>
    </w:p>
    <w:p w14:paraId="45D45948" w14:textId="77777777" w:rsidR="00F80D00" w:rsidRPr="00DB4CFA" w:rsidRDefault="00F80D00" w:rsidP="00F80D00">
      <w:pPr>
        <w:ind w:left="567" w:right="-1"/>
        <w:rPr>
          <w:rFonts w:eastAsia="Times New Roman"/>
          <w:i/>
          <w:color w:val="000000"/>
          <w:sz w:val="20"/>
          <w:lang w:val="es-MX"/>
        </w:rPr>
      </w:pPr>
      <w:r w:rsidRPr="00DB4CFA">
        <w:rPr>
          <w:rFonts w:eastAsia="Times New Roman"/>
          <w:i/>
          <w:color w:val="000000"/>
          <w:sz w:val="20"/>
          <w:lang w:val="es-MX"/>
        </w:rPr>
        <w:t xml:space="preserve">“Por este medio se informa a ese Instituto que el Agente Económico Preponderante en el sector de telecomunicaciones </w:t>
      </w:r>
      <w:r w:rsidRPr="00DB4CFA">
        <w:rPr>
          <w:rFonts w:eastAsia="Times New Roman"/>
          <w:b/>
          <w:i/>
          <w:color w:val="000000"/>
          <w:sz w:val="20"/>
          <w:u w:val="single"/>
          <w:lang w:val="es-MX"/>
        </w:rPr>
        <w:t>no</w:t>
      </w:r>
      <w:r w:rsidRPr="00DB4CFA">
        <w:rPr>
          <w:rFonts w:eastAsia="Times New Roman"/>
          <w:i/>
          <w:color w:val="000000"/>
          <w:sz w:val="20"/>
          <w:lang w:val="es-MX"/>
        </w:rPr>
        <w:t xml:space="preserve"> participa, directa o indirectamente, en el capital social, órganos de decisión y/o la administración de los </w:t>
      </w:r>
      <w:proofErr w:type="spellStart"/>
      <w:r w:rsidRPr="00DB4CFA">
        <w:rPr>
          <w:rFonts w:eastAsia="Times New Roman"/>
          <w:i/>
          <w:color w:val="000000"/>
          <w:sz w:val="20"/>
          <w:lang w:val="es-MX"/>
        </w:rPr>
        <w:t>Promoventes</w:t>
      </w:r>
      <w:proofErr w:type="spellEnd"/>
      <w:r w:rsidRPr="00DB4CFA">
        <w:rPr>
          <w:rFonts w:eastAsia="Times New Roman"/>
          <w:i/>
          <w:color w:val="000000"/>
          <w:sz w:val="20"/>
          <w:lang w:val="es-MX"/>
        </w:rPr>
        <w:t>.</w:t>
      </w:r>
    </w:p>
    <w:p w14:paraId="7E71E9C8" w14:textId="77777777" w:rsidR="00F80D00" w:rsidRPr="00DB4CFA" w:rsidRDefault="00F80D00" w:rsidP="00F80D00">
      <w:pPr>
        <w:ind w:left="567" w:right="-1"/>
        <w:rPr>
          <w:rFonts w:eastAsia="Times New Roman"/>
          <w:i/>
          <w:color w:val="000000"/>
          <w:sz w:val="20"/>
          <w:lang w:val="es-MX"/>
        </w:rPr>
      </w:pPr>
      <w:r w:rsidRPr="00DB4CFA">
        <w:rPr>
          <w:rFonts w:eastAsia="Times New Roman"/>
          <w:i/>
          <w:color w:val="000000"/>
          <w:sz w:val="20"/>
          <w:lang w:val="es-MX"/>
        </w:rPr>
        <w:t>(…)</w:t>
      </w:r>
    </w:p>
    <w:p w14:paraId="73229A8F" w14:textId="77777777" w:rsidR="00F80D00" w:rsidRPr="00DB4CFA" w:rsidRDefault="00F80D00" w:rsidP="00F80D00">
      <w:pPr>
        <w:ind w:left="567" w:right="-1"/>
        <w:rPr>
          <w:rFonts w:eastAsia="Times New Roman"/>
          <w:i/>
          <w:color w:val="000000"/>
          <w:sz w:val="20"/>
          <w:lang w:val="es-MX"/>
        </w:rPr>
      </w:pPr>
      <w:r w:rsidRPr="00DB4CFA">
        <w:rPr>
          <w:rFonts w:eastAsia="Times New Roman"/>
          <w:i/>
          <w:color w:val="000000"/>
          <w:sz w:val="20"/>
          <w:lang w:val="es-MX"/>
        </w:rPr>
        <w:t xml:space="preserve">Por este medio se informa a ese Instituto que </w:t>
      </w:r>
      <w:r w:rsidRPr="00DB4CFA">
        <w:rPr>
          <w:rFonts w:eastAsia="Times New Roman"/>
          <w:b/>
          <w:i/>
          <w:color w:val="000000"/>
          <w:sz w:val="20"/>
          <w:u w:val="single"/>
          <w:lang w:val="es-MX"/>
        </w:rPr>
        <w:t>ninguno</w:t>
      </w:r>
      <w:r w:rsidRPr="00DB4CFA">
        <w:rPr>
          <w:rFonts w:eastAsia="Times New Roman"/>
          <w:i/>
          <w:color w:val="000000"/>
          <w:sz w:val="20"/>
          <w:lang w:val="es-MX"/>
        </w:rPr>
        <w:t xml:space="preserve"> de los </w:t>
      </w:r>
      <w:proofErr w:type="spellStart"/>
      <w:r w:rsidRPr="00DB4CFA">
        <w:rPr>
          <w:rFonts w:eastAsia="Times New Roman"/>
          <w:i/>
          <w:color w:val="000000"/>
          <w:sz w:val="20"/>
          <w:lang w:val="es-MX"/>
        </w:rPr>
        <w:t>Promoventes</w:t>
      </w:r>
      <w:proofErr w:type="spellEnd"/>
      <w:r w:rsidRPr="00DB4CFA">
        <w:rPr>
          <w:rFonts w:eastAsia="Times New Roman"/>
          <w:i/>
          <w:color w:val="000000"/>
          <w:sz w:val="20"/>
          <w:lang w:val="es-MX"/>
        </w:rPr>
        <w:t xml:space="preserve"> participa, directa o indirectamente, en el capital social, órganos de decisión y/o la administración del Agente Económico Preponderante en el sector de telecomunicaciones.”</w:t>
      </w:r>
    </w:p>
    <w:p w14:paraId="1190585D" w14:textId="5501DDAC" w:rsidR="00F80D00" w:rsidRPr="00C939EA" w:rsidRDefault="00F80D00" w:rsidP="00F80D00">
      <w:pPr>
        <w:ind w:right="-1"/>
      </w:pPr>
      <w:r>
        <w:lastRenderedPageBreak/>
        <w:t>Con base en</w:t>
      </w:r>
      <w:r w:rsidRPr="00DB4CFA">
        <w:t xml:space="preserve"> lo </w:t>
      </w:r>
      <w:r>
        <w:t>citado</w:t>
      </w:r>
      <w:r w:rsidRPr="00DB4CFA">
        <w:t xml:space="preserve">, así como todo lo descrito en el Considerando </w:t>
      </w:r>
      <w:r w:rsidRPr="00C939EA">
        <w:t>CUARTO</w:t>
      </w:r>
      <w:r>
        <w:t xml:space="preserve">, en el que se describen los </w:t>
      </w:r>
      <w:proofErr w:type="spellStart"/>
      <w:r>
        <w:t>GIEs</w:t>
      </w:r>
      <w:proofErr w:type="spellEnd"/>
      <w:r>
        <w:t xml:space="preserve"> a los que pertenecen </w:t>
      </w:r>
      <w:r w:rsidRPr="00C939EA">
        <w:t>las Partes</w:t>
      </w:r>
      <w:r>
        <w:t xml:space="preserve"> involucradas en la Operación, no se identifica que el AEPT participe en la Operación.</w:t>
      </w:r>
    </w:p>
    <w:p w14:paraId="699A975D" w14:textId="77777777" w:rsidR="00F80D00" w:rsidRPr="00DB4CFA" w:rsidRDefault="00F80D00" w:rsidP="00F80D00">
      <w:pPr>
        <w:ind w:right="-1"/>
      </w:pPr>
      <w:r w:rsidRPr="00DB4CFA">
        <w:t xml:space="preserve">Por lo anterior, </w:t>
      </w:r>
      <w:r w:rsidRPr="00DB4CFA">
        <w:rPr>
          <w:b/>
        </w:rPr>
        <w:t>la Operación cumple con el inciso c</w:t>
      </w:r>
      <w:r w:rsidRPr="001F2EA3">
        <w:rPr>
          <w:b/>
        </w:rPr>
        <w:t xml:space="preserve">. del párrafo primero del </w:t>
      </w:r>
      <w:r>
        <w:rPr>
          <w:b/>
        </w:rPr>
        <w:t>Artículo Noveno Transitorio</w:t>
      </w:r>
      <w:r w:rsidRPr="001F2EA3">
        <w:rPr>
          <w:b/>
        </w:rPr>
        <w:t>.</w:t>
      </w:r>
    </w:p>
    <w:p w14:paraId="6AADB1BC" w14:textId="77777777" w:rsidR="00F80D00" w:rsidRPr="002F3305" w:rsidRDefault="009111D7" w:rsidP="002F3305">
      <w:pPr>
        <w:ind w:firstLine="708"/>
        <w:rPr>
          <w:b/>
        </w:rPr>
      </w:pPr>
      <w:bookmarkStart w:id="66" w:name="_Toc511061434"/>
      <w:r w:rsidRPr="002F3305">
        <w:rPr>
          <w:b/>
        </w:rPr>
        <w:t xml:space="preserve">5.3.4. </w:t>
      </w:r>
      <w:r w:rsidR="00F80D00" w:rsidRPr="002F3305">
        <w:rPr>
          <w:b/>
        </w:rPr>
        <w:t>Inciso d.</w:t>
      </w:r>
      <w:bookmarkEnd w:id="66"/>
    </w:p>
    <w:p w14:paraId="2488692B" w14:textId="77777777" w:rsidR="00F80D00" w:rsidRDefault="00F80D00" w:rsidP="00F80D00">
      <w:pPr>
        <w:rPr>
          <w:highlight w:val="yellow"/>
        </w:rPr>
      </w:pPr>
      <w:r w:rsidRPr="00DF2911">
        <w:t xml:space="preserve">El inciso </w:t>
      </w:r>
      <w:r>
        <w:t>d</w:t>
      </w:r>
      <w:r w:rsidRPr="00DF2911">
        <w:t xml:space="preserve">. del párrafo primero del </w:t>
      </w:r>
      <w:r>
        <w:t>Artículo Noveno Transitorio establece lo siguiente:</w:t>
      </w:r>
    </w:p>
    <w:p w14:paraId="2037515E" w14:textId="77777777" w:rsidR="00F80D00" w:rsidRPr="004E70E6" w:rsidRDefault="00F80D00" w:rsidP="00F80D00">
      <w:pPr>
        <w:pStyle w:val="Prrafodelista"/>
        <w:numPr>
          <w:ilvl w:val="0"/>
          <w:numId w:val="23"/>
        </w:numPr>
        <w:ind w:left="567"/>
        <w:rPr>
          <w:i/>
          <w:sz w:val="20"/>
        </w:rPr>
      </w:pPr>
      <w:r w:rsidRPr="004E70E6">
        <w:rPr>
          <w:i/>
          <w:sz w:val="20"/>
        </w:rPr>
        <w:t>No tengan como efecto disminuir, dañar o impedir la libre competencia y concurrencia, en el sector que corresponda</w:t>
      </w:r>
      <w:r>
        <w:rPr>
          <w:i/>
          <w:sz w:val="20"/>
        </w:rPr>
        <w:t>.</w:t>
      </w:r>
    </w:p>
    <w:p w14:paraId="05394637" w14:textId="77777777" w:rsidR="00F80D00" w:rsidRPr="007E7583" w:rsidRDefault="00F80D00" w:rsidP="00F80D00">
      <w:pPr>
        <w:ind w:right="-1"/>
      </w:pPr>
      <w:r w:rsidRPr="007E7583">
        <w:t xml:space="preserve">Para </w:t>
      </w:r>
      <w:r>
        <w:t xml:space="preserve">evaluar el cumplimiento de </w:t>
      </w:r>
      <w:r w:rsidRPr="007E7583">
        <w:t xml:space="preserve">este requisito se debe </w:t>
      </w:r>
      <w:r>
        <w:t>evaluar</w:t>
      </w:r>
      <w:r w:rsidRPr="007E7583">
        <w:t xml:space="preserve"> si la Operación tiene como efecto disminuir, dañar o impedir la libre competencia y concurrencia en el sector de telecomunicaciones, toda vez que la Operación ocurre en ese sector.</w:t>
      </w:r>
    </w:p>
    <w:p w14:paraId="01474EE7" w14:textId="77777777" w:rsidR="00F80D00" w:rsidRDefault="00F80D00" w:rsidP="00F80D00">
      <w:pPr>
        <w:ind w:right="-1"/>
      </w:pPr>
      <w:r w:rsidRPr="00002CC5">
        <w:rPr>
          <w:lang w:val="es-MX"/>
        </w:rPr>
        <w:t>Adicionalmente, tal</w:t>
      </w:r>
      <w:r w:rsidRPr="00002CC5">
        <w:t xml:space="preserve"> y como se señala en el Dictamen de la Cámara de Senadores</w:t>
      </w:r>
      <w:r>
        <w:t xml:space="preserve"> relativo a la LFTR y la Resolución de Preponderancia en Telecomunicaciones, es de mencionar que el sector de telecomunicaciones está conformado por un conjunto de servicios. Por ello, se requiere identificar los efectos de la Operación en cada uno de los servicios y, con base en ello, determinar los </w:t>
      </w:r>
      <w:r w:rsidRPr="00936E8D">
        <w:t xml:space="preserve">efectos netos o agregados de la </w:t>
      </w:r>
      <w:r>
        <w:t>Operación en el sector.</w:t>
      </w:r>
    </w:p>
    <w:p w14:paraId="27AA99C2" w14:textId="77777777" w:rsidR="00F80D00" w:rsidRPr="00002CC5" w:rsidRDefault="00F80D00" w:rsidP="00F80D00">
      <w:pPr>
        <w:ind w:right="-1"/>
        <w:rPr>
          <w:lang w:val="es-MX"/>
        </w:rPr>
      </w:pPr>
      <w:r w:rsidRPr="00002CC5">
        <w:rPr>
          <w:lang w:val="es-MX"/>
        </w:rPr>
        <w:t xml:space="preserve">Así, el </w:t>
      </w:r>
      <w:r>
        <w:t>Artículo Noveno Transitorio</w:t>
      </w:r>
      <w:r w:rsidRPr="00002CC5">
        <w:rPr>
          <w:lang w:val="es-MX"/>
        </w:rPr>
        <w:t xml:space="preserve"> establece un estándar de análisis de los efectos de la Operación en el que es necesario identificar los efectos de ésta en cada uno de los servicios que conforman el sector y posteriormente ponderar</w:t>
      </w:r>
      <w:r>
        <w:rPr>
          <w:lang w:val="es-MX"/>
        </w:rPr>
        <w:t>los para obtener el efecto total agregado</w:t>
      </w:r>
      <w:r w:rsidRPr="00002CC5">
        <w:rPr>
          <w:lang w:val="es-MX"/>
        </w:rPr>
        <w:t>.</w:t>
      </w:r>
    </w:p>
    <w:p w14:paraId="56D976E7" w14:textId="157962ED" w:rsidR="00F80D00" w:rsidRPr="002F3305" w:rsidRDefault="002F3305" w:rsidP="002F3305">
      <w:pPr>
        <w:ind w:firstLine="708"/>
        <w:rPr>
          <w:b/>
        </w:rPr>
      </w:pPr>
      <w:r w:rsidRPr="002F3305">
        <w:rPr>
          <w:b/>
        </w:rPr>
        <w:t xml:space="preserve">5.3.4.1 </w:t>
      </w:r>
      <w:r w:rsidR="00F80D00" w:rsidRPr="002F3305">
        <w:rPr>
          <w:b/>
        </w:rPr>
        <w:t>Análisis de los efectos de la Operación en el sector de telecomunicaciones</w:t>
      </w:r>
    </w:p>
    <w:p w14:paraId="6FB34F93" w14:textId="77777777" w:rsidR="00F80D00" w:rsidRDefault="00F80D00" w:rsidP="00F80D00">
      <w:pPr>
        <w:ind w:right="-1"/>
        <w:rPr>
          <w:szCs w:val="18"/>
        </w:rPr>
      </w:pPr>
      <w:r w:rsidRPr="00AD43D7">
        <w:rPr>
          <w:rFonts w:cs="Helvetica"/>
          <w:iCs/>
          <w:lang w:val="es-MX"/>
        </w:rPr>
        <w:t>Como se concluyó en el numeral 4.4.</w:t>
      </w:r>
      <w:r w:rsidRPr="00AD43D7">
        <w:rPr>
          <w:rFonts w:eastAsia="Times New Roman"/>
          <w:color w:val="000000"/>
          <w:lang w:val="es-MX"/>
        </w:rPr>
        <w:t xml:space="preserve"> de esta resolución</w:t>
      </w:r>
      <w:r w:rsidRPr="00AD43D7">
        <w:rPr>
          <w:rFonts w:cs="Helvetica"/>
          <w:iCs/>
          <w:lang w:val="es-MX"/>
        </w:rPr>
        <w:t xml:space="preserve">, las Partes involucradas en la Operación, si bien participan en la provisión de servicios en el sector de telecomunicaciones, </w:t>
      </w:r>
      <w:r w:rsidRPr="00AD43D7">
        <w:rPr>
          <w:b/>
          <w:u w:val="single"/>
        </w:rPr>
        <w:t>no coinciden en la provisión de algún servicio en común.</w:t>
      </w:r>
      <w:r w:rsidRPr="00AD43D7">
        <w:rPr>
          <w:b/>
        </w:rPr>
        <w:t xml:space="preserve"> </w:t>
      </w:r>
      <w:r w:rsidRPr="00AD43D7">
        <w:t xml:space="preserve">En efecto, antes de la Operación los Compradores participaban en la provisión de Sitios para Telecomunicaciones, pero no en la provisión de </w:t>
      </w:r>
      <w:r w:rsidRPr="00AD43D7">
        <w:rPr>
          <w:szCs w:val="18"/>
        </w:rPr>
        <w:t>Acceso a Internet Fijo y Enlaces dedicados,</w:t>
      </w:r>
      <w:r>
        <w:rPr>
          <w:rStyle w:val="Refdenotaalpie"/>
          <w:szCs w:val="18"/>
        </w:rPr>
        <w:footnoteReference w:id="63"/>
      </w:r>
      <w:r w:rsidRPr="00AD43D7">
        <w:rPr>
          <w:szCs w:val="18"/>
        </w:rPr>
        <w:t xml:space="preserve"> en los cuales participan las Sociedades Adquiridas.</w:t>
      </w:r>
    </w:p>
    <w:p w14:paraId="4D009FDB" w14:textId="053B93DE" w:rsidR="00F80D00" w:rsidRDefault="00F80D00" w:rsidP="00F80D00">
      <w:pPr>
        <w:ind w:right="-1"/>
      </w:pPr>
      <w:r>
        <w:t>Asimismo, las Partes declararon lo siguiente:</w:t>
      </w:r>
    </w:p>
    <w:p w14:paraId="2C016C4D" w14:textId="77777777" w:rsidR="00F80D00" w:rsidRPr="004A456E" w:rsidRDefault="00F80D00" w:rsidP="00F80D00">
      <w:pPr>
        <w:ind w:left="567" w:right="-1"/>
        <w:rPr>
          <w:i/>
          <w:sz w:val="20"/>
        </w:rPr>
      </w:pPr>
      <w:r w:rsidRPr="004A456E">
        <w:rPr>
          <w:i/>
          <w:sz w:val="20"/>
        </w:rPr>
        <w:t>“(...) ATC no participaba, previo al cierre de la Operación, en el sector de telecomunicaciones, propiamente dicho, aunque sea un proveedor de servicios a diversos participantes en el sector, principalmente en al ámbito de telecomunicaciones móviles.”</w:t>
      </w:r>
      <w:r w:rsidRPr="004A456E">
        <w:rPr>
          <w:rStyle w:val="Refdenotaalpie"/>
          <w:i/>
          <w:sz w:val="20"/>
          <w:szCs w:val="18"/>
        </w:rPr>
        <w:footnoteReference w:id="64"/>
      </w:r>
    </w:p>
    <w:p w14:paraId="4DA49459" w14:textId="77777777" w:rsidR="00F80D00" w:rsidRPr="004A456E" w:rsidRDefault="00F80D00" w:rsidP="00F80D00">
      <w:pPr>
        <w:ind w:left="567" w:right="-1"/>
        <w:rPr>
          <w:i/>
          <w:sz w:val="20"/>
        </w:rPr>
      </w:pPr>
      <w:r>
        <w:rPr>
          <w:i/>
          <w:sz w:val="20"/>
        </w:rPr>
        <w:lastRenderedPageBreak/>
        <w:t>“</w:t>
      </w:r>
      <w:r w:rsidRPr="004A456E">
        <w:rPr>
          <w:i/>
          <w:sz w:val="20"/>
        </w:rPr>
        <w:t>(…) la concentración no implica un aumento en la participación de la empresa concentrada en el mercado, sino que únicamente implica la sustitución de un competidor (KIO) por el otro (ATC), considerando que ATC no participaba (antes del cierre de la Operación) en ninguno de los [siete servicios considerados en la Resolución de Preponderancia en Telecomunicaciones].”</w:t>
      </w:r>
      <w:r w:rsidRPr="004A456E">
        <w:rPr>
          <w:rStyle w:val="Refdenotaalpie"/>
          <w:i/>
          <w:sz w:val="20"/>
          <w:szCs w:val="18"/>
        </w:rPr>
        <w:footnoteReference w:id="65"/>
      </w:r>
    </w:p>
    <w:p w14:paraId="3DDBF406" w14:textId="77777777" w:rsidR="00F80D00" w:rsidRDefault="00F80D00" w:rsidP="00F80D00">
      <w:pPr>
        <w:ind w:left="567" w:right="-1"/>
        <w:rPr>
          <w:i/>
          <w:sz w:val="20"/>
        </w:rPr>
      </w:pPr>
      <w:r>
        <w:rPr>
          <w:i/>
          <w:sz w:val="20"/>
        </w:rPr>
        <w:t>“</w:t>
      </w:r>
      <w:r w:rsidRPr="004A456E">
        <w:rPr>
          <w:i/>
          <w:sz w:val="20"/>
        </w:rPr>
        <w:t>(…)</w:t>
      </w:r>
      <w:r>
        <w:rPr>
          <w:i/>
          <w:sz w:val="20"/>
        </w:rPr>
        <w:t xml:space="preserve"> </w:t>
      </w:r>
      <w:r w:rsidRPr="004A456E">
        <w:rPr>
          <w:i/>
          <w:sz w:val="20"/>
        </w:rPr>
        <w:t>ATC, el grupo adquirente, no ha participado de manera directa en el sector de las telecomunicaciones hasta el momento. ATC se ha abocado primordialmente a adquirir, desarrollar y arrendar infraestructura pasiva de las telecomunicaciones móviles y ahora, con esta adquisición, participará de manera activa en el sector, adquiriendo infraestructura activa y proveyendo el servicio de conectividad fija a través de la red de fibra óptica que está adquiriendo de KIO.”</w:t>
      </w:r>
      <w:r w:rsidRPr="004A456E">
        <w:rPr>
          <w:rStyle w:val="Refdenotaalpie"/>
          <w:i/>
          <w:sz w:val="20"/>
          <w:szCs w:val="18"/>
        </w:rPr>
        <w:footnoteReference w:id="66"/>
      </w:r>
    </w:p>
    <w:p w14:paraId="3A2D4DEA" w14:textId="77777777" w:rsidR="00F80D00" w:rsidRPr="004A456E" w:rsidRDefault="00F80D00" w:rsidP="00F80D00">
      <w:pPr>
        <w:ind w:left="567" w:right="-1"/>
        <w:rPr>
          <w:i/>
          <w:sz w:val="20"/>
        </w:rPr>
      </w:pPr>
      <w:r>
        <w:rPr>
          <w:i/>
          <w:sz w:val="20"/>
        </w:rPr>
        <w:t>“(…) La Operación al consistir en la sustitución de un competidor, ATC, por otro, KIO, no afecta las participaciones en el mercado de los diversos competidores, ni altera los índices de concentración en el mismo.”</w:t>
      </w:r>
      <w:r w:rsidRPr="004A456E">
        <w:rPr>
          <w:rStyle w:val="Refdenotaalpie"/>
          <w:i/>
          <w:sz w:val="20"/>
          <w:szCs w:val="18"/>
        </w:rPr>
        <w:footnoteReference w:id="67"/>
      </w:r>
    </w:p>
    <w:p w14:paraId="7712EBA3" w14:textId="47E0FBDB" w:rsidR="00F80D00" w:rsidRPr="00E11A54" w:rsidRDefault="00F80D00" w:rsidP="00F80D00">
      <w:r w:rsidRPr="00D871F8">
        <w:rPr>
          <w:b/>
        </w:rPr>
        <w:t>Toda vez que la Operación implica la sustitución de un agente económico por otro en la provisión de los servicios en los que participan las Sociedades Adquiridas</w:t>
      </w:r>
      <w:r w:rsidR="003F1C25">
        <w:rPr>
          <w:b/>
        </w:rPr>
        <w:t xml:space="preserve"> y no se observan efectos </w:t>
      </w:r>
      <w:r w:rsidR="00A133D0">
        <w:rPr>
          <w:b/>
        </w:rPr>
        <w:t>adversos</w:t>
      </w:r>
      <w:r w:rsidRPr="00D871F8">
        <w:rPr>
          <w:b/>
        </w:rPr>
        <w:t>, no se identifica que la Operación tenga por objeto o efecto disminuir, dañar o impedir la libre competencia y concurrencia en la provisión de algún servicio de los que conforman el sector de telecomunicaciones</w:t>
      </w:r>
      <w:r w:rsidRPr="00E11A54">
        <w:t>.</w:t>
      </w:r>
    </w:p>
    <w:p w14:paraId="2BE6C00E" w14:textId="02408828" w:rsidR="00F80D00" w:rsidRPr="002F3305" w:rsidRDefault="002F3305" w:rsidP="002F3305">
      <w:pPr>
        <w:ind w:firstLine="708"/>
        <w:rPr>
          <w:b/>
        </w:rPr>
      </w:pPr>
      <w:r>
        <w:rPr>
          <w:b/>
        </w:rPr>
        <w:t xml:space="preserve">5.3.4.2 </w:t>
      </w:r>
      <w:r w:rsidR="00F80D00" w:rsidRPr="002F3305">
        <w:rPr>
          <w:b/>
        </w:rPr>
        <w:t>Cláusula de no competir</w:t>
      </w:r>
    </w:p>
    <w:p w14:paraId="4E62AC08" w14:textId="77777777" w:rsidR="00F80D00" w:rsidRPr="00876DAA" w:rsidRDefault="00F80D00" w:rsidP="00F80D00">
      <w:pPr>
        <w:spacing w:after="0"/>
      </w:pPr>
      <w:r w:rsidRPr="0038051A">
        <w:t xml:space="preserve">El </w:t>
      </w:r>
      <w:r w:rsidRPr="00C92E2B">
        <w:t xml:space="preserve">Acuerdo de Compraventa de Acciones </w:t>
      </w:r>
      <w:r>
        <w:t xml:space="preserve">firmado por las Partes </w:t>
      </w:r>
      <w:r w:rsidRPr="0038051A">
        <w:t xml:space="preserve">incluye </w:t>
      </w:r>
      <w:r>
        <w:t xml:space="preserve">una cláusula de </w:t>
      </w:r>
      <w:r w:rsidRPr="00876DAA">
        <w:t xml:space="preserve">no competir en los términos </w:t>
      </w:r>
      <w:r w:rsidRPr="001847CF">
        <w:t>siguientes:</w:t>
      </w:r>
      <w:r w:rsidRPr="001847CF">
        <w:rPr>
          <w:rStyle w:val="Refdenotaalpie"/>
        </w:rPr>
        <w:footnoteReference w:id="68"/>
      </w:r>
    </w:p>
    <w:p w14:paraId="2F2398AA" w14:textId="594D9636" w:rsidR="00F80D00" w:rsidRDefault="00315E0D" w:rsidP="00F80D00">
      <w:pPr>
        <w:ind w:left="851" w:right="-1"/>
        <w:rPr>
          <w:i/>
          <w:sz w:val="20"/>
        </w:rPr>
      </w:pPr>
      <w:r>
        <w:rPr>
          <w:b/>
          <w:bCs/>
          <w:color w:val="0000CC"/>
          <w:sz w:val="19"/>
          <w:szCs w:val="19"/>
        </w:rPr>
        <w:t>“CONFIDENCIAL POR LEY (297</w:t>
      </w:r>
      <w:r w:rsidR="00483A07" w:rsidRPr="00E63FC2">
        <w:rPr>
          <w:b/>
          <w:bCs/>
          <w:color w:val="0000CC"/>
          <w:sz w:val="19"/>
          <w:szCs w:val="19"/>
        </w:rPr>
        <w:t>)”</w:t>
      </w:r>
    </w:p>
    <w:p w14:paraId="03A481DC" w14:textId="77777777" w:rsidR="00F80D00" w:rsidRPr="00901465" w:rsidRDefault="00F80D00" w:rsidP="00F80D00">
      <w:pPr>
        <w:ind w:left="567" w:right="-1"/>
        <w:rPr>
          <w:sz w:val="18"/>
        </w:rPr>
      </w:pPr>
      <w:r w:rsidRPr="00901465">
        <w:rPr>
          <w:sz w:val="20"/>
        </w:rPr>
        <w:t>(Énfasis añadido)</w:t>
      </w:r>
    </w:p>
    <w:p w14:paraId="59168F11" w14:textId="17118644" w:rsidR="00F80D00" w:rsidRDefault="00F80D00" w:rsidP="00F80D00">
      <w:pPr>
        <w:spacing w:after="0"/>
      </w:pPr>
      <w:r>
        <w:t>L</w:t>
      </w:r>
      <w:r w:rsidRPr="005C4EAD">
        <w:t xml:space="preserve">os </w:t>
      </w:r>
      <w:r>
        <w:t xml:space="preserve">principales </w:t>
      </w:r>
      <w:r w:rsidRPr="005C4EAD">
        <w:t>términos</w:t>
      </w:r>
      <w:r>
        <w:t xml:space="preserve"> establecidos en la cláusula de no competir citada se definen en el </w:t>
      </w:r>
      <w:r w:rsidRPr="00C92E2B">
        <w:t xml:space="preserve">Acuerdo de Compraventa de Acciones </w:t>
      </w:r>
      <w:r w:rsidRPr="008A068A">
        <w:t>como sigue:</w:t>
      </w:r>
      <w:r w:rsidRPr="008A068A">
        <w:rPr>
          <w:rStyle w:val="Refdenotaalpie"/>
        </w:rPr>
        <w:t xml:space="preserve"> </w:t>
      </w:r>
      <w:r w:rsidRPr="008A068A">
        <w:rPr>
          <w:rStyle w:val="Refdenotaalpie"/>
        </w:rPr>
        <w:footnoteReference w:id="69"/>
      </w:r>
    </w:p>
    <w:p w14:paraId="07C777A4" w14:textId="1A631026" w:rsidR="00F80D00" w:rsidRDefault="00315E0D" w:rsidP="00F80D00">
      <w:pPr>
        <w:spacing w:after="0"/>
        <w:ind w:left="567"/>
        <w:rPr>
          <w:i/>
          <w:sz w:val="20"/>
        </w:rPr>
      </w:pPr>
      <w:r>
        <w:rPr>
          <w:b/>
          <w:bCs/>
          <w:color w:val="0000CC"/>
          <w:sz w:val="19"/>
          <w:szCs w:val="19"/>
        </w:rPr>
        <w:t>“CONFIDENCIAL POR LEY (298</w:t>
      </w:r>
      <w:r w:rsidR="00483A07" w:rsidRPr="00E63FC2">
        <w:rPr>
          <w:b/>
          <w:bCs/>
          <w:color w:val="0000CC"/>
          <w:sz w:val="19"/>
          <w:szCs w:val="19"/>
        </w:rPr>
        <w:t>)”</w:t>
      </w:r>
    </w:p>
    <w:p w14:paraId="0A4593D1" w14:textId="79D4146C" w:rsidR="00F80D00" w:rsidRDefault="00F80D00" w:rsidP="00F80D00">
      <w:pPr>
        <w:ind w:right="-1"/>
      </w:pPr>
      <w:r w:rsidRPr="001A343E">
        <w:t xml:space="preserve">Las </w:t>
      </w:r>
      <w:r>
        <w:t>P</w:t>
      </w:r>
      <w:r w:rsidRPr="001A343E">
        <w:t xml:space="preserve">artes </w:t>
      </w:r>
      <w:r w:rsidRPr="00C25F67">
        <w:t xml:space="preserve">señalaron lo siguiente respecto a las razones por las que </w:t>
      </w:r>
      <w:r>
        <w:t>estipularon</w:t>
      </w:r>
      <w:r w:rsidRPr="00C25F67">
        <w:t xml:space="preserve"> la cláusula de no competir:</w:t>
      </w:r>
      <w:r w:rsidRPr="00C25F67">
        <w:rPr>
          <w:rStyle w:val="Refdenotaalpie"/>
        </w:rPr>
        <w:footnoteReference w:id="70"/>
      </w:r>
      <w:r w:rsidRPr="001A343E">
        <w:t xml:space="preserve"> </w:t>
      </w:r>
    </w:p>
    <w:p w14:paraId="2A44661C" w14:textId="77777777" w:rsidR="00F80D00" w:rsidRDefault="00F80D00" w:rsidP="00F80D00">
      <w:pPr>
        <w:ind w:left="567" w:right="-1"/>
        <w:rPr>
          <w:i/>
          <w:sz w:val="20"/>
        </w:rPr>
      </w:pPr>
      <w:r w:rsidRPr="009D0F45">
        <w:rPr>
          <w:i/>
          <w:sz w:val="20"/>
        </w:rPr>
        <w:t>“Los Vendedores y los Compradores acuerdan que, para inducir a los Compradores a adquirir las Acciones, así como para proteger los activos intangibles de la Operación, se incluyeran en el contrato de Compraventa ciertas obligaciones de los Vendedores (y sus afiliadas)</w:t>
      </w:r>
      <w:r>
        <w:rPr>
          <w:i/>
          <w:sz w:val="20"/>
        </w:rPr>
        <w:t xml:space="preserve"> de no competir.</w:t>
      </w:r>
    </w:p>
    <w:p w14:paraId="1D0E07F5" w14:textId="77777777" w:rsidR="00F80D00" w:rsidRDefault="00F80D00" w:rsidP="00F80D00">
      <w:pPr>
        <w:ind w:left="567" w:right="-1"/>
        <w:rPr>
          <w:i/>
          <w:sz w:val="20"/>
        </w:rPr>
      </w:pPr>
      <w:r>
        <w:rPr>
          <w:i/>
          <w:sz w:val="20"/>
        </w:rPr>
        <w:t>(…)</w:t>
      </w:r>
    </w:p>
    <w:p w14:paraId="3E53F5EE" w14:textId="22D97D5A" w:rsidR="00F80D00" w:rsidRPr="009D0F45" w:rsidRDefault="00F80D00" w:rsidP="00F80D00">
      <w:pPr>
        <w:ind w:left="567" w:right="-1"/>
        <w:rPr>
          <w:i/>
          <w:sz w:val="20"/>
        </w:rPr>
      </w:pPr>
      <w:r>
        <w:rPr>
          <w:i/>
          <w:sz w:val="20"/>
        </w:rPr>
        <w:lastRenderedPageBreak/>
        <w:t xml:space="preserve">“La cláusula antes descrita (…) 1. Está delimitada a cierta área geográfica, que es únicamente el territorio nacional de México (…) 2. Los sujetos obligados son los Vendedores y sus afiliadas únicamente (…) 3. Las actividades restringidas están clara y puntualmente delimitadas, pretendiendo únicamente que los Vendedores no participen en un negocio igual al que están vendiendo (…) 4. Las obligaciones de no competir acordadas en el Contrato de Compraventa tienen una duración de </w:t>
      </w:r>
      <w:r w:rsidR="00315E0D">
        <w:rPr>
          <w:b/>
          <w:bCs/>
          <w:color w:val="0000CC"/>
          <w:sz w:val="19"/>
          <w:szCs w:val="19"/>
        </w:rPr>
        <w:t>“CONFIDENCIAL POR LEY (299</w:t>
      </w:r>
      <w:r w:rsidR="00483A07" w:rsidRPr="00E63FC2">
        <w:rPr>
          <w:b/>
          <w:bCs/>
          <w:color w:val="0000CC"/>
          <w:sz w:val="19"/>
          <w:szCs w:val="19"/>
        </w:rPr>
        <w:t>)”</w:t>
      </w:r>
      <w:r w:rsidR="00483A07">
        <w:rPr>
          <w:i/>
          <w:sz w:val="20"/>
        </w:rPr>
        <w:t xml:space="preserve"> </w:t>
      </w:r>
      <w:r>
        <w:rPr>
          <w:i/>
          <w:sz w:val="20"/>
        </w:rPr>
        <w:t>(…)</w:t>
      </w:r>
      <w:r w:rsidR="00EF2225">
        <w:rPr>
          <w:i/>
          <w:sz w:val="20"/>
        </w:rPr>
        <w:t>.</w:t>
      </w:r>
      <w:r>
        <w:rPr>
          <w:i/>
          <w:sz w:val="20"/>
        </w:rPr>
        <w:t>”</w:t>
      </w:r>
    </w:p>
    <w:p w14:paraId="360E8095" w14:textId="5C135FDC" w:rsidR="00F80D00" w:rsidRPr="002F3305" w:rsidRDefault="002F3305" w:rsidP="002F3305">
      <w:pPr>
        <w:ind w:firstLine="708"/>
        <w:rPr>
          <w:b/>
        </w:rPr>
      </w:pPr>
      <w:r>
        <w:rPr>
          <w:b/>
        </w:rPr>
        <w:t xml:space="preserve">5.43.4.3 </w:t>
      </w:r>
      <w:r w:rsidR="00F80D00" w:rsidRPr="002F3305">
        <w:rPr>
          <w:b/>
        </w:rPr>
        <w:t>Análisis de la Cláusula de no Competir</w:t>
      </w:r>
    </w:p>
    <w:p w14:paraId="656794CA" w14:textId="77777777" w:rsidR="00F80D00" w:rsidRPr="009412D3" w:rsidRDefault="00F80D00" w:rsidP="00F80D00">
      <w:pPr>
        <w:ind w:right="-1"/>
      </w:pPr>
      <w:r w:rsidRPr="009412D3">
        <w:t xml:space="preserve">Las cláusulas de no competir no son sancionables ni prohibidas </w:t>
      </w:r>
      <w:r w:rsidRPr="009412D3">
        <w:rPr>
          <w:i/>
        </w:rPr>
        <w:t>per se</w:t>
      </w:r>
      <w:r w:rsidRPr="009412D3">
        <w:t>, sino que se sujetan a una evaluación de razonabilidad caso por caso para identificar si éstas o parte de éstas constituyen una restricción a la libre concurrencia y competencia económica o son justificables en tanto tienen el propósito de proteger la realización eficiente de las concentraciones.</w:t>
      </w:r>
    </w:p>
    <w:p w14:paraId="51C40038" w14:textId="00BEF01F" w:rsidR="00F80D00" w:rsidRPr="009412D3" w:rsidRDefault="00F80D00" w:rsidP="00F80D00">
      <w:pPr>
        <w:ind w:right="-1"/>
      </w:pPr>
      <w:r w:rsidRPr="009412D3">
        <w:t>En toda concentración, los vendedores transfieren por completo a los adquirentes o compradores la propiedad y el uso de los activos tangibles y algunos activos intangibles, como las marcas, que están involucrados, al momento de que se perfecciona la operación. Sin embargo, algunos activos intangibles que forman parte de la concentración no pueden ser transferidos por completo de manera inmediata, sino hasta que transcurre cierto periodo de tiempo, por lo que pueden seguir siendo utilizados por los vendedores. Este tipo de activos intangibles se pueden tratar del conocimiento del mercado, relaciones con los clientes u otros elementos similares que s</w:t>
      </w:r>
      <w:r w:rsidR="0048483D">
        <w:t>ó</w:t>
      </w:r>
      <w:r w:rsidRPr="009412D3">
        <w:t>lo pueden separarse del vendedor por la pérdida paulatina de ese conocimiento y de la existencia de vínculos comerciales previos.</w:t>
      </w:r>
    </w:p>
    <w:p w14:paraId="67494154" w14:textId="77777777" w:rsidR="00F80D00" w:rsidRPr="009412D3" w:rsidRDefault="00F80D00" w:rsidP="00F80D00">
      <w:pPr>
        <w:ind w:right="-1"/>
      </w:pPr>
      <w:r w:rsidRPr="009412D3">
        <w:t>Las cláusulas de no competir en este sentido, son justificables cuando se establecen por los agentes económicos involucrados para conservar el valor del negocio transferido y, por lo tanto, proteger la realización eficiente de una concentración. Su finalidad es evitar que quien vende un negocio pueda utilizar, de forma oportunista, activos intangibles para competir en contra del negocio objeto de la concentración.</w:t>
      </w:r>
    </w:p>
    <w:p w14:paraId="005C1D52" w14:textId="7B6E76F1" w:rsidR="00F80D00" w:rsidRPr="009412D3" w:rsidRDefault="00F80D00" w:rsidP="00F80D00">
      <w:pPr>
        <w:ind w:right="-1"/>
      </w:pPr>
      <w:r w:rsidRPr="009412D3">
        <w:t>Al respecto, el Instituto ha considerado</w:t>
      </w:r>
      <w:r w:rsidR="002501DE">
        <w:rPr>
          <w:rStyle w:val="Refdenotaalpie"/>
        </w:rPr>
        <w:footnoteReference w:id="71"/>
      </w:r>
      <w:r w:rsidRPr="009412D3">
        <w:t xml:space="preserve"> que una cláusula de no competir tiene como objetivo proteger la realización eficiente de una concentración y no atenta contra la libre concurrencia y competencia económica, cuando: </w:t>
      </w:r>
    </w:p>
    <w:p w14:paraId="68DD722F" w14:textId="19132632" w:rsidR="00F80D00" w:rsidRPr="009412D3" w:rsidRDefault="0048483D" w:rsidP="00F80D00">
      <w:pPr>
        <w:pStyle w:val="Prrafodelista"/>
        <w:numPr>
          <w:ilvl w:val="0"/>
          <w:numId w:val="15"/>
        </w:numPr>
        <w:spacing w:after="120" w:line="276" w:lineRule="auto"/>
        <w:ind w:left="567" w:hanging="357"/>
        <w:contextualSpacing w:val="0"/>
      </w:pPr>
      <w:r>
        <w:t>Se a</w:t>
      </w:r>
      <w:r w:rsidR="00F80D00" w:rsidRPr="009412D3">
        <w:t xml:space="preserve">plica a </w:t>
      </w:r>
      <w:r w:rsidR="00F80D00" w:rsidRPr="009412D3">
        <w:rPr>
          <w:b/>
        </w:rPr>
        <w:t>sujetos</w:t>
      </w:r>
      <w:r w:rsidR="00F80D00" w:rsidRPr="009412D3">
        <w:t xml:space="preserve"> que pueden utilizar activos intangibles del negocio adquirido (en general, están vinculados con la parte vendedora). En el caso de coinversiones o adquisiciones parciales en la que el adquirente y el vendedor permanezcan como socios, el Instituto puede aceptar cláusulas de no competir que apliquen a personas vinculadas con ambos;</w:t>
      </w:r>
    </w:p>
    <w:p w14:paraId="1272530A" w14:textId="77777777" w:rsidR="00F80D00" w:rsidRPr="009412D3" w:rsidRDefault="00F80D00" w:rsidP="00F80D00">
      <w:pPr>
        <w:pStyle w:val="Prrafodelista"/>
        <w:numPr>
          <w:ilvl w:val="0"/>
          <w:numId w:val="15"/>
        </w:numPr>
        <w:spacing w:after="120" w:line="276" w:lineRule="auto"/>
        <w:ind w:left="567" w:hanging="357"/>
        <w:contextualSpacing w:val="0"/>
      </w:pPr>
      <w:r w:rsidRPr="009412D3">
        <w:lastRenderedPageBreak/>
        <w:t xml:space="preserve">Se establece respecto de los </w:t>
      </w:r>
      <w:r w:rsidRPr="009412D3">
        <w:rPr>
          <w:b/>
        </w:rPr>
        <w:t>productos o servicios</w:t>
      </w:r>
      <w:r w:rsidRPr="009412D3">
        <w:t xml:space="preserve"> que son parte de las actividades o negocios adquiridos con motivo de la concentración;</w:t>
      </w:r>
    </w:p>
    <w:p w14:paraId="46E85FF4" w14:textId="77777777" w:rsidR="00F80D00" w:rsidRPr="009412D3" w:rsidRDefault="00F80D00" w:rsidP="00F80D00">
      <w:pPr>
        <w:pStyle w:val="Prrafodelista"/>
        <w:numPr>
          <w:ilvl w:val="0"/>
          <w:numId w:val="15"/>
        </w:numPr>
        <w:spacing w:after="120" w:line="276" w:lineRule="auto"/>
        <w:ind w:left="567" w:hanging="357"/>
        <w:contextualSpacing w:val="0"/>
      </w:pPr>
      <w:r w:rsidRPr="009412D3">
        <w:t xml:space="preserve">La </w:t>
      </w:r>
      <w:r w:rsidRPr="009412D3">
        <w:rPr>
          <w:b/>
        </w:rPr>
        <w:t>cobertura geográfica</w:t>
      </w:r>
      <w:r w:rsidRPr="009412D3">
        <w:t xml:space="preserve"> restringida se refiere al territorio cubierto por los productos o servicios que son parte del negocio transferido; y </w:t>
      </w:r>
    </w:p>
    <w:p w14:paraId="5BB5EBC1" w14:textId="77777777" w:rsidR="00F80D00" w:rsidRPr="009412D3" w:rsidRDefault="00F80D00" w:rsidP="00F80D00">
      <w:pPr>
        <w:pStyle w:val="Prrafodelista"/>
        <w:numPr>
          <w:ilvl w:val="0"/>
          <w:numId w:val="15"/>
        </w:numPr>
        <w:spacing w:after="120" w:line="276" w:lineRule="auto"/>
        <w:ind w:left="567" w:hanging="357"/>
        <w:contextualSpacing w:val="0"/>
      </w:pPr>
      <w:r w:rsidRPr="009412D3">
        <w:t xml:space="preserve">Se limita a un </w:t>
      </w:r>
      <w:r w:rsidRPr="009412D3">
        <w:rPr>
          <w:b/>
        </w:rPr>
        <w:t>periodo razonablemente</w:t>
      </w:r>
      <w:r w:rsidRPr="009412D3">
        <w:t xml:space="preserve"> </w:t>
      </w:r>
      <w:r w:rsidRPr="009412D3">
        <w:rPr>
          <w:b/>
        </w:rPr>
        <w:t>necesario</w:t>
      </w:r>
      <w:r w:rsidRPr="009412D3">
        <w:t xml:space="preserve"> para permitir la transferencia completa del negocio objeto de la concentración, en particular de los activos intangibles de ese negocio que pueden ser utilizados para competir con el mismo. </w:t>
      </w:r>
    </w:p>
    <w:p w14:paraId="6D223C54" w14:textId="429FD975" w:rsidR="00F80D00" w:rsidRPr="009412D3" w:rsidRDefault="00F80D00" w:rsidP="00F80D00">
      <w:pPr>
        <w:pStyle w:val="Prrafodelista"/>
        <w:spacing w:after="120" w:line="276" w:lineRule="auto"/>
        <w:ind w:left="567"/>
        <w:contextualSpacing w:val="0"/>
      </w:pPr>
      <w:r w:rsidRPr="009412D3">
        <w:t xml:space="preserve">Conforme a referencias internacionales y a la práctica reiterada del Instituto, se estima que, en general, la transferencia por completo de ese tipo de activos se da en un periodo máximo de 3 (tres) años. El Instituto puede permitir cláusulas de no competir con mayor duración, siempre y cuando los agentes económicos involucrados proporcionen la información y documentación que lo justifique y acredite. </w:t>
      </w:r>
    </w:p>
    <w:p w14:paraId="55714DF6" w14:textId="77777777" w:rsidR="00F80D00" w:rsidRPr="009412D3" w:rsidRDefault="00F80D00" w:rsidP="00F80D00">
      <w:pPr>
        <w:ind w:left="567" w:right="-1"/>
      </w:pPr>
      <w:r w:rsidRPr="009412D3">
        <w:t>En casos de coinversiones o adquisiciones parciales en la que el adquirente y el vendedor permanezcan como socios, la duración de la cláusula puede ser hasta 3 (tres) años después de que finalice la asociación, pues ambos tendrán acceso a todos los activos, incluyendo los intangibles, en todo el tiempo que dure la asociación.</w:t>
      </w:r>
    </w:p>
    <w:p w14:paraId="76C8C27C" w14:textId="77777777" w:rsidR="00F80D00" w:rsidRPr="00DF0460" w:rsidRDefault="00F80D00" w:rsidP="00F80D00">
      <w:pPr>
        <w:ind w:right="-1"/>
      </w:pPr>
      <w:r w:rsidRPr="00DF0460">
        <w:t>Considerando lo anteriormente expuesto, se considera que la cláusula de no competir convenida por las Partes cumple con los 4 (cuatro) elementos mencionados, como se presenta a continuación:</w:t>
      </w:r>
    </w:p>
    <w:p w14:paraId="0EDA1360" w14:textId="77777777" w:rsidR="00F80D00" w:rsidRPr="006B6AC9" w:rsidRDefault="00F80D00" w:rsidP="00F80D00">
      <w:pPr>
        <w:pStyle w:val="Prrafodelista"/>
        <w:numPr>
          <w:ilvl w:val="0"/>
          <w:numId w:val="16"/>
        </w:numPr>
        <w:spacing w:after="120" w:line="276" w:lineRule="auto"/>
        <w:ind w:left="567"/>
        <w:contextualSpacing w:val="0"/>
      </w:pPr>
      <w:r w:rsidRPr="006B6AC9">
        <w:rPr>
          <w:b/>
        </w:rPr>
        <w:t>Sujetos.</w:t>
      </w:r>
      <w:r w:rsidRPr="006B6AC9">
        <w:t xml:space="preserve"> La obligación de no competir </w:t>
      </w:r>
      <w:r w:rsidR="009B0705" w:rsidRPr="006B6AC9">
        <w:t xml:space="preserve">se </w:t>
      </w:r>
      <w:r w:rsidRPr="006B6AC9">
        <w:t>aplica a los Vendedores y sus afiliadas, que, conforme a la definición establecida por las Partes, son personas que pertenecen al GIE de los Vendedores: GIE Grupo KIO;</w:t>
      </w:r>
    </w:p>
    <w:p w14:paraId="5F25F4F5" w14:textId="77777777" w:rsidR="00F80D00" w:rsidRPr="00CE0839" w:rsidRDefault="00F80D00" w:rsidP="00F80D00">
      <w:pPr>
        <w:pStyle w:val="Prrafodelista"/>
        <w:numPr>
          <w:ilvl w:val="0"/>
          <w:numId w:val="16"/>
        </w:numPr>
        <w:spacing w:after="120" w:line="276" w:lineRule="auto"/>
        <w:ind w:left="567"/>
        <w:contextualSpacing w:val="0"/>
      </w:pPr>
      <w:r w:rsidRPr="006B6AC9">
        <w:rPr>
          <w:b/>
        </w:rPr>
        <w:t>Dimensión de producto</w:t>
      </w:r>
      <w:r w:rsidRPr="006B6AC9">
        <w:t xml:space="preserve">. El negocio restringido consiste en la provisión de servicios de telecomunicaciones </w:t>
      </w:r>
      <w:r w:rsidRPr="006B6AC9">
        <w:rPr>
          <w:u w:val="single"/>
        </w:rPr>
        <w:t>mediante redes de fibra óptica</w:t>
      </w:r>
      <w:r w:rsidRPr="006B6AC9">
        <w:t xml:space="preserve"> y/o desplegar redes </w:t>
      </w:r>
      <w:r w:rsidRPr="006B6AC9">
        <w:rPr>
          <w:u w:val="single"/>
        </w:rPr>
        <w:t>de fibra óptica</w:t>
      </w:r>
      <w:r w:rsidRPr="006B6AC9">
        <w:t xml:space="preserve"> similares a la que poseen las Sociedades Adquiridas. Es decir, el alcance de los productos</w:t>
      </w:r>
      <w:r w:rsidRPr="00CE0839">
        <w:t xml:space="preserve"> o servicios sobre los que se prohíbe competir coincide con los que forman parte del negocio adquirido</w:t>
      </w:r>
      <w:r w:rsidR="0048483D">
        <w:t xml:space="preserve"> y no incluye a otros negocios distintos</w:t>
      </w:r>
      <w:r w:rsidRPr="00CE0839">
        <w:t>.</w:t>
      </w:r>
    </w:p>
    <w:p w14:paraId="4E3345DA" w14:textId="7374B46D" w:rsidR="00F80D00" w:rsidRPr="00CE0839" w:rsidRDefault="00F80D00" w:rsidP="00F80D00">
      <w:pPr>
        <w:pStyle w:val="Prrafodelista"/>
        <w:spacing w:after="120" w:line="276" w:lineRule="auto"/>
        <w:ind w:left="567"/>
        <w:contextualSpacing w:val="0"/>
      </w:pPr>
      <w:r w:rsidRPr="006B6AC9">
        <w:t>Asimismo, están exentas algunas actividades de la cláusula de no competir, tales como i) mantener la concesión Metro Net a fin de cumplir con obligaciones ya contraídas; ii) tener participaciones accionarias minoritarias en sociedades que presten servicios de telecomunicaciones; y iii) proveer servicios de telecomunicaciones fijos agrupados con otros servicios, siempre y cuando esos servicios se presten a través de redes que no sean propiedad de los Vendedores o que sean operadas por éstos y que el monto no sea superior a cierta cantidad monetaria;</w:t>
      </w:r>
      <w:r w:rsidR="00EB4B7C">
        <w:t xml:space="preserve"> </w:t>
      </w:r>
    </w:p>
    <w:p w14:paraId="200B96C9" w14:textId="77777777" w:rsidR="00F80D00" w:rsidRPr="00CE0839" w:rsidRDefault="00F80D00" w:rsidP="00F80D00">
      <w:pPr>
        <w:pStyle w:val="Prrafodelista"/>
        <w:numPr>
          <w:ilvl w:val="0"/>
          <w:numId w:val="16"/>
        </w:numPr>
        <w:spacing w:after="120" w:line="276" w:lineRule="auto"/>
        <w:ind w:left="567"/>
        <w:contextualSpacing w:val="0"/>
      </w:pPr>
      <w:r w:rsidRPr="00CE0839">
        <w:rPr>
          <w:b/>
        </w:rPr>
        <w:lastRenderedPageBreak/>
        <w:t>Dimensión geográfica</w:t>
      </w:r>
      <w:r w:rsidRPr="00CE0839">
        <w:t xml:space="preserve">. La cláusula de no </w:t>
      </w:r>
      <w:r w:rsidRPr="006B6AC9">
        <w:t>competir está limitada a México, área en la que las Sociedades Adquiridas prestan servicios</w:t>
      </w:r>
      <w:r w:rsidRPr="00CE0839">
        <w:t xml:space="preserve"> de telecomunicaciones; y</w:t>
      </w:r>
    </w:p>
    <w:p w14:paraId="77A467A5" w14:textId="1C55F0D2" w:rsidR="00F80D00" w:rsidRPr="00CE0839" w:rsidRDefault="00F80D00" w:rsidP="00F80D00">
      <w:pPr>
        <w:pStyle w:val="Prrafodelista"/>
        <w:numPr>
          <w:ilvl w:val="0"/>
          <w:numId w:val="16"/>
        </w:numPr>
        <w:spacing w:after="120" w:line="276" w:lineRule="auto"/>
        <w:ind w:left="567"/>
        <w:contextualSpacing w:val="0"/>
      </w:pPr>
      <w:r w:rsidRPr="00CE0839">
        <w:rPr>
          <w:b/>
        </w:rPr>
        <w:t>Dimensión temporal</w:t>
      </w:r>
      <w:r w:rsidRPr="00CE0839">
        <w:t xml:space="preserve">. El periodo establecido para no competir es de </w:t>
      </w:r>
      <w:r w:rsidR="00483A07" w:rsidRPr="00E63FC2">
        <w:rPr>
          <w:b/>
          <w:bCs/>
          <w:color w:val="0000CC"/>
          <w:sz w:val="19"/>
          <w:szCs w:val="19"/>
        </w:rPr>
        <w:t>“CONFIDENCIAL POR LEY (</w:t>
      </w:r>
      <w:r w:rsidR="00315E0D">
        <w:rPr>
          <w:b/>
          <w:bCs/>
          <w:color w:val="0000CC"/>
          <w:sz w:val="19"/>
          <w:szCs w:val="19"/>
        </w:rPr>
        <w:t>300</w:t>
      </w:r>
      <w:r w:rsidR="00483A07" w:rsidRPr="00E63FC2">
        <w:rPr>
          <w:b/>
          <w:bCs/>
          <w:color w:val="0000CC"/>
          <w:sz w:val="19"/>
          <w:szCs w:val="19"/>
        </w:rPr>
        <w:t>)”</w:t>
      </w:r>
      <w:r w:rsidR="00483A07">
        <w:rPr>
          <w:b/>
          <w:bCs/>
          <w:color w:val="0000CC"/>
          <w:sz w:val="19"/>
          <w:szCs w:val="19"/>
        </w:rPr>
        <w:t xml:space="preserve"> </w:t>
      </w:r>
      <w:r w:rsidRPr="00CE0839">
        <w:t>años a partir de del cierre de la Operación, el cual es razonable en términos de lo expuesto anteriormente</w:t>
      </w:r>
      <w:r>
        <w:t>.</w:t>
      </w:r>
    </w:p>
    <w:p w14:paraId="792921D8" w14:textId="29865362" w:rsidR="00F80D00" w:rsidRPr="002F3305" w:rsidRDefault="002F3305" w:rsidP="002F3305">
      <w:pPr>
        <w:ind w:firstLine="708"/>
        <w:rPr>
          <w:b/>
        </w:rPr>
      </w:pPr>
      <w:r>
        <w:rPr>
          <w:b/>
        </w:rPr>
        <w:t xml:space="preserve">5.3.4.4 </w:t>
      </w:r>
      <w:r w:rsidR="00F80D00" w:rsidRPr="002F3305">
        <w:rPr>
          <w:b/>
        </w:rPr>
        <w:t>Información adicional presentada por las Partes</w:t>
      </w:r>
    </w:p>
    <w:p w14:paraId="3A0453E1" w14:textId="77777777" w:rsidR="00F80D00" w:rsidRPr="00E11A54" w:rsidRDefault="00F80D00" w:rsidP="00F80D00">
      <w:pPr>
        <w:ind w:right="-1"/>
      </w:pPr>
      <w:r w:rsidRPr="00E11A54">
        <w:t>Adicionalmente al análisis presentado en secciones previas, las Partes manifestaron lo siguiente con respecto a los efectos de la Operación.</w:t>
      </w:r>
      <w:r w:rsidRPr="00E11A54">
        <w:rPr>
          <w:rStyle w:val="Refdenotaalpie"/>
          <w:szCs w:val="18"/>
        </w:rPr>
        <w:footnoteReference w:id="72"/>
      </w:r>
    </w:p>
    <w:p w14:paraId="5312B4AE" w14:textId="77777777" w:rsidR="00F80D00" w:rsidRPr="00E11A54" w:rsidRDefault="00F80D00" w:rsidP="00F80D00">
      <w:pPr>
        <w:ind w:left="567"/>
        <w:rPr>
          <w:i/>
          <w:sz w:val="20"/>
        </w:rPr>
      </w:pPr>
      <w:r w:rsidRPr="00E11A54">
        <w:rPr>
          <w:i/>
          <w:sz w:val="20"/>
        </w:rPr>
        <w:t>“No se puede considerar, ni siquiera remotamente, que la Operación tiene como objeto disminuir, dañar o impedir la libre competencia y concurrencia, en el sector de telecomunicaciones.</w:t>
      </w:r>
    </w:p>
    <w:p w14:paraId="0FAA5E2A" w14:textId="77777777" w:rsidR="00F80D00" w:rsidRPr="00E11A54" w:rsidRDefault="00F80D00" w:rsidP="00F80D00">
      <w:pPr>
        <w:ind w:left="567"/>
        <w:rPr>
          <w:i/>
          <w:sz w:val="20"/>
        </w:rPr>
      </w:pPr>
      <w:r w:rsidRPr="00E11A54">
        <w:rPr>
          <w:i/>
          <w:sz w:val="20"/>
        </w:rPr>
        <w:t>En primer lugar, derivado de que la Operación consiste en la sustitución de un agente económico por otro en el sector; razón por la cual, no se afecta el grado de concentración en el mercado, lo que queda demostrado en el análisis de los índices de concentración en el sector.</w:t>
      </w:r>
    </w:p>
    <w:p w14:paraId="15EB3AC4" w14:textId="77777777" w:rsidR="00F80D00" w:rsidRPr="00E11A54" w:rsidRDefault="00F80D00" w:rsidP="00F80D00">
      <w:pPr>
        <w:ind w:left="567"/>
        <w:rPr>
          <w:i/>
          <w:sz w:val="20"/>
        </w:rPr>
      </w:pPr>
      <w:r w:rsidRPr="00E11A54">
        <w:rPr>
          <w:i/>
          <w:sz w:val="20"/>
        </w:rPr>
        <w:t xml:space="preserve">En segundo lugar, porque el agente económico entrante, ATC, ha demostrado su capacidad de competir efectivamente en el ámbito de las telecomunicaciones al desarrollar un negocio </w:t>
      </w:r>
      <w:r w:rsidRPr="006B6AC9">
        <w:rPr>
          <w:i/>
          <w:sz w:val="20"/>
        </w:rPr>
        <w:t>pujante y creciente en el ámbito de adquisición, desarrollo, administración y arrendamiento de la infraestructura pasiva del sector. Este ha permitido, a su vez, facilitar y fortalecer la posición competitiva de los competidores</w:t>
      </w:r>
      <w:r w:rsidRPr="00E11A54">
        <w:rPr>
          <w:i/>
          <w:sz w:val="20"/>
        </w:rPr>
        <w:t xml:space="preserve"> del AEP en el ámbito de las telecomunicaciones inalámbricas al liberar recursos financieros que de otra forma estarían comprometidos en la infraestructura pasiva.”</w:t>
      </w:r>
    </w:p>
    <w:p w14:paraId="7C3A2BF2" w14:textId="77777777" w:rsidR="00F80D00" w:rsidRPr="00E11A54" w:rsidRDefault="00F80D00" w:rsidP="00F80D00">
      <w:pPr>
        <w:ind w:left="567"/>
        <w:rPr>
          <w:i/>
          <w:sz w:val="20"/>
        </w:rPr>
      </w:pPr>
      <w:r w:rsidRPr="006B6AC9">
        <w:rPr>
          <w:i/>
          <w:sz w:val="20"/>
        </w:rPr>
        <w:t xml:space="preserve">En tercer lugar, porque el agente económico adquirente ha demostrado su capacidad de competir de manera directa con el AEP pues constituye en la actualidad el principal competidor de </w:t>
      </w:r>
      <w:proofErr w:type="spellStart"/>
      <w:r w:rsidRPr="006B6AC9">
        <w:rPr>
          <w:i/>
          <w:sz w:val="20"/>
        </w:rPr>
        <w:t>Telesites</w:t>
      </w:r>
      <w:proofErr w:type="spellEnd"/>
      <w:r w:rsidRPr="006B6AC9">
        <w:rPr>
          <w:i/>
          <w:sz w:val="20"/>
        </w:rPr>
        <w:t xml:space="preserve"> en el mercado de infraestructura pasiva de telecomunicaciones inalámbricas.</w:t>
      </w:r>
    </w:p>
    <w:p w14:paraId="5EB4CC56" w14:textId="77777777" w:rsidR="00F80D00" w:rsidRPr="00E11A54" w:rsidRDefault="00F80D00" w:rsidP="00F80D00">
      <w:pPr>
        <w:ind w:left="567"/>
        <w:rPr>
          <w:i/>
          <w:sz w:val="20"/>
        </w:rPr>
      </w:pPr>
      <w:r w:rsidRPr="00E11A54">
        <w:rPr>
          <w:i/>
          <w:sz w:val="20"/>
        </w:rPr>
        <w:t>Por todas estas razones, se puede concluir que la presente concentración es benéfica para el sector de las telecomunicaciones favoreciendo la competencia, y bajo ninguna circunstancia pudiera considerarse que la Operación daña o limita la competencia en el sector de telecomunicaciones.</w:t>
      </w:r>
    </w:p>
    <w:p w14:paraId="651F708B" w14:textId="275B8AE6" w:rsidR="001A7EFE" w:rsidRPr="003C04A3" w:rsidRDefault="00F80D00" w:rsidP="003C04A3">
      <w:pPr>
        <w:ind w:left="567"/>
        <w:rPr>
          <w:sz w:val="20"/>
          <w:highlight w:val="blue"/>
        </w:rPr>
      </w:pPr>
      <w:r w:rsidRPr="00E11A54">
        <w:rPr>
          <w:i/>
          <w:sz w:val="20"/>
        </w:rPr>
        <w:t>(…) Estos resultados permiten afirmar que la Operación no altera o modifica las condiciones de competencia prevalecientes en la industria, visto desde esta perspectiva estática. Sin</w:t>
      </w:r>
      <w:r>
        <w:rPr>
          <w:i/>
          <w:sz w:val="20"/>
        </w:rPr>
        <w:t xml:space="preserve"> embargo, desde un punto de vista dinámico se puede afirmar que la Operación es pro-competitiva; esto es, la concentración permite la entrada de un competidor, ATC, que tiene una amplia capacidad financiera y probada experiencia en el sector (especialmente en el desarrollo de infraestructura para las telecomunicaciones), permitiéndole ampliar y mejorar la calidad y el empuje de la competencia en el sector. </w:t>
      </w:r>
      <w:r w:rsidR="00483A07" w:rsidRPr="00E63FC2">
        <w:rPr>
          <w:b/>
          <w:bCs/>
          <w:color w:val="0000CC"/>
          <w:sz w:val="19"/>
          <w:szCs w:val="19"/>
        </w:rPr>
        <w:t>“CONFIDENCIAL POR LEY (</w:t>
      </w:r>
      <w:r w:rsidR="00315E0D">
        <w:rPr>
          <w:b/>
          <w:bCs/>
          <w:color w:val="0000CC"/>
          <w:sz w:val="19"/>
          <w:szCs w:val="19"/>
        </w:rPr>
        <w:t>30</w:t>
      </w:r>
      <w:r w:rsidR="00483A07" w:rsidRPr="00E63FC2">
        <w:rPr>
          <w:b/>
          <w:bCs/>
          <w:color w:val="0000CC"/>
          <w:sz w:val="19"/>
          <w:szCs w:val="19"/>
        </w:rPr>
        <w:t>1)”</w:t>
      </w:r>
    </w:p>
    <w:p w14:paraId="1E864770" w14:textId="77777777" w:rsidR="00F80D00" w:rsidRPr="00AA529D" w:rsidRDefault="00F80D00" w:rsidP="00F80D00">
      <w:pPr>
        <w:ind w:right="-1"/>
        <w:rPr>
          <w:lang w:eastAsia="es-ES"/>
        </w:rPr>
      </w:pPr>
      <w:r w:rsidRPr="00AA529D">
        <w:rPr>
          <w:lang w:eastAsia="es-ES"/>
        </w:rPr>
        <w:lastRenderedPageBreak/>
        <w:t xml:space="preserve">En </w:t>
      </w:r>
      <w:r>
        <w:rPr>
          <w:lang w:eastAsia="es-ES"/>
        </w:rPr>
        <w:t>suma</w:t>
      </w:r>
      <w:r w:rsidRPr="00AA529D">
        <w:rPr>
          <w:lang w:eastAsia="es-ES"/>
        </w:rPr>
        <w:t xml:space="preserve">, de la información y elementos con los que cuenta el Instituto y los aportados por las Partes sobre los efectos de la Operación, no se identifican que ésta tenga </w:t>
      </w:r>
      <w:r w:rsidRPr="00AA529D">
        <w:t>por objeto o efecto disminuir, dañar o impedir la libre competencia y concurrencia en</w:t>
      </w:r>
      <w:r w:rsidRPr="00AA529D">
        <w:rPr>
          <w:lang w:eastAsia="es-ES"/>
        </w:rPr>
        <w:t xml:space="preserve"> el sector de telecomunicaciones. De este modo, </w:t>
      </w:r>
      <w:r w:rsidRPr="00AA529D">
        <w:rPr>
          <w:b/>
        </w:rPr>
        <w:t xml:space="preserve">la Operación cumple con el inciso d. del párrafo primero del </w:t>
      </w:r>
      <w:r>
        <w:rPr>
          <w:b/>
        </w:rPr>
        <w:t>Artículo Noveno Transitorio</w:t>
      </w:r>
      <w:r w:rsidRPr="00AA529D">
        <w:rPr>
          <w:lang w:eastAsia="es-ES"/>
        </w:rPr>
        <w:t>.</w:t>
      </w:r>
    </w:p>
    <w:p w14:paraId="206F5C38" w14:textId="77777777" w:rsidR="00F80D00" w:rsidRPr="00A5299B" w:rsidRDefault="00F80D00" w:rsidP="00F80D00">
      <w:pPr>
        <w:pStyle w:val="Ttulo2"/>
        <w:spacing w:before="240"/>
      </w:pPr>
      <w:bookmarkStart w:id="67" w:name="_Toc511061435"/>
      <w:r w:rsidRPr="00A5299B">
        <w:t>SEXTO. Conclusión</w:t>
      </w:r>
      <w:bookmarkEnd w:id="67"/>
    </w:p>
    <w:p w14:paraId="6B31A396" w14:textId="77777777" w:rsidR="00F80D00" w:rsidRPr="00AA529D" w:rsidRDefault="00F80D00" w:rsidP="00F80D00">
      <w:pPr>
        <w:ind w:right="-1"/>
      </w:pPr>
      <w:r>
        <w:t>Con base en los Considerandos Tercero a Sexto</w:t>
      </w:r>
      <w:r w:rsidRPr="00AA529D">
        <w:t xml:space="preserve">, se concluye que la Operación cumple con los incisos </w:t>
      </w:r>
      <w:r w:rsidRPr="00AA529D">
        <w:rPr>
          <w:b/>
        </w:rPr>
        <w:t xml:space="preserve">a. </w:t>
      </w:r>
      <w:r w:rsidRPr="00044D07">
        <w:t xml:space="preserve">a </w:t>
      </w:r>
      <w:r w:rsidRPr="00AA529D">
        <w:rPr>
          <w:b/>
        </w:rPr>
        <w:t>d.</w:t>
      </w:r>
      <w:r w:rsidRPr="00AA529D">
        <w:t xml:space="preserve"> del párrafo primero del </w:t>
      </w:r>
      <w:r>
        <w:t>Artículo Noveno Transitorio</w:t>
      </w:r>
      <w:r w:rsidRPr="00AA529D">
        <w:t>.</w:t>
      </w:r>
      <w:r>
        <w:t xml:space="preserve"> En consecuencia, se concluye que la Operación materia de este expediente no requiere de la autorización del Instituto. </w:t>
      </w:r>
    </w:p>
    <w:p w14:paraId="2654788D" w14:textId="77777777" w:rsidR="00F80D00" w:rsidRPr="00A5299B" w:rsidRDefault="00F80D00" w:rsidP="00F80D00">
      <w:pPr>
        <w:ind w:right="-1"/>
        <w:jc w:val="center"/>
      </w:pPr>
      <w:r w:rsidRPr="00A5299B">
        <w:t>***</w:t>
      </w:r>
    </w:p>
    <w:p w14:paraId="7BE6CBA8" w14:textId="3EB3C8AE" w:rsidR="00F85E4A" w:rsidRPr="00696953" w:rsidRDefault="00F80D00" w:rsidP="00F80D00">
      <w:pPr>
        <w:ind w:right="-1"/>
        <w:rPr>
          <w:rFonts w:eastAsia="Times New Roman"/>
          <w:bCs/>
          <w:color w:val="000000"/>
        </w:rPr>
      </w:pPr>
      <w:r w:rsidRPr="00696953">
        <w:t xml:space="preserve">Con base en lo anterior y con fundamento en lo dispuesto por </w:t>
      </w:r>
      <w:r w:rsidRPr="00696953">
        <w:rPr>
          <w:rFonts w:eastAsia="Times New Roman"/>
          <w:bCs/>
          <w:color w:val="000000"/>
        </w:rPr>
        <w:t xml:space="preserve">los artículos 28, párrafos décimo quinto y décimo sexto de la CPEUM; 1, 6, párrafo último, 7, 15, fracciones XVIII y LXIII, de la Ley Federal de Telecomunicaciones y Radiodifusión; Noveno Transitorio, párrafos primero a cuarto, del </w:t>
      </w:r>
      <w:r w:rsidRPr="004E257E">
        <w:rPr>
          <w:i/>
        </w:rPr>
        <w:t>DECRETO por el que se expide la Ley Federal de Telecomunicaciones y Radiodifusión, y la Ley del Sistema Público de Radiodifusión del Estado Mexicano; y se reforman, adicionan y derogan diversas disposiciones en materia de telecomunicaciones y radiodifusión</w:t>
      </w:r>
      <w:r w:rsidRPr="00696953">
        <w:rPr>
          <w:rFonts w:eastAsia="Times New Roman"/>
          <w:bCs/>
          <w:color w:val="000000"/>
        </w:rPr>
        <w:t>; 3, 8, 13</w:t>
      </w:r>
      <w:r>
        <w:rPr>
          <w:rFonts w:eastAsia="Times New Roman"/>
          <w:bCs/>
          <w:color w:val="000000"/>
        </w:rPr>
        <w:t xml:space="preserve"> y</w:t>
      </w:r>
      <w:r w:rsidRPr="00696953">
        <w:rPr>
          <w:rFonts w:eastAsia="Times New Roman"/>
          <w:bCs/>
          <w:color w:val="000000"/>
        </w:rPr>
        <w:t xml:space="preserve"> 17, de la Ley Federal de Procedimiento Administrativo; y 1, 2, fracción X, 4, fracción I, 6, fracciones IX y XXXVII, 7 y 8, del Estatuto Orgánico del Instituto Federal de Telecomunicaciones, el Pleno del Instituto Federal de Telecomunicaciones resuelve lo siguiente:</w:t>
      </w:r>
    </w:p>
    <w:p w14:paraId="79FBF360" w14:textId="77777777" w:rsidR="00F80D00" w:rsidRPr="00A5299B" w:rsidRDefault="00F80D00" w:rsidP="00F80D00">
      <w:pPr>
        <w:pStyle w:val="Ttulo1"/>
      </w:pPr>
      <w:bookmarkStart w:id="68" w:name="_Toc435697339"/>
      <w:bookmarkStart w:id="69" w:name="_Toc435697415"/>
      <w:bookmarkStart w:id="70" w:name="_Toc511061436"/>
      <w:r w:rsidRPr="00A5299B">
        <w:t>RESOLUTIVOS</w:t>
      </w:r>
      <w:bookmarkEnd w:id="68"/>
      <w:bookmarkEnd w:id="69"/>
      <w:bookmarkEnd w:id="70"/>
    </w:p>
    <w:p w14:paraId="51B4A728" w14:textId="0FFDD0A2" w:rsidR="00F80D00" w:rsidRPr="004E257E" w:rsidRDefault="00F80D00" w:rsidP="00F80D00">
      <w:pPr>
        <w:ind w:right="-1"/>
      </w:pPr>
      <w:r w:rsidRPr="004E257E">
        <w:rPr>
          <w:b/>
        </w:rPr>
        <w:t xml:space="preserve">PRIMERO. </w:t>
      </w:r>
      <w:r w:rsidRPr="004E257E">
        <w:t>La Operación cumple con los requisitos establecidos en los inciso</w:t>
      </w:r>
      <w:r>
        <w:t>s</w:t>
      </w:r>
      <w:r w:rsidRPr="004E257E">
        <w:t xml:space="preserve"> a. a d. </w:t>
      </w:r>
      <w:r>
        <w:t>d</w:t>
      </w:r>
      <w:r w:rsidRPr="004E257E">
        <w:t xml:space="preserve">el párrafo primero del artículo Noveno Transitorio del </w:t>
      </w:r>
      <w:r w:rsidRPr="004E257E">
        <w:rPr>
          <w:i/>
        </w:rPr>
        <w:t>DECRETO por el que se expide la Ley Federal de Telecomunicaciones y Radiodifusión, y la Ley del Sistema Público de Radiodifusión del Estado Mexicano; y se reforman, adicionan y derogan diversas disposiciones en materia de telecomunicaciones y radiodifusión</w:t>
      </w:r>
      <w:r w:rsidRPr="004E257E">
        <w:t>.</w:t>
      </w:r>
    </w:p>
    <w:p w14:paraId="1A7D77FC" w14:textId="21E3DCE3" w:rsidR="00F80D00" w:rsidRDefault="00F80D00" w:rsidP="00F80D00">
      <w:pPr>
        <w:ind w:right="-1"/>
      </w:pPr>
      <w:r w:rsidRPr="004E257E">
        <w:t>En consecuencia,</w:t>
      </w:r>
      <w:r w:rsidRPr="004E257E">
        <w:rPr>
          <w:b/>
        </w:rPr>
        <w:t xml:space="preserve"> </w:t>
      </w:r>
      <w:r w:rsidRPr="004E257E">
        <w:t>la Operación se encuentra en el supuesto de</w:t>
      </w:r>
      <w:r>
        <w:t xml:space="preserve"> excepción de</w:t>
      </w:r>
      <w:r w:rsidRPr="004E257E">
        <w:t xml:space="preserve"> requerir la autorización del Pleno de este Instituto Federal de Telecomunicaciones</w:t>
      </w:r>
      <w:r>
        <w:t xml:space="preserve"> para poder realizarla</w:t>
      </w:r>
      <w:r w:rsidRPr="004E257E">
        <w:t>.</w:t>
      </w:r>
    </w:p>
    <w:p w14:paraId="5A70B8D7" w14:textId="77777777" w:rsidR="00F80D00" w:rsidRPr="006925BD" w:rsidRDefault="00F80D00" w:rsidP="00F80D00">
      <w:pPr>
        <w:ind w:right="-1"/>
      </w:pPr>
      <w:r w:rsidRPr="006925BD">
        <w:rPr>
          <w:b/>
        </w:rPr>
        <w:t>SEGUNDO.</w:t>
      </w:r>
      <w:r w:rsidRPr="006925BD">
        <w:t xml:space="preserve"> En términos del artículo 3, fracción XIV, de la Ley Federal de Procedimiento Administrativo, las Partes podrán consultar el expediente en que se actúa en las oficinas de la Unidad de Competencia Económica del Instituto Federal de Telecomunicaciones, ubicadas en Avenida Insurgentes Sur 1143, Piso 3, Col. Noche Buena, Código Postal 03720, Delegación Benito Juárez, Ciudad de México, en días y horas hábiles.</w:t>
      </w:r>
    </w:p>
    <w:p w14:paraId="316FF616" w14:textId="77777777" w:rsidR="00F80D00" w:rsidRPr="006925BD" w:rsidRDefault="00F80D00" w:rsidP="00F80D00">
      <w:pPr>
        <w:ind w:right="-1"/>
      </w:pPr>
      <w:r w:rsidRPr="006925BD">
        <w:rPr>
          <w:b/>
        </w:rPr>
        <w:t>TERCERO.</w:t>
      </w:r>
      <w:r w:rsidRPr="006925BD">
        <w:t xml:space="preserve"> En </w:t>
      </w:r>
      <w:r>
        <w:t>términos de</w:t>
      </w:r>
      <w:r w:rsidRPr="006925BD">
        <w:t xml:space="preserve"> los artículos 3, fracción XV, y 39, de la Ley Federal de Procedimiento Administrativo, se hace del conocimiento</w:t>
      </w:r>
      <w:r>
        <w:t xml:space="preserve"> de las Partes que la presente </w:t>
      </w:r>
      <w:r>
        <w:lastRenderedPageBreak/>
        <w:t>r</w:t>
      </w:r>
      <w:r w:rsidRPr="006925BD">
        <w:t xml:space="preserve">esolución es un acto administrativo definitivo respecto de la evaluación del cumplimiento de los requisitos previstos en los párrafos primero a cuarto del artículo Noveno Transitorio del </w:t>
      </w:r>
      <w:r w:rsidRPr="006925BD">
        <w:rPr>
          <w:i/>
        </w:rPr>
        <w:t>DECRETO por el que se expide la Ley Federal de Telecomunicaciones y Radiodifusión, y la Ley del Sistema Público de Radiodifusión del Estado Mexicano; y se reforman, adicionan y derogan diversas disposiciones en materia de telecomunicaciones y radiodifusión,</w:t>
      </w:r>
      <w:r w:rsidRPr="006925BD">
        <w:t xml:space="preserve"> y por lo tanto, de conformidad con lo dispuesto en el artículo 28 de la Constitución Política de los Estados Unidos Mexicanos, en caso de así disponerlo las Partes, procede interponer ante los juzgados de distrito especializados en materia de competencia económica, radiodifusión y telecomunicaciones, con residencia en la Ciudad de México y jurisdicción territorial en toda la República Mexicana, el juicio de amparo indirecto dentro del plazo de 15 (quince) días hábiles contados a partir del día siguiente a aquél en que surta efectos </w:t>
      </w:r>
      <w:r>
        <w:t>la notificación de la presente r</w:t>
      </w:r>
      <w:r w:rsidRPr="006925BD">
        <w:t>esolución, en términos del artículo 17 de la Ley de Amparo, Reglamentaria de los artículo 103 y 107 de la Constitución Política de los Estados Unidos Mexicanos.</w:t>
      </w:r>
    </w:p>
    <w:p w14:paraId="2F4065A3" w14:textId="77777777" w:rsidR="00F80D00" w:rsidRDefault="00F80D00" w:rsidP="00F80D00">
      <w:pPr>
        <w:ind w:right="-1"/>
      </w:pPr>
      <w:r w:rsidRPr="004C373F">
        <w:rPr>
          <w:b/>
        </w:rPr>
        <w:t>CUARTO</w:t>
      </w:r>
      <w:r w:rsidRPr="004C373F">
        <w:t xml:space="preserve">.- La presente resolución se emite en el ámbito de competencia del Instituto en términos del artículo Noveno Transitorio del </w:t>
      </w:r>
      <w:r w:rsidRPr="004C373F">
        <w:rPr>
          <w:i/>
        </w:rPr>
        <w:t>DECRETO por el que se expide la Ley Federal de Telecomunicaciones y Radiodifusión, y la Ley del Sistema Público de Radiodifusión del Estado Mexicano; y se reforman, adicionan y derogan diversas disposiciones en materia de telecomunicaciones y radiodifusión,</w:t>
      </w:r>
      <w:r w:rsidRPr="004C373F">
        <w:t xml:space="preserve"> sin prejuzgar sobre otras autorizaciones que en su caso </w:t>
      </w:r>
      <w:proofErr w:type="spellStart"/>
      <w:r w:rsidRPr="004C373F">
        <w:t>SixSigma</w:t>
      </w:r>
      <w:proofErr w:type="spellEnd"/>
      <w:r w:rsidRPr="004C373F">
        <w:t xml:space="preserve"> Networks México, S.A. de C.V., </w:t>
      </w:r>
      <w:proofErr w:type="spellStart"/>
      <w:r w:rsidRPr="004C373F">
        <w:t>Wingu</w:t>
      </w:r>
      <w:proofErr w:type="spellEnd"/>
      <w:r w:rsidRPr="004C373F">
        <w:t xml:space="preserve"> Networks, S.A. de C.V., Metro Net, S.A.P.I. de C.V., CFCA </w:t>
      </w:r>
      <w:proofErr w:type="spellStart"/>
      <w:r w:rsidRPr="004C373F">
        <w:t>Telecomm</w:t>
      </w:r>
      <w:proofErr w:type="spellEnd"/>
      <w:r w:rsidRPr="004C373F">
        <w:t>, S.A.P.I. de C.V., Tecnologías Especializadas en Líneas</w:t>
      </w:r>
      <w:r w:rsidRPr="00E5316B">
        <w:t xml:space="preserve"> de Conexión </w:t>
      </w:r>
      <w:r w:rsidRPr="004C373F">
        <w:t xml:space="preserve">Óptica, S.A.P.I. de C.V., ATC </w:t>
      </w:r>
      <w:proofErr w:type="spellStart"/>
      <w:r w:rsidRPr="004C373F">
        <w:t>MexHold</w:t>
      </w:r>
      <w:proofErr w:type="spellEnd"/>
      <w:r w:rsidRPr="004C373F">
        <w:t xml:space="preserve"> LLC y ATC Holding Fibra México, S. de R.L. de C.V., deban obtener de este Instituto u otra autoridad competente, ni sobre otros procedimientos en curso ante esta u otras autoridades.</w:t>
      </w:r>
    </w:p>
    <w:p w14:paraId="039110D7" w14:textId="2D603A66" w:rsidR="001A7EFE" w:rsidRPr="00DC28E7" w:rsidRDefault="00F80D00" w:rsidP="00F80D00">
      <w:pPr>
        <w:ind w:right="-1"/>
      </w:pPr>
      <w:r w:rsidRPr="004C373F">
        <w:t>Asimismo, la presente resolución tampoco prejuzga sobre violaciones a la Ley Federal de Competencia Económica, la Ley Federal de Telecomunicaciones y Radiodifusión, u otras disposiciones, en que pudiera haber incurrido, o pudiera incurrir, alguno de los agentes involucrados a través de alguna otra transacción.</w:t>
      </w:r>
    </w:p>
    <w:p w14:paraId="7CE29E2C" w14:textId="77777777" w:rsidR="00F80D00" w:rsidRPr="00696953" w:rsidRDefault="00F80D00" w:rsidP="00F80D00">
      <w:pPr>
        <w:ind w:right="-1"/>
      </w:pPr>
      <w:r w:rsidRPr="00116022">
        <w:rPr>
          <w:b/>
        </w:rPr>
        <w:t xml:space="preserve">QUINTO. </w:t>
      </w:r>
      <w:r w:rsidRPr="00116022">
        <w:t xml:space="preserve">Dar vista a la Autoridad Investigadora </w:t>
      </w:r>
      <w:r>
        <w:t xml:space="preserve">y a la Unidad de Concesiones y Servicios </w:t>
      </w:r>
      <w:r w:rsidRPr="00116022">
        <w:t>de este Instituto para los efectos legales que correspondan.</w:t>
      </w:r>
    </w:p>
    <w:p w14:paraId="1CDAF50C" w14:textId="27D7C6F4" w:rsidR="00F80D00" w:rsidRDefault="00F80D00" w:rsidP="00F80D00">
      <w:pPr>
        <w:ind w:right="-1"/>
      </w:pPr>
      <w:r w:rsidRPr="00116022">
        <w:rPr>
          <w:b/>
        </w:rPr>
        <w:t xml:space="preserve">SEXTO. </w:t>
      </w:r>
      <w:r w:rsidRPr="00116022">
        <w:t xml:space="preserve">Notifíquese personalmente la presente </w:t>
      </w:r>
      <w:r>
        <w:t>r</w:t>
      </w:r>
      <w:r w:rsidR="00AF5B84">
        <w:t>esolución.</w:t>
      </w:r>
    </w:p>
    <w:p w14:paraId="661A403B" w14:textId="77777777" w:rsidR="00AF5B84" w:rsidRPr="00B24D1B" w:rsidRDefault="00AF5B84" w:rsidP="00AF5B84">
      <w:pPr>
        <w:spacing w:before="240" w:after="240"/>
        <w:jc w:val="center"/>
        <w:rPr>
          <w:b/>
          <w:color w:val="000000" w:themeColor="text1"/>
          <w:lang w:val="es-ES"/>
        </w:rPr>
      </w:pPr>
      <w:r w:rsidRPr="00B24D1B">
        <w:rPr>
          <w:b/>
          <w:color w:val="000000" w:themeColor="text1"/>
          <w:lang w:val="es-ES"/>
        </w:rPr>
        <w:t xml:space="preserve">(Espacio </w:t>
      </w:r>
      <w:r>
        <w:rPr>
          <w:b/>
          <w:color w:val="000000" w:themeColor="text1"/>
          <w:lang w:val="es-ES"/>
        </w:rPr>
        <w:t>para</w:t>
      </w:r>
      <w:r w:rsidRPr="00B24D1B">
        <w:rPr>
          <w:b/>
          <w:color w:val="000000" w:themeColor="text1"/>
          <w:lang w:val="es-ES"/>
        </w:rPr>
        <w:t xml:space="preserve"> firmas de los Comisionados del Instituto Federal de Telecomunicaciones)</w:t>
      </w:r>
    </w:p>
    <w:p w14:paraId="394E37EC" w14:textId="77777777" w:rsidR="00AF5B84" w:rsidRPr="00DE66EA" w:rsidRDefault="00AF5B84" w:rsidP="00AF5B84">
      <w:pPr>
        <w:spacing w:after="0"/>
        <w:rPr>
          <w:rFonts w:eastAsiaTheme="minorHAnsi"/>
          <w:sz w:val="13"/>
          <w:szCs w:val="13"/>
          <w:lang w:val="es-MX"/>
        </w:rPr>
      </w:pPr>
      <w:bookmarkStart w:id="71" w:name="_GoBack"/>
      <w:bookmarkEnd w:id="71"/>
      <w:r w:rsidRPr="00DE66EA">
        <w:rPr>
          <w:sz w:val="13"/>
          <w:szCs w:val="13"/>
        </w:rPr>
        <w:t xml:space="preserve">La presente Resolución fue aprobada por el Pleno del Instituto Federal de Telecomunicaciones en su XIII Sesión Ordinaria celebrada el 10 de abril de 2018, por </w:t>
      </w:r>
      <w:r w:rsidRPr="00DE66EA">
        <w:rPr>
          <w:bCs/>
          <w:sz w:val="13"/>
          <w:szCs w:val="13"/>
        </w:rPr>
        <w:t>unanimidad</w:t>
      </w:r>
      <w:r w:rsidRPr="00DE66EA">
        <w:rPr>
          <w:sz w:val="13"/>
          <w:szCs w:val="13"/>
        </w:rPr>
        <w:t xml:space="preserve"> de votos de los Comisionados Gabriel Oswaldo Contreras Saldívar, María Elena </w:t>
      </w:r>
      <w:proofErr w:type="spellStart"/>
      <w:r w:rsidRPr="00DE66EA">
        <w:rPr>
          <w:sz w:val="13"/>
          <w:szCs w:val="13"/>
        </w:rPr>
        <w:t>Estavillo</w:t>
      </w:r>
      <w:proofErr w:type="spellEnd"/>
      <w:r w:rsidRPr="00DE66EA">
        <w:rPr>
          <w:sz w:val="13"/>
          <w:szCs w:val="13"/>
        </w:rPr>
        <w:t xml:space="preserve"> Flores, Mario Germán </w:t>
      </w:r>
      <w:proofErr w:type="spellStart"/>
      <w:r w:rsidRPr="00DE66EA">
        <w:rPr>
          <w:sz w:val="13"/>
          <w:szCs w:val="13"/>
        </w:rPr>
        <w:t>Fromow</w:t>
      </w:r>
      <w:proofErr w:type="spellEnd"/>
      <w:r w:rsidRPr="00DE66EA">
        <w:rPr>
          <w:sz w:val="13"/>
          <w:szCs w:val="13"/>
        </w:rPr>
        <w:t xml:space="preserve"> Rangel, Adolfo Cuevas Teja, Javier Juárez Mojica y Arturo Robles </w:t>
      </w:r>
      <w:proofErr w:type="spellStart"/>
      <w:r w:rsidRPr="00DE66EA">
        <w:rPr>
          <w:sz w:val="13"/>
          <w:szCs w:val="13"/>
        </w:rPr>
        <w:t>Rovalo</w:t>
      </w:r>
      <w:proofErr w:type="spellEnd"/>
      <w:r w:rsidRPr="00DE66EA">
        <w:rPr>
          <w:sz w:val="13"/>
          <w:szCs w:val="13"/>
        </w:rPr>
        <w:t>;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P/IFT/100418/245.</w:t>
      </w:r>
    </w:p>
    <w:p w14:paraId="7B05614A" w14:textId="77777777" w:rsidR="000037B5" w:rsidRDefault="000037B5">
      <w:pPr>
        <w:spacing w:before="0" w:after="160" w:line="259" w:lineRule="auto"/>
        <w:jc w:val="left"/>
      </w:pPr>
      <w:r>
        <w:br w:type="page"/>
      </w:r>
    </w:p>
    <w:p w14:paraId="289347A3" w14:textId="77777777" w:rsidR="000037B5" w:rsidRPr="000037B5" w:rsidRDefault="000037B5" w:rsidP="000037B5">
      <w:pPr>
        <w:spacing w:before="0" w:after="0" w:line="240" w:lineRule="auto"/>
        <w:jc w:val="center"/>
        <w:rPr>
          <w:b/>
          <w:sz w:val="16"/>
          <w:szCs w:val="16"/>
        </w:rPr>
      </w:pPr>
      <w:r w:rsidRPr="000037B5">
        <w:rPr>
          <w:b/>
          <w:sz w:val="16"/>
          <w:szCs w:val="16"/>
        </w:rPr>
        <w:lastRenderedPageBreak/>
        <w:t>______________________________________________________________________________________</w:t>
      </w:r>
    </w:p>
    <w:p w14:paraId="352FF4FC" w14:textId="77777777" w:rsidR="000037B5" w:rsidRPr="000037B5" w:rsidRDefault="000037B5" w:rsidP="000037B5">
      <w:pPr>
        <w:spacing w:before="0" w:after="0" w:line="240" w:lineRule="auto"/>
        <w:jc w:val="center"/>
        <w:rPr>
          <w:b/>
          <w:sz w:val="16"/>
          <w:szCs w:val="16"/>
        </w:rPr>
      </w:pPr>
      <w:r w:rsidRPr="000037B5">
        <w:rPr>
          <w:b/>
          <w:sz w:val="16"/>
          <w:szCs w:val="16"/>
        </w:rPr>
        <w:t>REFERENCIAS TESTADAS EN ESTA VERSIÓN PÚBLICA</w:t>
      </w:r>
    </w:p>
    <w:p w14:paraId="0BD626F1" w14:textId="7CA5E553" w:rsidR="000037B5" w:rsidRDefault="000037B5" w:rsidP="00CF2F14">
      <w:pPr>
        <w:spacing w:before="0" w:after="0" w:line="240" w:lineRule="auto"/>
        <w:rPr>
          <w:sz w:val="16"/>
          <w:szCs w:val="16"/>
        </w:rPr>
      </w:pPr>
      <w:r w:rsidRPr="000037B5">
        <w:rPr>
          <w:sz w:val="16"/>
          <w:szCs w:val="16"/>
        </w:rPr>
        <w:t xml:space="preserve">En el presente documento se testan 70 referencias, mismas que reúnen supuestos de confidencialidad en términos de lo </w:t>
      </w:r>
      <w:r w:rsidR="00CF2F14" w:rsidRPr="00CF2F14">
        <w:rPr>
          <w:sz w:val="16"/>
          <w:szCs w:val="16"/>
        </w:rPr>
        <w:t>En el presente documento se testan 301 referencias, mismas que reúnen supuestos</w:t>
      </w:r>
      <w:r w:rsidR="00CF2F14">
        <w:rPr>
          <w:sz w:val="16"/>
          <w:szCs w:val="16"/>
        </w:rPr>
        <w:t xml:space="preserve"> </w:t>
      </w:r>
      <w:r w:rsidR="00CF2F14" w:rsidRPr="00CF2F14">
        <w:rPr>
          <w:sz w:val="16"/>
          <w:szCs w:val="16"/>
        </w:rPr>
        <w:t>de confidencialidad en términos de lo previsto en los artículos 113 de la Ley Federal de</w:t>
      </w:r>
      <w:r w:rsidR="00CF2F14">
        <w:rPr>
          <w:sz w:val="16"/>
          <w:szCs w:val="16"/>
        </w:rPr>
        <w:t xml:space="preserve"> </w:t>
      </w:r>
      <w:r w:rsidR="00CF2F14" w:rsidRPr="00CF2F14">
        <w:rPr>
          <w:sz w:val="16"/>
          <w:szCs w:val="16"/>
        </w:rPr>
        <w:t>Transparencia y Acceso a la Información Pública; el artículo 116 de la Ley General de</w:t>
      </w:r>
      <w:r w:rsidR="00CF2F14">
        <w:rPr>
          <w:sz w:val="16"/>
          <w:szCs w:val="16"/>
        </w:rPr>
        <w:t xml:space="preserve"> </w:t>
      </w:r>
      <w:r w:rsidR="00CF2F14" w:rsidRPr="00CF2F14">
        <w:rPr>
          <w:sz w:val="16"/>
          <w:szCs w:val="16"/>
        </w:rPr>
        <w:t>Transparencia y Acceso a la Información Pública; así como los lineamientos Trigésimo</w:t>
      </w:r>
      <w:r w:rsidR="00CF2F14">
        <w:rPr>
          <w:sz w:val="16"/>
          <w:szCs w:val="16"/>
        </w:rPr>
        <w:t xml:space="preserve"> </w:t>
      </w:r>
      <w:r w:rsidR="00CF2F14" w:rsidRPr="00CF2F14">
        <w:rPr>
          <w:sz w:val="16"/>
          <w:szCs w:val="16"/>
        </w:rPr>
        <w:t>Octavo y Cuadragésimo de los Lineamientos generales en materia de clasificación y</w:t>
      </w:r>
      <w:r w:rsidR="00CF2F14">
        <w:rPr>
          <w:sz w:val="16"/>
          <w:szCs w:val="16"/>
        </w:rPr>
        <w:t xml:space="preserve"> </w:t>
      </w:r>
      <w:r w:rsidR="00CF2F14" w:rsidRPr="00CF2F14">
        <w:rPr>
          <w:sz w:val="16"/>
          <w:szCs w:val="16"/>
        </w:rPr>
        <w:t>desclasificación de la información, así como para la ela</w:t>
      </w:r>
      <w:r w:rsidR="00CF2A92">
        <w:rPr>
          <w:sz w:val="16"/>
          <w:szCs w:val="16"/>
        </w:rPr>
        <w:t>boración de versiones públicas.</w:t>
      </w:r>
    </w:p>
    <w:p w14:paraId="7BCFD884" w14:textId="77777777" w:rsidR="00CF2F14" w:rsidRPr="000037B5" w:rsidRDefault="00CF2F14" w:rsidP="00CF2F14">
      <w:pPr>
        <w:spacing w:before="0" w:after="0" w:line="240" w:lineRule="auto"/>
        <w:rPr>
          <w:sz w:val="16"/>
          <w:szCs w:val="16"/>
        </w:rPr>
      </w:pPr>
    </w:p>
    <w:p w14:paraId="31A0924A" w14:textId="77777777" w:rsidR="000037B5" w:rsidRPr="000037B5" w:rsidRDefault="000037B5" w:rsidP="000037B5">
      <w:pPr>
        <w:spacing w:before="0" w:after="0" w:line="240" w:lineRule="auto"/>
        <w:rPr>
          <w:sz w:val="16"/>
          <w:szCs w:val="16"/>
        </w:rPr>
      </w:pPr>
      <w:r w:rsidRPr="000037B5">
        <w:rPr>
          <w:sz w:val="16"/>
          <w:szCs w:val="16"/>
        </w:rPr>
        <w:t>La información testada incluye referencias a, entre otras cuestiones: datos personales concernientes a persona(s) identificada(s) o identificable(s), patrimonio de personas físicas y/o morales, así como hechos y actos de carácter económico, contable, jurídico o administrativo relativos a una o diversas personas, que pudieran ser útiles para un competidor, de acuerdo con lo siguiente:</w:t>
      </w:r>
    </w:p>
    <w:p w14:paraId="7818F732" w14:textId="77777777" w:rsidR="000037B5" w:rsidRPr="000037B5" w:rsidRDefault="000037B5" w:rsidP="000037B5">
      <w:pPr>
        <w:spacing w:before="0" w:after="0" w:line="240" w:lineRule="auto"/>
        <w:rPr>
          <w:sz w:val="16"/>
          <w:szCs w:val="16"/>
        </w:rPr>
      </w:pPr>
    </w:p>
    <w:p w14:paraId="70D042F4" w14:textId="77777777" w:rsidR="000037B5" w:rsidRPr="000037B5" w:rsidRDefault="000037B5" w:rsidP="000037B5">
      <w:pPr>
        <w:spacing w:before="0" w:after="0" w:line="240" w:lineRule="auto"/>
        <w:rPr>
          <w:sz w:val="16"/>
          <w:szCs w:val="16"/>
        </w:rPr>
      </w:pPr>
      <w:r w:rsidRPr="000037B5">
        <w:rPr>
          <w:sz w:val="16"/>
          <w:szCs w:val="16"/>
        </w:rPr>
        <w:t>Referencia (1). Se testa cantidad de acciones compradas.</w:t>
      </w:r>
    </w:p>
    <w:p w14:paraId="00A58C58" w14:textId="77777777" w:rsidR="000037B5" w:rsidRPr="000037B5" w:rsidRDefault="000037B5" w:rsidP="000037B5">
      <w:pPr>
        <w:spacing w:before="0" w:after="0" w:line="240" w:lineRule="auto"/>
        <w:rPr>
          <w:sz w:val="16"/>
          <w:szCs w:val="16"/>
        </w:rPr>
      </w:pPr>
      <w:r w:rsidRPr="000037B5">
        <w:rPr>
          <w:sz w:val="16"/>
          <w:szCs w:val="16"/>
        </w:rPr>
        <w:t>Referencia (2). Se testa nombre de persona física.</w:t>
      </w:r>
    </w:p>
    <w:p w14:paraId="6A05CFA0" w14:textId="77777777" w:rsidR="000037B5" w:rsidRPr="000037B5" w:rsidRDefault="000037B5" w:rsidP="000037B5">
      <w:pPr>
        <w:spacing w:before="0" w:after="0" w:line="240" w:lineRule="auto"/>
        <w:rPr>
          <w:sz w:val="16"/>
          <w:szCs w:val="16"/>
        </w:rPr>
      </w:pPr>
      <w:r w:rsidRPr="000037B5">
        <w:rPr>
          <w:sz w:val="16"/>
          <w:szCs w:val="16"/>
        </w:rPr>
        <w:t>Referencia (3). Se testa cantidad de acciones compradas.</w:t>
      </w:r>
    </w:p>
    <w:p w14:paraId="7BFB2E26" w14:textId="77777777" w:rsidR="000037B5" w:rsidRPr="000037B5" w:rsidRDefault="000037B5" w:rsidP="000037B5">
      <w:pPr>
        <w:spacing w:before="0" w:after="0" w:line="240" w:lineRule="auto"/>
        <w:rPr>
          <w:sz w:val="16"/>
          <w:szCs w:val="16"/>
        </w:rPr>
      </w:pPr>
      <w:r w:rsidRPr="000037B5">
        <w:rPr>
          <w:sz w:val="16"/>
          <w:szCs w:val="16"/>
        </w:rPr>
        <w:t>Referencia (4). Se testa cantidad de acciones compradas.</w:t>
      </w:r>
    </w:p>
    <w:p w14:paraId="6E266B3A" w14:textId="77777777" w:rsidR="000037B5" w:rsidRPr="000037B5" w:rsidRDefault="000037B5" w:rsidP="000037B5">
      <w:pPr>
        <w:spacing w:before="0" w:after="0" w:line="240" w:lineRule="auto"/>
        <w:rPr>
          <w:sz w:val="16"/>
          <w:szCs w:val="16"/>
        </w:rPr>
      </w:pPr>
      <w:r w:rsidRPr="000037B5">
        <w:rPr>
          <w:sz w:val="16"/>
          <w:szCs w:val="16"/>
        </w:rPr>
        <w:t>Referencia (5). Se testa participación accionaria.</w:t>
      </w:r>
    </w:p>
    <w:p w14:paraId="52EC80FD" w14:textId="77777777" w:rsidR="000037B5" w:rsidRPr="000037B5" w:rsidRDefault="000037B5" w:rsidP="000037B5">
      <w:pPr>
        <w:spacing w:before="0" w:after="0" w:line="240" w:lineRule="auto"/>
        <w:rPr>
          <w:sz w:val="16"/>
          <w:szCs w:val="16"/>
        </w:rPr>
      </w:pPr>
      <w:r w:rsidRPr="000037B5">
        <w:rPr>
          <w:sz w:val="16"/>
          <w:szCs w:val="16"/>
        </w:rPr>
        <w:t>Referencia (6). Se testa participación accionaria.</w:t>
      </w:r>
    </w:p>
    <w:p w14:paraId="561D398F" w14:textId="77777777" w:rsidR="000037B5" w:rsidRPr="000037B5" w:rsidRDefault="000037B5" w:rsidP="000037B5">
      <w:pPr>
        <w:spacing w:before="0" w:after="0" w:line="240" w:lineRule="auto"/>
        <w:rPr>
          <w:sz w:val="16"/>
          <w:szCs w:val="16"/>
        </w:rPr>
      </w:pPr>
      <w:r w:rsidRPr="000037B5">
        <w:rPr>
          <w:sz w:val="16"/>
          <w:szCs w:val="16"/>
        </w:rPr>
        <w:t>Referencia (7). Se testa participación accionaria.</w:t>
      </w:r>
    </w:p>
    <w:p w14:paraId="3A360003" w14:textId="77777777" w:rsidR="000037B5" w:rsidRPr="000037B5" w:rsidRDefault="000037B5" w:rsidP="000037B5">
      <w:pPr>
        <w:spacing w:before="0" w:after="0" w:line="240" w:lineRule="auto"/>
        <w:rPr>
          <w:sz w:val="16"/>
          <w:szCs w:val="16"/>
        </w:rPr>
      </w:pPr>
      <w:r w:rsidRPr="000037B5">
        <w:rPr>
          <w:sz w:val="16"/>
          <w:szCs w:val="16"/>
        </w:rPr>
        <w:t>Referencia (8). Se testa participación accionaria.</w:t>
      </w:r>
    </w:p>
    <w:p w14:paraId="44AB3D7E" w14:textId="77777777" w:rsidR="000037B5" w:rsidRPr="000037B5" w:rsidRDefault="000037B5" w:rsidP="000037B5">
      <w:pPr>
        <w:spacing w:before="0" w:after="0" w:line="240" w:lineRule="auto"/>
        <w:rPr>
          <w:sz w:val="16"/>
          <w:szCs w:val="16"/>
        </w:rPr>
      </w:pPr>
      <w:r w:rsidRPr="000037B5">
        <w:rPr>
          <w:sz w:val="16"/>
          <w:szCs w:val="16"/>
        </w:rPr>
        <w:t>Referencia (9). Se testa participación accionaria.</w:t>
      </w:r>
    </w:p>
    <w:p w14:paraId="7862F2C5" w14:textId="77777777" w:rsidR="000037B5" w:rsidRPr="000037B5" w:rsidRDefault="000037B5" w:rsidP="000037B5">
      <w:pPr>
        <w:spacing w:before="0" w:after="0" w:line="240" w:lineRule="auto"/>
        <w:rPr>
          <w:sz w:val="16"/>
          <w:szCs w:val="16"/>
        </w:rPr>
      </w:pPr>
      <w:r w:rsidRPr="000037B5">
        <w:rPr>
          <w:sz w:val="16"/>
          <w:szCs w:val="16"/>
        </w:rPr>
        <w:t>Referencia (10). Se testa participación accionaria.</w:t>
      </w:r>
    </w:p>
    <w:p w14:paraId="07087445" w14:textId="77777777" w:rsidR="000037B5" w:rsidRPr="000037B5" w:rsidRDefault="000037B5" w:rsidP="000037B5">
      <w:pPr>
        <w:spacing w:before="0" w:after="0" w:line="240" w:lineRule="auto"/>
        <w:rPr>
          <w:sz w:val="16"/>
          <w:szCs w:val="16"/>
        </w:rPr>
      </w:pPr>
      <w:r w:rsidRPr="000037B5">
        <w:rPr>
          <w:sz w:val="16"/>
          <w:szCs w:val="16"/>
        </w:rPr>
        <w:t>Referencia (11). Se testa participación accionaria.</w:t>
      </w:r>
    </w:p>
    <w:p w14:paraId="6A61228D" w14:textId="77777777" w:rsidR="000037B5" w:rsidRPr="000037B5" w:rsidRDefault="000037B5" w:rsidP="000037B5">
      <w:pPr>
        <w:spacing w:before="0" w:after="0" w:line="240" w:lineRule="auto"/>
        <w:rPr>
          <w:sz w:val="16"/>
          <w:szCs w:val="16"/>
        </w:rPr>
      </w:pPr>
      <w:r w:rsidRPr="000037B5">
        <w:rPr>
          <w:sz w:val="16"/>
          <w:szCs w:val="16"/>
        </w:rPr>
        <w:t>Referencia (12). Se testa participación accionaria.</w:t>
      </w:r>
    </w:p>
    <w:p w14:paraId="2B7770DD" w14:textId="77777777" w:rsidR="000037B5" w:rsidRPr="000037B5" w:rsidRDefault="000037B5" w:rsidP="000037B5">
      <w:pPr>
        <w:spacing w:before="0" w:after="0" w:line="240" w:lineRule="auto"/>
        <w:rPr>
          <w:sz w:val="16"/>
          <w:szCs w:val="16"/>
        </w:rPr>
      </w:pPr>
      <w:r w:rsidRPr="000037B5">
        <w:rPr>
          <w:sz w:val="16"/>
          <w:szCs w:val="16"/>
        </w:rPr>
        <w:t>Referencia (13). Se testa participación accionaria.</w:t>
      </w:r>
    </w:p>
    <w:p w14:paraId="20318882" w14:textId="77777777" w:rsidR="000037B5" w:rsidRPr="000037B5" w:rsidRDefault="000037B5" w:rsidP="000037B5">
      <w:pPr>
        <w:spacing w:before="0" w:after="0" w:line="240" w:lineRule="auto"/>
        <w:rPr>
          <w:sz w:val="16"/>
          <w:szCs w:val="16"/>
        </w:rPr>
      </w:pPr>
      <w:r w:rsidRPr="000037B5">
        <w:rPr>
          <w:sz w:val="16"/>
          <w:szCs w:val="16"/>
        </w:rPr>
        <w:t>Referencia (14). Se testa cantidad de acciones no compradas.</w:t>
      </w:r>
    </w:p>
    <w:p w14:paraId="274E9BE0" w14:textId="77777777" w:rsidR="000037B5" w:rsidRPr="000037B5" w:rsidRDefault="000037B5" w:rsidP="000037B5">
      <w:pPr>
        <w:spacing w:before="0" w:after="0" w:line="240" w:lineRule="auto"/>
        <w:rPr>
          <w:sz w:val="16"/>
          <w:szCs w:val="16"/>
        </w:rPr>
      </w:pPr>
      <w:r w:rsidRPr="000037B5">
        <w:rPr>
          <w:sz w:val="16"/>
          <w:szCs w:val="16"/>
        </w:rPr>
        <w:t>Referencia (15). Se testa porcentaje de afiliación.</w:t>
      </w:r>
    </w:p>
    <w:p w14:paraId="0DBEA024" w14:textId="77777777" w:rsidR="000037B5" w:rsidRPr="000037B5" w:rsidRDefault="000037B5" w:rsidP="000037B5">
      <w:pPr>
        <w:spacing w:before="0" w:after="0" w:line="240" w:lineRule="auto"/>
        <w:rPr>
          <w:sz w:val="16"/>
          <w:szCs w:val="16"/>
        </w:rPr>
      </w:pPr>
      <w:r w:rsidRPr="000037B5">
        <w:rPr>
          <w:sz w:val="16"/>
          <w:szCs w:val="16"/>
        </w:rPr>
        <w:t>Referencia (16). Se testa cantidad de acciones compradas.</w:t>
      </w:r>
    </w:p>
    <w:p w14:paraId="65124EA8" w14:textId="77777777" w:rsidR="000037B5" w:rsidRPr="000037B5" w:rsidRDefault="000037B5" w:rsidP="000037B5">
      <w:pPr>
        <w:spacing w:before="0" w:after="0" w:line="240" w:lineRule="auto"/>
        <w:rPr>
          <w:sz w:val="16"/>
          <w:szCs w:val="16"/>
        </w:rPr>
      </w:pPr>
      <w:r w:rsidRPr="000037B5">
        <w:rPr>
          <w:sz w:val="16"/>
          <w:szCs w:val="16"/>
        </w:rPr>
        <w:t>Referencia (17). Se testa cantidad de acciones compradas.</w:t>
      </w:r>
    </w:p>
    <w:p w14:paraId="0A606B1C" w14:textId="77777777" w:rsidR="000037B5" w:rsidRPr="000037B5" w:rsidRDefault="000037B5" w:rsidP="000037B5">
      <w:pPr>
        <w:spacing w:before="0" w:after="0" w:line="240" w:lineRule="auto"/>
        <w:rPr>
          <w:sz w:val="16"/>
          <w:szCs w:val="16"/>
        </w:rPr>
      </w:pPr>
      <w:r w:rsidRPr="000037B5">
        <w:rPr>
          <w:sz w:val="16"/>
          <w:szCs w:val="16"/>
        </w:rPr>
        <w:t>Referencia (18). Se testa dos nombres de personas físicas.</w:t>
      </w:r>
    </w:p>
    <w:p w14:paraId="2FF9D01D" w14:textId="77777777" w:rsidR="000037B5" w:rsidRPr="000037B5" w:rsidRDefault="000037B5" w:rsidP="000037B5">
      <w:pPr>
        <w:spacing w:before="0" w:after="0" w:line="240" w:lineRule="auto"/>
        <w:rPr>
          <w:sz w:val="16"/>
          <w:szCs w:val="16"/>
        </w:rPr>
      </w:pPr>
      <w:r w:rsidRPr="000037B5">
        <w:rPr>
          <w:sz w:val="16"/>
          <w:szCs w:val="16"/>
        </w:rPr>
        <w:t>Referencia (19). Se testa servicios objeto de acuerdo comercial.</w:t>
      </w:r>
    </w:p>
    <w:p w14:paraId="1DB1B231" w14:textId="77777777" w:rsidR="000037B5" w:rsidRPr="000037B5" w:rsidRDefault="000037B5" w:rsidP="000037B5">
      <w:pPr>
        <w:spacing w:before="0" w:after="0" w:line="240" w:lineRule="auto"/>
        <w:rPr>
          <w:sz w:val="16"/>
          <w:szCs w:val="16"/>
        </w:rPr>
      </w:pPr>
      <w:r w:rsidRPr="000037B5">
        <w:rPr>
          <w:sz w:val="16"/>
          <w:szCs w:val="16"/>
        </w:rPr>
        <w:t>Referencia (20). Se testa vigencia de acuerdo comercial.</w:t>
      </w:r>
    </w:p>
    <w:p w14:paraId="450DCA7B" w14:textId="77777777" w:rsidR="000037B5" w:rsidRPr="000037B5" w:rsidRDefault="000037B5" w:rsidP="000037B5">
      <w:pPr>
        <w:spacing w:before="0" w:after="0" w:line="240" w:lineRule="auto"/>
        <w:rPr>
          <w:sz w:val="16"/>
          <w:szCs w:val="16"/>
        </w:rPr>
      </w:pPr>
      <w:r w:rsidRPr="000037B5">
        <w:rPr>
          <w:sz w:val="16"/>
          <w:szCs w:val="16"/>
        </w:rPr>
        <w:t>Referencia (21). Se testa dos nombres de personas físicas.</w:t>
      </w:r>
    </w:p>
    <w:p w14:paraId="3D1DB1DE" w14:textId="77777777" w:rsidR="000037B5" w:rsidRPr="000037B5" w:rsidRDefault="000037B5" w:rsidP="000037B5">
      <w:pPr>
        <w:spacing w:before="0" w:after="0" w:line="240" w:lineRule="auto"/>
        <w:rPr>
          <w:sz w:val="16"/>
          <w:szCs w:val="16"/>
        </w:rPr>
      </w:pPr>
      <w:r w:rsidRPr="000037B5">
        <w:rPr>
          <w:sz w:val="16"/>
          <w:szCs w:val="16"/>
        </w:rPr>
        <w:t>Referencia (22). Se testa información de carácter jurídica.</w:t>
      </w:r>
    </w:p>
    <w:p w14:paraId="373D5BAE" w14:textId="77777777" w:rsidR="000037B5" w:rsidRPr="000037B5" w:rsidRDefault="000037B5" w:rsidP="000037B5">
      <w:pPr>
        <w:spacing w:before="0" w:after="0" w:line="240" w:lineRule="auto"/>
        <w:rPr>
          <w:sz w:val="16"/>
          <w:szCs w:val="16"/>
        </w:rPr>
      </w:pPr>
      <w:r w:rsidRPr="000037B5">
        <w:rPr>
          <w:sz w:val="16"/>
          <w:szCs w:val="16"/>
        </w:rPr>
        <w:t>Referencia (23). Se testa información de carácter jurídica.</w:t>
      </w:r>
    </w:p>
    <w:p w14:paraId="47F2E75F" w14:textId="77777777" w:rsidR="000037B5" w:rsidRPr="000037B5" w:rsidRDefault="000037B5" w:rsidP="000037B5">
      <w:pPr>
        <w:spacing w:before="0" w:after="0" w:line="240" w:lineRule="auto"/>
        <w:rPr>
          <w:sz w:val="16"/>
          <w:szCs w:val="16"/>
        </w:rPr>
      </w:pPr>
      <w:r w:rsidRPr="000037B5">
        <w:rPr>
          <w:sz w:val="16"/>
          <w:szCs w:val="16"/>
        </w:rPr>
        <w:t>Referencia (24). Se testa objetivos de la operación.</w:t>
      </w:r>
    </w:p>
    <w:p w14:paraId="4CA2F417" w14:textId="77777777" w:rsidR="000037B5" w:rsidRPr="000037B5" w:rsidRDefault="000037B5" w:rsidP="000037B5">
      <w:pPr>
        <w:spacing w:before="0" w:after="0" w:line="240" w:lineRule="auto"/>
        <w:rPr>
          <w:sz w:val="16"/>
          <w:szCs w:val="16"/>
        </w:rPr>
      </w:pPr>
      <w:r w:rsidRPr="000037B5">
        <w:rPr>
          <w:sz w:val="16"/>
          <w:szCs w:val="16"/>
        </w:rPr>
        <w:t>Referencia (25). Se testa nombre de persona física.</w:t>
      </w:r>
    </w:p>
    <w:p w14:paraId="227AE243" w14:textId="77777777" w:rsidR="000037B5" w:rsidRPr="000037B5" w:rsidRDefault="000037B5" w:rsidP="000037B5">
      <w:pPr>
        <w:spacing w:before="0" w:after="0" w:line="240" w:lineRule="auto"/>
        <w:rPr>
          <w:sz w:val="16"/>
          <w:szCs w:val="16"/>
        </w:rPr>
      </w:pPr>
      <w:r w:rsidRPr="000037B5">
        <w:rPr>
          <w:sz w:val="16"/>
          <w:szCs w:val="16"/>
        </w:rPr>
        <w:t>Referencia (26). Se testa participación accionaria.</w:t>
      </w:r>
    </w:p>
    <w:p w14:paraId="5F46D7E4" w14:textId="77777777" w:rsidR="000037B5" w:rsidRPr="000037B5" w:rsidRDefault="000037B5" w:rsidP="000037B5">
      <w:pPr>
        <w:spacing w:before="0" w:after="0" w:line="240" w:lineRule="auto"/>
        <w:rPr>
          <w:sz w:val="16"/>
          <w:szCs w:val="16"/>
        </w:rPr>
      </w:pPr>
      <w:r w:rsidRPr="000037B5">
        <w:rPr>
          <w:sz w:val="16"/>
          <w:szCs w:val="16"/>
        </w:rPr>
        <w:t>Referencia (27). Se testa participación accionaria.</w:t>
      </w:r>
    </w:p>
    <w:p w14:paraId="3BD51E78" w14:textId="77777777" w:rsidR="000037B5" w:rsidRPr="000037B5" w:rsidRDefault="000037B5" w:rsidP="000037B5">
      <w:pPr>
        <w:spacing w:before="0" w:after="0" w:line="240" w:lineRule="auto"/>
        <w:rPr>
          <w:sz w:val="16"/>
          <w:szCs w:val="16"/>
        </w:rPr>
      </w:pPr>
      <w:r w:rsidRPr="000037B5">
        <w:rPr>
          <w:sz w:val="16"/>
          <w:szCs w:val="16"/>
        </w:rPr>
        <w:t>Referencia (28). Se testa nombre de persona física.</w:t>
      </w:r>
    </w:p>
    <w:p w14:paraId="79FEB6DC" w14:textId="77777777" w:rsidR="000037B5" w:rsidRPr="000037B5" w:rsidRDefault="000037B5" w:rsidP="000037B5">
      <w:pPr>
        <w:spacing w:before="0" w:after="0" w:line="240" w:lineRule="auto"/>
        <w:rPr>
          <w:sz w:val="16"/>
          <w:szCs w:val="16"/>
        </w:rPr>
      </w:pPr>
      <w:r w:rsidRPr="000037B5">
        <w:rPr>
          <w:sz w:val="16"/>
          <w:szCs w:val="16"/>
        </w:rPr>
        <w:t>Referencia (29). Se testa participación accionaria.</w:t>
      </w:r>
    </w:p>
    <w:p w14:paraId="3BBA0AE3" w14:textId="77777777" w:rsidR="000037B5" w:rsidRPr="000037B5" w:rsidRDefault="000037B5" w:rsidP="000037B5">
      <w:pPr>
        <w:spacing w:before="0" w:after="0" w:line="240" w:lineRule="auto"/>
        <w:rPr>
          <w:sz w:val="16"/>
          <w:szCs w:val="16"/>
        </w:rPr>
      </w:pPr>
      <w:r w:rsidRPr="000037B5">
        <w:rPr>
          <w:sz w:val="16"/>
          <w:szCs w:val="16"/>
        </w:rPr>
        <w:t>Referencia (30). Se testa nombre de persona física.</w:t>
      </w:r>
    </w:p>
    <w:p w14:paraId="6B406EC5" w14:textId="77777777" w:rsidR="000037B5" w:rsidRPr="000037B5" w:rsidRDefault="000037B5" w:rsidP="000037B5">
      <w:pPr>
        <w:spacing w:before="0" w:after="0" w:line="240" w:lineRule="auto"/>
        <w:rPr>
          <w:sz w:val="16"/>
          <w:szCs w:val="16"/>
        </w:rPr>
      </w:pPr>
      <w:r w:rsidRPr="000037B5">
        <w:rPr>
          <w:sz w:val="16"/>
          <w:szCs w:val="16"/>
        </w:rPr>
        <w:t>Referencia (31). Se testa participación accionaria.</w:t>
      </w:r>
    </w:p>
    <w:p w14:paraId="21E66046" w14:textId="77777777" w:rsidR="000037B5" w:rsidRPr="000037B5" w:rsidRDefault="000037B5" w:rsidP="000037B5">
      <w:pPr>
        <w:spacing w:before="0" w:after="0" w:line="240" w:lineRule="auto"/>
        <w:rPr>
          <w:sz w:val="16"/>
          <w:szCs w:val="16"/>
        </w:rPr>
      </w:pPr>
      <w:r w:rsidRPr="000037B5">
        <w:rPr>
          <w:sz w:val="16"/>
          <w:szCs w:val="16"/>
        </w:rPr>
        <w:t>Referencia (32). Se testa participación accionaria.</w:t>
      </w:r>
    </w:p>
    <w:p w14:paraId="1E0815B4" w14:textId="77777777" w:rsidR="000037B5" w:rsidRPr="000037B5" w:rsidRDefault="000037B5" w:rsidP="000037B5">
      <w:pPr>
        <w:spacing w:before="0" w:after="0" w:line="240" w:lineRule="auto"/>
        <w:rPr>
          <w:sz w:val="16"/>
          <w:szCs w:val="16"/>
        </w:rPr>
      </w:pPr>
      <w:r w:rsidRPr="000037B5">
        <w:rPr>
          <w:sz w:val="16"/>
          <w:szCs w:val="16"/>
        </w:rPr>
        <w:t>Referencia (33). Se testa participación accionaria.</w:t>
      </w:r>
    </w:p>
    <w:p w14:paraId="37355DAD" w14:textId="77777777" w:rsidR="000037B5" w:rsidRPr="000037B5" w:rsidRDefault="000037B5" w:rsidP="000037B5">
      <w:pPr>
        <w:spacing w:before="0" w:after="0" w:line="240" w:lineRule="auto"/>
        <w:rPr>
          <w:sz w:val="16"/>
          <w:szCs w:val="16"/>
        </w:rPr>
      </w:pPr>
      <w:r w:rsidRPr="000037B5">
        <w:rPr>
          <w:sz w:val="16"/>
          <w:szCs w:val="16"/>
        </w:rPr>
        <w:t>Referencia (34). Se testa participación accionaria.</w:t>
      </w:r>
    </w:p>
    <w:p w14:paraId="15579409" w14:textId="77777777" w:rsidR="000037B5" w:rsidRPr="000037B5" w:rsidRDefault="000037B5" w:rsidP="000037B5">
      <w:pPr>
        <w:spacing w:before="0" w:after="0" w:line="240" w:lineRule="auto"/>
        <w:rPr>
          <w:sz w:val="16"/>
          <w:szCs w:val="16"/>
        </w:rPr>
      </w:pPr>
      <w:r w:rsidRPr="000037B5">
        <w:rPr>
          <w:sz w:val="16"/>
          <w:szCs w:val="16"/>
        </w:rPr>
        <w:t>Referencia (35). Se testa nombre de persona física.</w:t>
      </w:r>
    </w:p>
    <w:p w14:paraId="5BD6DD1B" w14:textId="77777777" w:rsidR="000037B5" w:rsidRPr="000037B5" w:rsidRDefault="000037B5" w:rsidP="000037B5">
      <w:pPr>
        <w:spacing w:before="0" w:after="0" w:line="240" w:lineRule="auto"/>
        <w:rPr>
          <w:sz w:val="16"/>
          <w:szCs w:val="16"/>
        </w:rPr>
      </w:pPr>
      <w:r w:rsidRPr="000037B5">
        <w:rPr>
          <w:sz w:val="16"/>
          <w:szCs w:val="16"/>
        </w:rPr>
        <w:t>Referencia (36). Se testa participación accionaria.</w:t>
      </w:r>
    </w:p>
    <w:p w14:paraId="5CED4BB8" w14:textId="77777777" w:rsidR="000037B5" w:rsidRPr="000037B5" w:rsidRDefault="000037B5" w:rsidP="000037B5">
      <w:pPr>
        <w:spacing w:before="0" w:after="0" w:line="240" w:lineRule="auto"/>
        <w:rPr>
          <w:sz w:val="16"/>
          <w:szCs w:val="16"/>
        </w:rPr>
      </w:pPr>
      <w:r w:rsidRPr="000037B5">
        <w:rPr>
          <w:sz w:val="16"/>
          <w:szCs w:val="16"/>
        </w:rPr>
        <w:t>Referencia (37). Se testa nombre de persona física.</w:t>
      </w:r>
    </w:p>
    <w:p w14:paraId="167EB5CD" w14:textId="77777777" w:rsidR="000037B5" w:rsidRPr="000037B5" w:rsidRDefault="000037B5" w:rsidP="000037B5">
      <w:pPr>
        <w:spacing w:before="0" w:after="0" w:line="240" w:lineRule="auto"/>
        <w:rPr>
          <w:sz w:val="16"/>
          <w:szCs w:val="16"/>
        </w:rPr>
      </w:pPr>
      <w:r w:rsidRPr="000037B5">
        <w:rPr>
          <w:sz w:val="16"/>
          <w:szCs w:val="16"/>
        </w:rPr>
        <w:t>Referencia (38). Se testa participación accionaria.</w:t>
      </w:r>
    </w:p>
    <w:p w14:paraId="161138CA" w14:textId="77777777" w:rsidR="000037B5" w:rsidRPr="000037B5" w:rsidRDefault="000037B5" w:rsidP="000037B5">
      <w:pPr>
        <w:spacing w:before="0" w:after="0" w:line="240" w:lineRule="auto"/>
        <w:rPr>
          <w:sz w:val="16"/>
          <w:szCs w:val="16"/>
        </w:rPr>
      </w:pPr>
      <w:r w:rsidRPr="000037B5">
        <w:rPr>
          <w:sz w:val="16"/>
          <w:szCs w:val="16"/>
        </w:rPr>
        <w:t>Referencia (39). Se testa cuatro nombres de personas físicas.</w:t>
      </w:r>
    </w:p>
    <w:p w14:paraId="2DBC6384" w14:textId="77777777" w:rsidR="000037B5" w:rsidRPr="000037B5" w:rsidRDefault="000037B5" w:rsidP="000037B5">
      <w:pPr>
        <w:spacing w:before="0" w:after="0" w:line="240" w:lineRule="auto"/>
        <w:rPr>
          <w:sz w:val="16"/>
          <w:szCs w:val="16"/>
        </w:rPr>
      </w:pPr>
      <w:r w:rsidRPr="000037B5">
        <w:rPr>
          <w:sz w:val="16"/>
          <w:szCs w:val="16"/>
        </w:rPr>
        <w:t>Referencia (40). Se testa participación accionaria.</w:t>
      </w:r>
    </w:p>
    <w:p w14:paraId="2F429965" w14:textId="77777777" w:rsidR="000037B5" w:rsidRPr="000037B5" w:rsidRDefault="000037B5" w:rsidP="000037B5">
      <w:pPr>
        <w:spacing w:before="0" w:after="0" w:line="240" w:lineRule="auto"/>
        <w:rPr>
          <w:sz w:val="16"/>
          <w:szCs w:val="16"/>
        </w:rPr>
      </w:pPr>
      <w:r w:rsidRPr="000037B5">
        <w:rPr>
          <w:sz w:val="16"/>
          <w:szCs w:val="16"/>
        </w:rPr>
        <w:t>Referencia (41). Se testa apellidos de familia.</w:t>
      </w:r>
    </w:p>
    <w:p w14:paraId="29037463" w14:textId="77777777" w:rsidR="000037B5" w:rsidRPr="000037B5" w:rsidRDefault="000037B5" w:rsidP="000037B5">
      <w:pPr>
        <w:spacing w:before="0" w:after="0" w:line="240" w:lineRule="auto"/>
        <w:rPr>
          <w:sz w:val="16"/>
          <w:szCs w:val="16"/>
        </w:rPr>
      </w:pPr>
      <w:r w:rsidRPr="000037B5">
        <w:rPr>
          <w:sz w:val="16"/>
          <w:szCs w:val="16"/>
        </w:rPr>
        <w:t>Referencia (42). S testa dos nombres de personas físicas.</w:t>
      </w:r>
    </w:p>
    <w:p w14:paraId="0494B264" w14:textId="77777777" w:rsidR="000037B5" w:rsidRPr="000037B5" w:rsidRDefault="000037B5" w:rsidP="000037B5">
      <w:pPr>
        <w:spacing w:before="0" w:after="0" w:line="240" w:lineRule="auto"/>
        <w:rPr>
          <w:sz w:val="16"/>
          <w:szCs w:val="16"/>
        </w:rPr>
      </w:pPr>
      <w:r w:rsidRPr="000037B5">
        <w:rPr>
          <w:sz w:val="16"/>
          <w:szCs w:val="16"/>
        </w:rPr>
        <w:t>Referencia (43). Se testa participación accionaria.</w:t>
      </w:r>
    </w:p>
    <w:p w14:paraId="578C5130" w14:textId="77777777" w:rsidR="000037B5" w:rsidRPr="000037B5" w:rsidRDefault="000037B5" w:rsidP="000037B5">
      <w:pPr>
        <w:spacing w:before="0" w:after="0" w:line="240" w:lineRule="auto"/>
        <w:rPr>
          <w:sz w:val="16"/>
          <w:szCs w:val="16"/>
        </w:rPr>
      </w:pPr>
      <w:r w:rsidRPr="000037B5">
        <w:rPr>
          <w:sz w:val="16"/>
          <w:szCs w:val="16"/>
        </w:rPr>
        <w:t>Referencia (44). Se testa participación accionaria.</w:t>
      </w:r>
    </w:p>
    <w:p w14:paraId="3D137461" w14:textId="77777777" w:rsidR="000037B5" w:rsidRPr="000037B5" w:rsidRDefault="000037B5" w:rsidP="000037B5">
      <w:pPr>
        <w:spacing w:before="0" w:after="0" w:line="240" w:lineRule="auto"/>
        <w:rPr>
          <w:sz w:val="16"/>
          <w:szCs w:val="16"/>
        </w:rPr>
      </w:pPr>
      <w:r w:rsidRPr="000037B5">
        <w:rPr>
          <w:sz w:val="16"/>
          <w:szCs w:val="16"/>
        </w:rPr>
        <w:t>Referencia (45). Se testa participación accionaria.</w:t>
      </w:r>
    </w:p>
    <w:p w14:paraId="2E649431" w14:textId="77777777" w:rsidR="000037B5" w:rsidRPr="000037B5" w:rsidRDefault="000037B5" w:rsidP="000037B5">
      <w:pPr>
        <w:spacing w:before="0" w:after="0" w:line="240" w:lineRule="auto"/>
        <w:rPr>
          <w:sz w:val="16"/>
          <w:szCs w:val="16"/>
        </w:rPr>
      </w:pPr>
      <w:r w:rsidRPr="000037B5">
        <w:rPr>
          <w:sz w:val="16"/>
          <w:szCs w:val="16"/>
        </w:rPr>
        <w:t>Referencia (46). Se testa participación accionaria.</w:t>
      </w:r>
    </w:p>
    <w:p w14:paraId="6395E54E" w14:textId="77777777" w:rsidR="000037B5" w:rsidRPr="000037B5" w:rsidRDefault="000037B5" w:rsidP="000037B5">
      <w:pPr>
        <w:spacing w:before="0" w:after="0" w:line="240" w:lineRule="auto"/>
        <w:rPr>
          <w:sz w:val="16"/>
          <w:szCs w:val="16"/>
        </w:rPr>
      </w:pPr>
      <w:r w:rsidRPr="000037B5">
        <w:rPr>
          <w:sz w:val="16"/>
          <w:szCs w:val="16"/>
        </w:rPr>
        <w:t>Referencia (47). Se testa participación accionaria.</w:t>
      </w:r>
    </w:p>
    <w:p w14:paraId="088AC272" w14:textId="77777777" w:rsidR="000037B5" w:rsidRPr="000037B5" w:rsidRDefault="000037B5" w:rsidP="000037B5">
      <w:pPr>
        <w:spacing w:before="0" w:after="0" w:line="240" w:lineRule="auto"/>
        <w:rPr>
          <w:sz w:val="16"/>
          <w:szCs w:val="16"/>
        </w:rPr>
      </w:pPr>
      <w:r w:rsidRPr="000037B5">
        <w:rPr>
          <w:sz w:val="16"/>
          <w:szCs w:val="16"/>
        </w:rPr>
        <w:t>Referencia (48). Se testa nombre de persona física.</w:t>
      </w:r>
    </w:p>
    <w:p w14:paraId="4E525279" w14:textId="77777777" w:rsidR="000037B5" w:rsidRPr="000037B5" w:rsidRDefault="000037B5" w:rsidP="000037B5">
      <w:pPr>
        <w:spacing w:before="0" w:after="0" w:line="240" w:lineRule="auto"/>
        <w:rPr>
          <w:sz w:val="16"/>
          <w:szCs w:val="16"/>
        </w:rPr>
      </w:pPr>
      <w:r w:rsidRPr="000037B5">
        <w:rPr>
          <w:sz w:val="16"/>
          <w:szCs w:val="16"/>
        </w:rPr>
        <w:t>Referencia (49). Se testa participación accionaria.</w:t>
      </w:r>
    </w:p>
    <w:p w14:paraId="4732DB9A" w14:textId="77777777" w:rsidR="000037B5" w:rsidRPr="000037B5" w:rsidRDefault="000037B5" w:rsidP="000037B5">
      <w:pPr>
        <w:spacing w:before="0" w:after="0" w:line="240" w:lineRule="auto"/>
        <w:rPr>
          <w:sz w:val="16"/>
          <w:szCs w:val="16"/>
        </w:rPr>
      </w:pPr>
      <w:r w:rsidRPr="000037B5">
        <w:rPr>
          <w:sz w:val="16"/>
          <w:szCs w:val="16"/>
        </w:rPr>
        <w:t>Referencia (50). Se testa participación accionaria.</w:t>
      </w:r>
    </w:p>
    <w:p w14:paraId="051F6F27" w14:textId="77777777" w:rsidR="000037B5" w:rsidRPr="000037B5" w:rsidRDefault="000037B5" w:rsidP="000037B5">
      <w:pPr>
        <w:spacing w:before="0" w:after="0" w:line="240" w:lineRule="auto"/>
        <w:rPr>
          <w:sz w:val="16"/>
          <w:szCs w:val="16"/>
        </w:rPr>
      </w:pPr>
      <w:r w:rsidRPr="000037B5">
        <w:rPr>
          <w:sz w:val="16"/>
          <w:szCs w:val="16"/>
        </w:rPr>
        <w:t>Referencia (51). Se testa participación accionaria.</w:t>
      </w:r>
    </w:p>
    <w:p w14:paraId="21F7D43B" w14:textId="77777777" w:rsidR="000037B5" w:rsidRPr="000037B5" w:rsidRDefault="000037B5" w:rsidP="000037B5">
      <w:pPr>
        <w:spacing w:before="0" w:after="0" w:line="240" w:lineRule="auto"/>
        <w:rPr>
          <w:sz w:val="16"/>
          <w:szCs w:val="16"/>
        </w:rPr>
      </w:pPr>
      <w:r w:rsidRPr="000037B5">
        <w:rPr>
          <w:sz w:val="16"/>
          <w:szCs w:val="16"/>
        </w:rPr>
        <w:t>Referencia (52). Se testa participación accionaria.</w:t>
      </w:r>
    </w:p>
    <w:p w14:paraId="3B95A397" w14:textId="77777777" w:rsidR="000037B5" w:rsidRPr="000037B5" w:rsidRDefault="000037B5" w:rsidP="000037B5">
      <w:pPr>
        <w:spacing w:before="0" w:after="0" w:line="240" w:lineRule="auto"/>
        <w:rPr>
          <w:sz w:val="16"/>
          <w:szCs w:val="16"/>
        </w:rPr>
      </w:pPr>
      <w:r w:rsidRPr="000037B5">
        <w:rPr>
          <w:sz w:val="16"/>
          <w:szCs w:val="16"/>
        </w:rPr>
        <w:lastRenderedPageBreak/>
        <w:t>Referencia (53). Se testa participación accionaria.</w:t>
      </w:r>
    </w:p>
    <w:p w14:paraId="76B1AE9F" w14:textId="77777777" w:rsidR="000037B5" w:rsidRPr="000037B5" w:rsidRDefault="000037B5" w:rsidP="000037B5">
      <w:pPr>
        <w:spacing w:before="0" w:after="0" w:line="240" w:lineRule="auto"/>
        <w:rPr>
          <w:sz w:val="16"/>
          <w:szCs w:val="16"/>
        </w:rPr>
      </w:pPr>
      <w:r w:rsidRPr="000037B5">
        <w:rPr>
          <w:sz w:val="16"/>
          <w:szCs w:val="16"/>
        </w:rPr>
        <w:t>Referencia (54). Se testa participación accionaria.</w:t>
      </w:r>
    </w:p>
    <w:p w14:paraId="1984F0A4" w14:textId="77777777" w:rsidR="000037B5" w:rsidRPr="000037B5" w:rsidRDefault="000037B5" w:rsidP="000037B5">
      <w:pPr>
        <w:spacing w:before="0" w:after="0" w:line="240" w:lineRule="auto"/>
        <w:rPr>
          <w:sz w:val="16"/>
          <w:szCs w:val="16"/>
        </w:rPr>
      </w:pPr>
      <w:r w:rsidRPr="000037B5">
        <w:rPr>
          <w:sz w:val="16"/>
          <w:szCs w:val="16"/>
        </w:rPr>
        <w:t>Referencia (55). Se testa participación accionaria.</w:t>
      </w:r>
    </w:p>
    <w:p w14:paraId="1C108631" w14:textId="77777777" w:rsidR="000037B5" w:rsidRPr="000037B5" w:rsidRDefault="000037B5" w:rsidP="000037B5">
      <w:pPr>
        <w:spacing w:before="0" w:after="0" w:line="240" w:lineRule="auto"/>
        <w:rPr>
          <w:sz w:val="16"/>
          <w:szCs w:val="16"/>
        </w:rPr>
      </w:pPr>
      <w:r w:rsidRPr="000037B5">
        <w:rPr>
          <w:sz w:val="16"/>
          <w:szCs w:val="16"/>
        </w:rPr>
        <w:t>Referencia (56). Se testa participación accionaria.</w:t>
      </w:r>
    </w:p>
    <w:p w14:paraId="40F8CBA2" w14:textId="77777777" w:rsidR="000037B5" w:rsidRPr="000037B5" w:rsidRDefault="000037B5" w:rsidP="000037B5">
      <w:pPr>
        <w:spacing w:before="0" w:after="0" w:line="240" w:lineRule="auto"/>
        <w:rPr>
          <w:sz w:val="16"/>
          <w:szCs w:val="16"/>
        </w:rPr>
      </w:pPr>
      <w:r w:rsidRPr="000037B5">
        <w:rPr>
          <w:sz w:val="16"/>
          <w:szCs w:val="16"/>
        </w:rPr>
        <w:t>Referencia (57). Se testa participación accionaria.</w:t>
      </w:r>
    </w:p>
    <w:p w14:paraId="23A8EAC8" w14:textId="77777777" w:rsidR="000037B5" w:rsidRPr="000037B5" w:rsidRDefault="000037B5" w:rsidP="000037B5">
      <w:pPr>
        <w:spacing w:before="0" w:after="0" w:line="240" w:lineRule="auto"/>
        <w:rPr>
          <w:sz w:val="16"/>
          <w:szCs w:val="16"/>
        </w:rPr>
      </w:pPr>
      <w:r w:rsidRPr="000037B5">
        <w:rPr>
          <w:sz w:val="16"/>
          <w:szCs w:val="16"/>
        </w:rPr>
        <w:t>Referencia (58). Se testa participación accionaria.</w:t>
      </w:r>
    </w:p>
    <w:p w14:paraId="2243C7D6" w14:textId="77777777" w:rsidR="000037B5" w:rsidRPr="000037B5" w:rsidRDefault="000037B5" w:rsidP="000037B5">
      <w:pPr>
        <w:spacing w:before="0" w:after="0" w:line="240" w:lineRule="auto"/>
        <w:rPr>
          <w:sz w:val="16"/>
          <w:szCs w:val="16"/>
        </w:rPr>
      </w:pPr>
      <w:r w:rsidRPr="000037B5">
        <w:rPr>
          <w:sz w:val="16"/>
          <w:szCs w:val="16"/>
        </w:rPr>
        <w:t>Referencia (59). Se testa participación accionaria.</w:t>
      </w:r>
    </w:p>
    <w:p w14:paraId="1D5613AB" w14:textId="77777777" w:rsidR="000037B5" w:rsidRPr="000037B5" w:rsidRDefault="000037B5" w:rsidP="000037B5">
      <w:pPr>
        <w:spacing w:before="0" w:after="0" w:line="240" w:lineRule="auto"/>
        <w:rPr>
          <w:sz w:val="16"/>
          <w:szCs w:val="16"/>
        </w:rPr>
      </w:pPr>
      <w:r w:rsidRPr="000037B5">
        <w:rPr>
          <w:sz w:val="16"/>
          <w:szCs w:val="16"/>
        </w:rPr>
        <w:t>Referencia (60). Se testa participación accionaria.</w:t>
      </w:r>
    </w:p>
    <w:p w14:paraId="0A3D4012" w14:textId="77777777" w:rsidR="000037B5" w:rsidRPr="000037B5" w:rsidRDefault="000037B5" w:rsidP="000037B5">
      <w:pPr>
        <w:spacing w:before="0" w:after="0" w:line="240" w:lineRule="auto"/>
        <w:rPr>
          <w:sz w:val="16"/>
          <w:szCs w:val="16"/>
        </w:rPr>
      </w:pPr>
      <w:r w:rsidRPr="000037B5">
        <w:rPr>
          <w:sz w:val="16"/>
          <w:szCs w:val="16"/>
        </w:rPr>
        <w:t>Referencia (61). Se testa participación accionaria.</w:t>
      </w:r>
    </w:p>
    <w:p w14:paraId="6ACFA7D0" w14:textId="77777777" w:rsidR="000037B5" w:rsidRPr="000037B5" w:rsidRDefault="000037B5" w:rsidP="000037B5">
      <w:pPr>
        <w:spacing w:before="0" w:after="0" w:line="240" w:lineRule="auto"/>
        <w:rPr>
          <w:sz w:val="16"/>
          <w:szCs w:val="16"/>
        </w:rPr>
      </w:pPr>
      <w:r w:rsidRPr="000037B5">
        <w:rPr>
          <w:sz w:val="16"/>
          <w:szCs w:val="16"/>
        </w:rPr>
        <w:t>Referencia (62). Se testa participación accionaria.</w:t>
      </w:r>
    </w:p>
    <w:p w14:paraId="3B65B606" w14:textId="77777777" w:rsidR="000037B5" w:rsidRPr="000037B5" w:rsidRDefault="000037B5" w:rsidP="000037B5">
      <w:pPr>
        <w:spacing w:before="0" w:after="0" w:line="240" w:lineRule="auto"/>
        <w:rPr>
          <w:sz w:val="16"/>
          <w:szCs w:val="16"/>
        </w:rPr>
      </w:pPr>
      <w:r w:rsidRPr="000037B5">
        <w:rPr>
          <w:sz w:val="16"/>
          <w:szCs w:val="16"/>
        </w:rPr>
        <w:t>Referencia (63). Se testa participación accionaria.</w:t>
      </w:r>
    </w:p>
    <w:p w14:paraId="4804C78A" w14:textId="77777777" w:rsidR="000037B5" w:rsidRPr="000037B5" w:rsidRDefault="000037B5" w:rsidP="000037B5">
      <w:pPr>
        <w:spacing w:before="0" w:after="0" w:line="240" w:lineRule="auto"/>
        <w:rPr>
          <w:sz w:val="16"/>
          <w:szCs w:val="16"/>
        </w:rPr>
      </w:pPr>
      <w:r w:rsidRPr="000037B5">
        <w:rPr>
          <w:sz w:val="16"/>
          <w:szCs w:val="16"/>
        </w:rPr>
        <w:t>Referencia (64). Se testa participación accionaria.</w:t>
      </w:r>
    </w:p>
    <w:p w14:paraId="7A67DE48" w14:textId="77777777" w:rsidR="000037B5" w:rsidRPr="000037B5" w:rsidRDefault="000037B5" w:rsidP="000037B5">
      <w:pPr>
        <w:spacing w:before="0" w:after="0" w:line="240" w:lineRule="auto"/>
        <w:rPr>
          <w:sz w:val="16"/>
          <w:szCs w:val="16"/>
        </w:rPr>
      </w:pPr>
      <w:r w:rsidRPr="000037B5">
        <w:rPr>
          <w:sz w:val="16"/>
          <w:szCs w:val="16"/>
        </w:rPr>
        <w:t>Referencia (65). Se testa participación accionaria.</w:t>
      </w:r>
    </w:p>
    <w:p w14:paraId="7DC77899" w14:textId="77777777" w:rsidR="000037B5" w:rsidRPr="000037B5" w:rsidRDefault="000037B5" w:rsidP="000037B5">
      <w:pPr>
        <w:spacing w:before="0" w:after="0" w:line="240" w:lineRule="auto"/>
        <w:rPr>
          <w:sz w:val="16"/>
          <w:szCs w:val="16"/>
        </w:rPr>
      </w:pPr>
      <w:r w:rsidRPr="000037B5">
        <w:rPr>
          <w:sz w:val="16"/>
          <w:szCs w:val="16"/>
        </w:rPr>
        <w:t>Referencia (66). Se testa participación accionaria.</w:t>
      </w:r>
    </w:p>
    <w:p w14:paraId="686A7CF1" w14:textId="77777777" w:rsidR="000037B5" w:rsidRPr="000037B5" w:rsidRDefault="000037B5" w:rsidP="000037B5">
      <w:pPr>
        <w:spacing w:before="0" w:after="0" w:line="240" w:lineRule="auto"/>
        <w:rPr>
          <w:sz w:val="16"/>
          <w:szCs w:val="16"/>
        </w:rPr>
      </w:pPr>
      <w:r w:rsidRPr="000037B5">
        <w:rPr>
          <w:sz w:val="16"/>
          <w:szCs w:val="16"/>
        </w:rPr>
        <w:t>Referencia (67). Se testa participación accionaria.</w:t>
      </w:r>
    </w:p>
    <w:p w14:paraId="58481107" w14:textId="77777777" w:rsidR="000037B5" w:rsidRPr="000037B5" w:rsidRDefault="000037B5" w:rsidP="000037B5">
      <w:pPr>
        <w:spacing w:before="0" w:after="0" w:line="240" w:lineRule="auto"/>
        <w:rPr>
          <w:sz w:val="16"/>
          <w:szCs w:val="16"/>
        </w:rPr>
      </w:pPr>
      <w:r w:rsidRPr="000037B5">
        <w:rPr>
          <w:sz w:val="16"/>
          <w:szCs w:val="16"/>
        </w:rPr>
        <w:t>Referencia (68). Se testa participación accionaria.</w:t>
      </w:r>
    </w:p>
    <w:p w14:paraId="5FC20D76" w14:textId="77777777" w:rsidR="000037B5" w:rsidRPr="000037B5" w:rsidRDefault="000037B5" w:rsidP="000037B5">
      <w:pPr>
        <w:spacing w:before="0" w:after="0" w:line="240" w:lineRule="auto"/>
        <w:rPr>
          <w:sz w:val="16"/>
          <w:szCs w:val="16"/>
        </w:rPr>
      </w:pPr>
      <w:r w:rsidRPr="000037B5">
        <w:rPr>
          <w:sz w:val="16"/>
          <w:szCs w:val="16"/>
        </w:rPr>
        <w:t>Referencia (69). Se testa participación accionaria.</w:t>
      </w:r>
    </w:p>
    <w:p w14:paraId="328B527E" w14:textId="77777777" w:rsidR="000037B5" w:rsidRPr="000037B5" w:rsidRDefault="000037B5" w:rsidP="000037B5">
      <w:pPr>
        <w:spacing w:before="0" w:after="0" w:line="240" w:lineRule="auto"/>
        <w:rPr>
          <w:sz w:val="16"/>
          <w:szCs w:val="16"/>
        </w:rPr>
      </w:pPr>
      <w:r w:rsidRPr="000037B5">
        <w:rPr>
          <w:sz w:val="16"/>
          <w:szCs w:val="16"/>
        </w:rPr>
        <w:t>Referencia (70). Se testa participación accionaria.</w:t>
      </w:r>
    </w:p>
    <w:p w14:paraId="25E87175" w14:textId="77777777" w:rsidR="000037B5" w:rsidRPr="000037B5" w:rsidRDefault="000037B5" w:rsidP="000037B5">
      <w:pPr>
        <w:spacing w:before="0" w:after="0" w:line="240" w:lineRule="auto"/>
        <w:rPr>
          <w:sz w:val="16"/>
          <w:szCs w:val="16"/>
        </w:rPr>
      </w:pPr>
      <w:r w:rsidRPr="000037B5">
        <w:rPr>
          <w:sz w:val="16"/>
          <w:szCs w:val="16"/>
        </w:rPr>
        <w:t>Referencia (71). Se testa participación accionaria.</w:t>
      </w:r>
    </w:p>
    <w:p w14:paraId="61556C7E" w14:textId="77777777" w:rsidR="000037B5" w:rsidRPr="000037B5" w:rsidRDefault="000037B5" w:rsidP="000037B5">
      <w:pPr>
        <w:spacing w:before="0" w:after="0" w:line="240" w:lineRule="auto"/>
        <w:rPr>
          <w:sz w:val="16"/>
          <w:szCs w:val="16"/>
        </w:rPr>
      </w:pPr>
      <w:r w:rsidRPr="000037B5">
        <w:rPr>
          <w:sz w:val="16"/>
          <w:szCs w:val="16"/>
        </w:rPr>
        <w:t>Referencia (72). Se testa participación accionaria.</w:t>
      </w:r>
    </w:p>
    <w:p w14:paraId="2530198F" w14:textId="77777777" w:rsidR="000037B5" w:rsidRPr="000037B5" w:rsidRDefault="000037B5" w:rsidP="000037B5">
      <w:pPr>
        <w:spacing w:before="0" w:after="0" w:line="240" w:lineRule="auto"/>
        <w:rPr>
          <w:sz w:val="16"/>
          <w:szCs w:val="16"/>
        </w:rPr>
      </w:pPr>
      <w:r w:rsidRPr="000037B5">
        <w:rPr>
          <w:sz w:val="16"/>
          <w:szCs w:val="16"/>
        </w:rPr>
        <w:t>Referencia (73). Se testa participación accionaria.</w:t>
      </w:r>
    </w:p>
    <w:p w14:paraId="4151391F" w14:textId="77777777" w:rsidR="000037B5" w:rsidRPr="000037B5" w:rsidRDefault="000037B5" w:rsidP="000037B5">
      <w:pPr>
        <w:spacing w:before="0" w:after="0" w:line="240" w:lineRule="auto"/>
        <w:rPr>
          <w:sz w:val="16"/>
          <w:szCs w:val="16"/>
        </w:rPr>
      </w:pPr>
      <w:r w:rsidRPr="000037B5">
        <w:rPr>
          <w:sz w:val="16"/>
          <w:szCs w:val="16"/>
        </w:rPr>
        <w:t>Referencia (74). Se testa participación accionaria.</w:t>
      </w:r>
    </w:p>
    <w:p w14:paraId="6409409D" w14:textId="77777777" w:rsidR="000037B5" w:rsidRPr="000037B5" w:rsidRDefault="000037B5" w:rsidP="000037B5">
      <w:pPr>
        <w:spacing w:before="0" w:after="0" w:line="240" w:lineRule="auto"/>
        <w:rPr>
          <w:sz w:val="16"/>
          <w:szCs w:val="16"/>
        </w:rPr>
      </w:pPr>
      <w:r w:rsidRPr="000037B5">
        <w:rPr>
          <w:sz w:val="16"/>
          <w:szCs w:val="16"/>
        </w:rPr>
        <w:t>Referencia (75). Se testa participación accionaria.</w:t>
      </w:r>
    </w:p>
    <w:p w14:paraId="5200A585" w14:textId="77777777" w:rsidR="000037B5" w:rsidRPr="000037B5" w:rsidRDefault="000037B5" w:rsidP="000037B5">
      <w:pPr>
        <w:spacing w:before="0" w:after="0" w:line="240" w:lineRule="auto"/>
        <w:rPr>
          <w:sz w:val="16"/>
          <w:szCs w:val="16"/>
        </w:rPr>
      </w:pPr>
      <w:r w:rsidRPr="000037B5">
        <w:rPr>
          <w:sz w:val="16"/>
          <w:szCs w:val="16"/>
        </w:rPr>
        <w:t>Referencia (76). Se testa ingresos para el año 2016.</w:t>
      </w:r>
    </w:p>
    <w:p w14:paraId="7DDABB06" w14:textId="77777777" w:rsidR="000037B5" w:rsidRPr="000037B5" w:rsidRDefault="000037B5" w:rsidP="000037B5">
      <w:pPr>
        <w:spacing w:before="0" w:after="0" w:line="240" w:lineRule="auto"/>
        <w:rPr>
          <w:sz w:val="16"/>
          <w:szCs w:val="16"/>
        </w:rPr>
      </w:pPr>
      <w:r w:rsidRPr="000037B5">
        <w:rPr>
          <w:sz w:val="16"/>
          <w:szCs w:val="16"/>
        </w:rPr>
        <w:t>Referencia (77). Se testa ingresos para el año 2015.</w:t>
      </w:r>
    </w:p>
    <w:p w14:paraId="4B45E1F8" w14:textId="77777777" w:rsidR="000037B5" w:rsidRPr="000037B5" w:rsidRDefault="000037B5" w:rsidP="000037B5">
      <w:pPr>
        <w:spacing w:before="0" w:after="0" w:line="240" w:lineRule="auto"/>
        <w:rPr>
          <w:sz w:val="16"/>
          <w:szCs w:val="16"/>
        </w:rPr>
      </w:pPr>
      <w:r w:rsidRPr="000037B5">
        <w:rPr>
          <w:sz w:val="16"/>
          <w:szCs w:val="16"/>
        </w:rPr>
        <w:t>Referencia (78). Se testa utilidades para el año 2016.</w:t>
      </w:r>
    </w:p>
    <w:p w14:paraId="52FACC9F" w14:textId="77777777" w:rsidR="000037B5" w:rsidRPr="000037B5" w:rsidRDefault="000037B5" w:rsidP="000037B5">
      <w:pPr>
        <w:spacing w:before="0" w:after="0" w:line="240" w:lineRule="auto"/>
        <w:rPr>
          <w:sz w:val="16"/>
          <w:szCs w:val="16"/>
        </w:rPr>
      </w:pPr>
      <w:r w:rsidRPr="000037B5">
        <w:rPr>
          <w:sz w:val="16"/>
          <w:szCs w:val="16"/>
        </w:rPr>
        <w:t>Referencia (79). Se testa utilidades para el año 2015.</w:t>
      </w:r>
    </w:p>
    <w:p w14:paraId="7A88CE51" w14:textId="77777777" w:rsidR="000037B5" w:rsidRPr="000037B5" w:rsidRDefault="000037B5" w:rsidP="000037B5">
      <w:pPr>
        <w:spacing w:before="0" w:after="0" w:line="240" w:lineRule="auto"/>
        <w:rPr>
          <w:sz w:val="16"/>
          <w:szCs w:val="16"/>
        </w:rPr>
      </w:pPr>
      <w:r w:rsidRPr="000037B5">
        <w:rPr>
          <w:sz w:val="16"/>
          <w:szCs w:val="16"/>
        </w:rPr>
        <w:t>Referencia (80). Se testa activos para el año 2016.</w:t>
      </w:r>
    </w:p>
    <w:p w14:paraId="6D600278" w14:textId="77777777" w:rsidR="000037B5" w:rsidRPr="000037B5" w:rsidRDefault="000037B5" w:rsidP="000037B5">
      <w:pPr>
        <w:spacing w:before="0" w:after="0" w:line="240" w:lineRule="auto"/>
        <w:rPr>
          <w:sz w:val="16"/>
          <w:szCs w:val="16"/>
        </w:rPr>
      </w:pPr>
      <w:r w:rsidRPr="000037B5">
        <w:rPr>
          <w:sz w:val="16"/>
          <w:szCs w:val="16"/>
        </w:rPr>
        <w:t>Referencia (81). Se testa activos para el año 2015.</w:t>
      </w:r>
    </w:p>
    <w:p w14:paraId="174B97FA" w14:textId="77777777" w:rsidR="000037B5" w:rsidRPr="000037B5" w:rsidRDefault="000037B5" w:rsidP="000037B5">
      <w:pPr>
        <w:spacing w:before="0" w:after="0" w:line="240" w:lineRule="auto"/>
        <w:rPr>
          <w:sz w:val="16"/>
          <w:szCs w:val="16"/>
        </w:rPr>
      </w:pPr>
      <w:r w:rsidRPr="000037B5">
        <w:rPr>
          <w:sz w:val="16"/>
          <w:szCs w:val="16"/>
        </w:rPr>
        <w:t>Referencia (82). Se testa cantidad de acciones.</w:t>
      </w:r>
    </w:p>
    <w:p w14:paraId="4A121854" w14:textId="77777777" w:rsidR="000037B5" w:rsidRPr="000037B5" w:rsidRDefault="000037B5" w:rsidP="000037B5">
      <w:pPr>
        <w:spacing w:before="0" w:after="0" w:line="240" w:lineRule="auto"/>
        <w:rPr>
          <w:sz w:val="16"/>
          <w:szCs w:val="16"/>
        </w:rPr>
      </w:pPr>
      <w:r w:rsidRPr="000037B5">
        <w:rPr>
          <w:sz w:val="16"/>
          <w:szCs w:val="16"/>
        </w:rPr>
        <w:t>Referencia (83). Se testa participación accionaria.</w:t>
      </w:r>
    </w:p>
    <w:p w14:paraId="333C256F" w14:textId="77777777" w:rsidR="000037B5" w:rsidRPr="000037B5" w:rsidRDefault="000037B5" w:rsidP="000037B5">
      <w:pPr>
        <w:spacing w:before="0" w:after="0" w:line="240" w:lineRule="auto"/>
        <w:rPr>
          <w:sz w:val="16"/>
          <w:szCs w:val="16"/>
        </w:rPr>
      </w:pPr>
      <w:r w:rsidRPr="000037B5">
        <w:rPr>
          <w:sz w:val="16"/>
          <w:szCs w:val="16"/>
        </w:rPr>
        <w:t>Referencia (84). Se testa nombre de persona física.</w:t>
      </w:r>
    </w:p>
    <w:p w14:paraId="2574E1C7" w14:textId="77777777" w:rsidR="000037B5" w:rsidRPr="000037B5" w:rsidRDefault="000037B5" w:rsidP="000037B5">
      <w:pPr>
        <w:spacing w:before="0" w:after="0" w:line="240" w:lineRule="auto"/>
        <w:rPr>
          <w:sz w:val="16"/>
          <w:szCs w:val="16"/>
        </w:rPr>
      </w:pPr>
      <w:r w:rsidRPr="000037B5">
        <w:rPr>
          <w:sz w:val="16"/>
          <w:szCs w:val="16"/>
        </w:rPr>
        <w:t>Referencia (85). Se testa cantidad de acciones.</w:t>
      </w:r>
    </w:p>
    <w:p w14:paraId="10064997" w14:textId="77777777" w:rsidR="000037B5" w:rsidRPr="000037B5" w:rsidRDefault="000037B5" w:rsidP="000037B5">
      <w:pPr>
        <w:spacing w:before="0" w:after="0" w:line="240" w:lineRule="auto"/>
        <w:rPr>
          <w:sz w:val="16"/>
          <w:szCs w:val="16"/>
        </w:rPr>
      </w:pPr>
      <w:r w:rsidRPr="000037B5">
        <w:rPr>
          <w:sz w:val="16"/>
          <w:szCs w:val="16"/>
        </w:rPr>
        <w:t>Referencia (86). Se testa participación accionaria.</w:t>
      </w:r>
    </w:p>
    <w:p w14:paraId="5C41E578" w14:textId="77777777" w:rsidR="000037B5" w:rsidRPr="000037B5" w:rsidRDefault="000037B5" w:rsidP="000037B5">
      <w:pPr>
        <w:spacing w:before="0" w:after="0" w:line="240" w:lineRule="auto"/>
        <w:rPr>
          <w:sz w:val="16"/>
          <w:szCs w:val="16"/>
        </w:rPr>
      </w:pPr>
      <w:r w:rsidRPr="000037B5">
        <w:rPr>
          <w:sz w:val="16"/>
          <w:szCs w:val="16"/>
        </w:rPr>
        <w:t>Referencia (87). Se testa cantidad de acciones.</w:t>
      </w:r>
    </w:p>
    <w:p w14:paraId="670D0E99" w14:textId="77777777" w:rsidR="000037B5" w:rsidRPr="000037B5" w:rsidRDefault="000037B5" w:rsidP="000037B5">
      <w:pPr>
        <w:spacing w:before="0" w:after="0" w:line="240" w:lineRule="auto"/>
        <w:rPr>
          <w:sz w:val="16"/>
          <w:szCs w:val="16"/>
        </w:rPr>
      </w:pPr>
      <w:r w:rsidRPr="000037B5">
        <w:rPr>
          <w:sz w:val="16"/>
          <w:szCs w:val="16"/>
        </w:rPr>
        <w:t>Referencia (88). Se testa participación accionaria.</w:t>
      </w:r>
    </w:p>
    <w:p w14:paraId="7AF5F3E5" w14:textId="77777777" w:rsidR="000037B5" w:rsidRPr="000037B5" w:rsidRDefault="000037B5" w:rsidP="000037B5">
      <w:pPr>
        <w:spacing w:before="0" w:after="0" w:line="240" w:lineRule="auto"/>
        <w:rPr>
          <w:sz w:val="16"/>
          <w:szCs w:val="16"/>
        </w:rPr>
      </w:pPr>
      <w:r w:rsidRPr="000037B5">
        <w:rPr>
          <w:sz w:val="16"/>
          <w:szCs w:val="16"/>
        </w:rPr>
        <w:t>Referencia (89). Se testa ingresos para el año 2016.</w:t>
      </w:r>
    </w:p>
    <w:p w14:paraId="489AA31C" w14:textId="77777777" w:rsidR="000037B5" w:rsidRPr="000037B5" w:rsidRDefault="000037B5" w:rsidP="000037B5">
      <w:pPr>
        <w:spacing w:before="0" w:after="0" w:line="240" w:lineRule="auto"/>
        <w:rPr>
          <w:sz w:val="16"/>
          <w:szCs w:val="16"/>
        </w:rPr>
      </w:pPr>
      <w:r w:rsidRPr="000037B5">
        <w:rPr>
          <w:sz w:val="16"/>
          <w:szCs w:val="16"/>
        </w:rPr>
        <w:t>Referencia (90). Se testa ingresos para el año 2015.</w:t>
      </w:r>
    </w:p>
    <w:p w14:paraId="6F703A04" w14:textId="77777777" w:rsidR="000037B5" w:rsidRPr="000037B5" w:rsidRDefault="000037B5" w:rsidP="000037B5">
      <w:pPr>
        <w:spacing w:before="0" w:after="0" w:line="240" w:lineRule="auto"/>
        <w:rPr>
          <w:sz w:val="16"/>
          <w:szCs w:val="16"/>
        </w:rPr>
      </w:pPr>
      <w:r w:rsidRPr="000037B5">
        <w:rPr>
          <w:sz w:val="16"/>
          <w:szCs w:val="16"/>
        </w:rPr>
        <w:t>Referencia (91). Se testa utilidades para el año 2016.</w:t>
      </w:r>
    </w:p>
    <w:p w14:paraId="3F6EAB48" w14:textId="77777777" w:rsidR="000037B5" w:rsidRPr="000037B5" w:rsidRDefault="000037B5" w:rsidP="000037B5">
      <w:pPr>
        <w:spacing w:before="0" w:after="0" w:line="240" w:lineRule="auto"/>
        <w:rPr>
          <w:sz w:val="16"/>
          <w:szCs w:val="16"/>
        </w:rPr>
      </w:pPr>
      <w:r w:rsidRPr="000037B5">
        <w:rPr>
          <w:sz w:val="16"/>
          <w:szCs w:val="16"/>
        </w:rPr>
        <w:t>Referencia (92). Se testa utilidades para el año 2015.</w:t>
      </w:r>
    </w:p>
    <w:p w14:paraId="13ADBE81" w14:textId="77777777" w:rsidR="000037B5" w:rsidRPr="000037B5" w:rsidRDefault="000037B5" w:rsidP="000037B5">
      <w:pPr>
        <w:spacing w:before="0" w:after="0" w:line="240" w:lineRule="auto"/>
        <w:rPr>
          <w:sz w:val="16"/>
          <w:szCs w:val="16"/>
        </w:rPr>
      </w:pPr>
      <w:r w:rsidRPr="000037B5">
        <w:rPr>
          <w:sz w:val="16"/>
          <w:szCs w:val="16"/>
        </w:rPr>
        <w:t>Referencia (93). Se testa activos para el año 2016.</w:t>
      </w:r>
    </w:p>
    <w:p w14:paraId="0B720A12" w14:textId="77777777" w:rsidR="000037B5" w:rsidRPr="000037B5" w:rsidRDefault="000037B5" w:rsidP="000037B5">
      <w:pPr>
        <w:spacing w:before="0" w:after="0" w:line="240" w:lineRule="auto"/>
        <w:rPr>
          <w:sz w:val="16"/>
          <w:szCs w:val="16"/>
        </w:rPr>
      </w:pPr>
      <w:r w:rsidRPr="000037B5">
        <w:rPr>
          <w:sz w:val="16"/>
          <w:szCs w:val="16"/>
        </w:rPr>
        <w:t>Referencia (94). Se testa activos para el año 2015.</w:t>
      </w:r>
    </w:p>
    <w:p w14:paraId="30F918A6" w14:textId="77777777" w:rsidR="000037B5" w:rsidRPr="000037B5" w:rsidRDefault="000037B5" w:rsidP="000037B5">
      <w:pPr>
        <w:spacing w:before="0" w:after="0" w:line="240" w:lineRule="auto"/>
        <w:rPr>
          <w:sz w:val="16"/>
          <w:szCs w:val="16"/>
        </w:rPr>
      </w:pPr>
      <w:r w:rsidRPr="000037B5">
        <w:rPr>
          <w:sz w:val="16"/>
          <w:szCs w:val="16"/>
        </w:rPr>
        <w:t>Referencia (95). Se testa nombre de persona física.</w:t>
      </w:r>
    </w:p>
    <w:p w14:paraId="5F33766A" w14:textId="77777777" w:rsidR="000037B5" w:rsidRPr="000037B5" w:rsidRDefault="000037B5" w:rsidP="000037B5">
      <w:pPr>
        <w:spacing w:before="0" w:after="0" w:line="240" w:lineRule="auto"/>
        <w:rPr>
          <w:sz w:val="16"/>
          <w:szCs w:val="16"/>
        </w:rPr>
      </w:pPr>
      <w:r w:rsidRPr="000037B5">
        <w:rPr>
          <w:sz w:val="16"/>
          <w:szCs w:val="16"/>
        </w:rPr>
        <w:t>Referencia (96). Se testa cantidad de usuarios.</w:t>
      </w:r>
    </w:p>
    <w:p w14:paraId="54529FBE" w14:textId="77777777" w:rsidR="000037B5" w:rsidRPr="000037B5" w:rsidRDefault="000037B5" w:rsidP="000037B5">
      <w:pPr>
        <w:spacing w:before="0" w:after="0" w:line="240" w:lineRule="auto"/>
        <w:rPr>
          <w:sz w:val="16"/>
          <w:szCs w:val="16"/>
        </w:rPr>
      </w:pPr>
      <w:r w:rsidRPr="000037B5">
        <w:rPr>
          <w:sz w:val="16"/>
          <w:szCs w:val="16"/>
        </w:rPr>
        <w:t>Referencia (97). Se testa nombre de persona moral y de organismo federal.</w:t>
      </w:r>
    </w:p>
    <w:p w14:paraId="00C710B2" w14:textId="77777777" w:rsidR="000037B5" w:rsidRPr="000037B5" w:rsidRDefault="000037B5" w:rsidP="000037B5">
      <w:pPr>
        <w:spacing w:before="0" w:after="0" w:line="240" w:lineRule="auto"/>
        <w:rPr>
          <w:sz w:val="16"/>
          <w:szCs w:val="16"/>
        </w:rPr>
      </w:pPr>
      <w:r w:rsidRPr="000037B5">
        <w:rPr>
          <w:sz w:val="16"/>
          <w:szCs w:val="16"/>
        </w:rPr>
        <w:t>Referencia (98). Se testa nombre de persona moral y de organismo federal.</w:t>
      </w:r>
    </w:p>
    <w:p w14:paraId="6FD839E1" w14:textId="77777777" w:rsidR="000037B5" w:rsidRPr="000037B5" w:rsidRDefault="000037B5" w:rsidP="000037B5">
      <w:pPr>
        <w:spacing w:before="0" w:after="0" w:line="240" w:lineRule="auto"/>
        <w:rPr>
          <w:sz w:val="16"/>
          <w:szCs w:val="16"/>
        </w:rPr>
      </w:pPr>
      <w:r w:rsidRPr="000037B5">
        <w:rPr>
          <w:sz w:val="16"/>
          <w:szCs w:val="16"/>
        </w:rPr>
        <w:t>Referencia (99). Se testa cantidad de acciones.</w:t>
      </w:r>
    </w:p>
    <w:p w14:paraId="553155F0" w14:textId="77777777" w:rsidR="000037B5" w:rsidRPr="000037B5" w:rsidRDefault="000037B5" w:rsidP="000037B5">
      <w:pPr>
        <w:spacing w:before="0" w:after="0" w:line="240" w:lineRule="auto"/>
        <w:rPr>
          <w:sz w:val="16"/>
          <w:szCs w:val="16"/>
        </w:rPr>
      </w:pPr>
      <w:r w:rsidRPr="000037B5">
        <w:rPr>
          <w:sz w:val="16"/>
          <w:szCs w:val="16"/>
        </w:rPr>
        <w:t>Referencia (100). Se testa cantidad de acciones.</w:t>
      </w:r>
    </w:p>
    <w:p w14:paraId="60BABE77" w14:textId="77777777" w:rsidR="000037B5" w:rsidRPr="000037B5" w:rsidRDefault="000037B5" w:rsidP="000037B5">
      <w:pPr>
        <w:spacing w:before="0" w:after="0" w:line="240" w:lineRule="auto"/>
        <w:rPr>
          <w:sz w:val="16"/>
          <w:szCs w:val="16"/>
        </w:rPr>
      </w:pPr>
      <w:r w:rsidRPr="000037B5">
        <w:rPr>
          <w:sz w:val="16"/>
          <w:szCs w:val="16"/>
        </w:rPr>
        <w:t>Referencia (101). Se testa cantidad de acciones.</w:t>
      </w:r>
    </w:p>
    <w:p w14:paraId="7729B2BE" w14:textId="77777777" w:rsidR="000037B5" w:rsidRPr="000037B5" w:rsidRDefault="000037B5" w:rsidP="000037B5">
      <w:pPr>
        <w:spacing w:before="0" w:after="0" w:line="240" w:lineRule="auto"/>
        <w:rPr>
          <w:sz w:val="16"/>
          <w:szCs w:val="16"/>
        </w:rPr>
      </w:pPr>
      <w:r w:rsidRPr="000037B5">
        <w:rPr>
          <w:sz w:val="16"/>
          <w:szCs w:val="16"/>
        </w:rPr>
        <w:t>Referencia (102). Se testa cantidad de acciones.</w:t>
      </w:r>
    </w:p>
    <w:p w14:paraId="15BB2939" w14:textId="77777777" w:rsidR="000037B5" w:rsidRPr="000037B5" w:rsidRDefault="000037B5" w:rsidP="000037B5">
      <w:pPr>
        <w:spacing w:before="0" w:after="0" w:line="240" w:lineRule="auto"/>
        <w:rPr>
          <w:sz w:val="16"/>
          <w:szCs w:val="16"/>
        </w:rPr>
      </w:pPr>
      <w:r w:rsidRPr="000037B5">
        <w:rPr>
          <w:sz w:val="16"/>
          <w:szCs w:val="16"/>
        </w:rPr>
        <w:t>Referencia (103). Se testa cantidad de acciones.</w:t>
      </w:r>
    </w:p>
    <w:p w14:paraId="48292F79" w14:textId="77777777" w:rsidR="000037B5" w:rsidRPr="000037B5" w:rsidRDefault="000037B5" w:rsidP="000037B5">
      <w:pPr>
        <w:spacing w:before="0" w:after="0" w:line="240" w:lineRule="auto"/>
        <w:rPr>
          <w:sz w:val="16"/>
          <w:szCs w:val="16"/>
        </w:rPr>
      </w:pPr>
      <w:r w:rsidRPr="000037B5">
        <w:rPr>
          <w:sz w:val="16"/>
          <w:szCs w:val="16"/>
        </w:rPr>
        <w:t>Referencia (104). Se testa cantidad de acciones.</w:t>
      </w:r>
    </w:p>
    <w:p w14:paraId="6F0EFE89" w14:textId="77777777" w:rsidR="000037B5" w:rsidRPr="000037B5" w:rsidRDefault="000037B5" w:rsidP="000037B5">
      <w:pPr>
        <w:spacing w:before="0" w:after="0" w:line="240" w:lineRule="auto"/>
        <w:rPr>
          <w:sz w:val="16"/>
          <w:szCs w:val="16"/>
        </w:rPr>
      </w:pPr>
      <w:r w:rsidRPr="000037B5">
        <w:rPr>
          <w:sz w:val="16"/>
          <w:szCs w:val="16"/>
        </w:rPr>
        <w:t>Referencia (105). Se testa cantidad de acciones.</w:t>
      </w:r>
    </w:p>
    <w:p w14:paraId="2D47B5D9" w14:textId="77777777" w:rsidR="000037B5" w:rsidRPr="000037B5" w:rsidRDefault="000037B5" w:rsidP="000037B5">
      <w:pPr>
        <w:spacing w:before="0" w:after="0" w:line="240" w:lineRule="auto"/>
        <w:rPr>
          <w:sz w:val="16"/>
          <w:szCs w:val="16"/>
        </w:rPr>
      </w:pPr>
      <w:r w:rsidRPr="000037B5">
        <w:rPr>
          <w:sz w:val="16"/>
          <w:szCs w:val="16"/>
        </w:rPr>
        <w:t>Referencia (106). Se testa cantidad de acciones.</w:t>
      </w:r>
    </w:p>
    <w:p w14:paraId="331804D9" w14:textId="77777777" w:rsidR="000037B5" w:rsidRPr="000037B5" w:rsidRDefault="000037B5" w:rsidP="000037B5">
      <w:pPr>
        <w:spacing w:before="0" w:after="0" w:line="240" w:lineRule="auto"/>
        <w:rPr>
          <w:sz w:val="16"/>
          <w:szCs w:val="16"/>
        </w:rPr>
      </w:pPr>
      <w:r w:rsidRPr="000037B5">
        <w:rPr>
          <w:sz w:val="16"/>
          <w:szCs w:val="16"/>
        </w:rPr>
        <w:t>Referencia (107). Se testa cantidad de acciones.</w:t>
      </w:r>
    </w:p>
    <w:p w14:paraId="3B7EC975" w14:textId="77777777" w:rsidR="000037B5" w:rsidRPr="000037B5" w:rsidRDefault="000037B5" w:rsidP="000037B5">
      <w:pPr>
        <w:spacing w:before="0" w:after="0" w:line="240" w:lineRule="auto"/>
        <w:rPr>
          <w:sz w:val="16"/>
          <w:szCs w:val="16"/>
        </w:rPr>
      </w:pPr>
      <w:r w:rsidRPr="000037B5">
        <w:rPr>
          <w:sz w:val="16"/>
          <w:szCs w:val="16"/>
        </w:rPr>
        <w:t>Referencia (108). Se testa ingresos después de la escisión.</w:t>
      </w:r>
    </w:p>
    <w:p w14:paraId="0A035211" w14:textId="77777777" w:rsidR="000037B5" w:rsidRPr="000037B5" w:rsidRDefault="000037B5" w:rsidP="000037B5">
      <w:pPr>
        <w:spacing w:before="0" w:after="0" w:line="240" w:lineRule="auto"/>
        <w:rPr>
          <w:sz w:val="16"/>
          <w:szCs w:val="16"/>
        </w:rPr>
      </w:pPr>
      <w:r w:rsidRPr="000037B5">
        <w:rPr>
          <w:sz w:val="16"/>
          <w:szCs w:val="16"/>
        </w:rPr>
        <w:t>Referencia (109). Se testa ingresos antes de la escisión.</w:t>
      </w:r>
    </w:p>
    <w:p w14:paraId="3C70115F" w14:textId="77777777" w:rsidR="000037B5" w:rsidRPr="000037B5" w:rsidRDefault="000037B5" w:rsidP="000037B5">
      <w:pPr>
        <w:spacing w:before="0" w:after="0" w:line="240" w:lineRule="auto"/>
        <w:rPr>
          <w:sz w:val="16"/>
          <w:szCs w:val="16"/>
        </w:rPr>
      </w:pPr>
      <w:r w:rsidRPr="000037B5">
        <w:rPr>
          <w:sz w:val="16"/>
          <w:szCs w:val="16"/>
        </w:rPr>
        <w:t>Referencia (110). Se testa ingresos en diciembre de 2016.</w:t>
      </w:r>
    </w:p>
    <w:p w14:paraId="32573005" w14:textId="77777777" w:rsidR="000037B5" w:rsidRPr="000037B5" w:rsidRDefault="000037B5" w:rsidP="000037B5">
      <w:pPr>
        <w:spacing w:before="0" w:after="0" w:line="240" w:lineRule="auto"/>
        <w:rPr>
          <w:sz w:val="16"/>
          <w:szCs w:val="16"/>
        </w:rPr>
      </w:pPr>
      <w:r w:rsidRPr="000037B5">
        <w:rPr>
          <w:sz w:val="16"/>
          <w:szCs w:val="16"/>
        </w:rPr>
        <w:t>Referencia (111). Se testa utilidades después de la escisión.</w:t>
      </w:r>
    </w:p>
    <w:p w14:paraId="55DA06BB" w14:textId="77777777" w:rsidR="000037B5" w:rsidRPr="000037B5" w:rsidRDefault="000037B5" w:rsidP="000037B5">
      <w:pPr>
        <w:spacing w:before="0" w:after="0" w:line="240" w:lineRule="auto"/>
        <w:rPr>
          <w:sz w:val="16"/>
          <w:szCs w:val="16"/>
        </w:rPr>
      </w:pPr>
      <w:r w:rsidRPr="000037B5">
        <w:rPr>
          <w:sz w:val="16"/>
          <w:szCs w:val="16"/>
        </w:rPr>
        <w:t>Referencia (112). Se testa utilidades antes de la escisión.</w:t>
      </w:r>
    </w:p>
    <w:p w14:paraId="284128C0" w14:textId="77777777" w:rsidR="000037B5" w:rsidRPr="000037B5" w:rsidRDefault="000037B5" w:rsidP="000037B5">
      <w:pPr>
        <w:spacing w:before="0" w:after="0" w:line="240" w:lineRule="auto"/>
        <w:rPr>
          <w:sz w:val="16"/>
          <w:szCs w:val="16"/>
        </w:rPr>
      </w:pPr>
      <w:r w:rsidRPr="000037B5">
        <w:rPr>
          <w:sz w:val="16"/>
          <w:szCs w:val="16"/>
        </w:rPr>
        <w:t>Referencia (113). Se testa utilidades en diciembre de 2016.</w:t>
      </w:r>
    </w:p>
    <w:p w14:paraId="66C5080B" w14:textId="77777777" w:rsidR="000037B5" w:rsidRPr="000037B5" w:rsidRDefault="000037B5" w:rsidP="000037B5">
      <w:pPr>
        <w:spacing w:before="0" w:after="0" w:line="240" w:lineRule="auto"/>
        <w:rPr>
          <w:sz w:val="16"/>
          <w:szCs w:val="16"/>
        </w:rPr>
      </w:pPr>
      <w:r w:rsidRPr="000037B5">
        <w:rPr>
          <w:sz w:val="16"/>
          <w:szCs w:val="16"/>
        </w:rPr>
        <w:t>Referencia (114). Se testa capital contable después de la escisión.</w:t>
      </w:r>
    </w:p>
    <w:p w14:paraId="2FD273FA" w14:textId="77777777" w:rsidR="000037B5" w:rsidRPr="000037B5" w:rsidRDefault="000037B5" w:rsidP="000037B5">
      <w:pPr>
        <w:spacing w:before="0" w:after="0" w:line="240" w:lineRule="auto"/>
        <w:rPr>
          <w:sz w:val="16"/>
          <w:szCs w:val="16"/>
        </w:rPr>
      </w:pPr>
      <w:r w:rsidRPr="000037B5">
        <w:rPr>
          <w:sz w:val="16"/>
          <w:szCs w:val="16"/>
        </w:rPr>
        <w:t>Referencia (115). Se testa capital contable antes de la escisión.</w:t>
      </w:r>
    </w:p>
    <w:p w14:paraId="37B7F977" w14:textId="77777777" w:rsidR="000037B5" w:rsidRPr="000037B5" w:rsidRDefault="000037B5" w:rsidP="000037B5">
      <w:pPr>
        <w:spacing w:before="0" w:after="0" w:line="240" w:lineRule="auto"/>
        <w:rPr>
          <w:sz w:val="16"/>
          <w:szCs w:val="16"/>
        </w:rPr>
      </w:pPr>
      <w:r w:rsidRPr="000037B5">
        <w:rPr>
          <w:sz w:val="16"/>
          <w:szCs w:val="16"/>
        </w:rPr>
        <w:t>Referencia (116). Se testa capital contable en diciembre de 2016.</w:t>
      </w:r>
    </w:p>
    <w:p w14:paraId="27EA1430" w14:textId="77777777" w:rsidR="000037B5" w:rsidRPr="000037B5" w:rsidRDefault="000037B5" w:rsidP="000037B5">
      <w:pPr>
        <w:spacing w:before="0" w:after="0" w:line="240" w:lineRule="auto"/>
        <w:rPr>
          <w:sz w:val="16"/>
          <w:szCs w:val="16"/>
        </w:rPr>
      </w:pPr>
      <w:r w:rsidRPr="000037B5">
        <w:rPr>
          <w:sz w:val="16"/>
          <w:szCs w:val="16"/>
        </w:rPr>
        <w:t>Referencia (117). Se testa pasivo después de la escisión.</w:t>
      </w:r>
    </w:p>
    <w:p w14:paraId="5A1533A0" w14:textId="77777777" w:rsidR="000037B5" w:rsidRPr="000037B5" w:rsidRDefault="000037B5" w:rsidP="000037B5">
      <w:pPr>
        <w:spacing w:before="0" w:after="0" w:line="240" w:lineRule="auto"/>
        <w:rPr>
          <w:sz w:val="16"/>
          <w:szCs w:val="16"/>
        </w:rPr>
      </w:pPr>
      <w:r w:rsidRPr="000037B5">
        <w:rPr>
          <w:sz w:val="16"/>
          <w:szCs w:val="16"/>
        </w:rPr>
        <w:t>Referencia (118). Se testa pasivo antes de la escisión.</w:t>
      </w:r>
    </w:p>
    <w:p w14:paraId="7A6A782F" w14:textId="77777777" w:rsidR="000037B5" w:rsidRPr="000037B5" w:rsidRDefault="000037B5" w:rsidP="000037B5">
      <w:pPr>
        <w:spacing w:before="0" w:after="0" w:line="240" w:lineRule="auto"/>
        <w:rPr>
          <w:sz w:val="16"/>
          <w:szCs w:val="16"/>
        </w:rPr>
      </w:pPr>
      <w:r w:rsidRPr="000037B5">
        <w:rPr>
          <w:sz w:val="16"/>
          <w:szCs w:val="16"/>
        </w:rPr>
        <w:lastRenderedPageBreak/>
        <w:t>Referencia (119). Se testa pasivo en diciembre de 2016.</w:t>
      </w:r>
    </w:p>
    <w:p w14:paraId="619194F7" w14:textId="77777777" w:rsidR="000037B5" w:rsidRPr="000037B5" w:rsidRDefault="000037B5" w:rsidP="000037B5">
      <w:pPr>
        <w:spacing w:before="0" w:after="0" w:line="240" w:lineRule="auto"/>
        <w:rPr>
          <w:sz w:val="16"/>
          <w:szCs w:val="16"/>
        </w:rPr>
      </w:pPr>
      <w:r w:rsidRPr="000037B5">
        <w:rPr>
          <w:sz w:val="16"/>
          <w:szCs w:val="16"/>
        </w:rPr>
        <w:t>Referencia (120). Se testa activos después de la escisión.</w:t>
      </w:r>
    </w:p>
    <w:p w14:paraId="290CA52B" w14:textId="77777777" w:rsidR="000037B5" w:rsidRPr="000037B5" w:rsidRDefault="000037B5" w:rsidP="000037B5">
      <w:pPr>
        <w:spacing w:before="0" w:after="0" w:line="240" w:lineRule="auto"/>
        <w:rPr>
          <w:sz w:val="16"/>
          <w:szCs w:val="16"/>
        </w:rPr>
      </w:pPr>
      <w:r w:rsidRPr="000037B5">
        <w:rPr>
          <w:sz w:val="16"/>
          <w:szCs w:val="16"/>
        </w:rPr>
        <w:t>Referencia (121). Se testa activos antes de la escisión.</w:t>
      </w:r>
    </w:p>
    <w:p w14:paraId="65292980" w14:textId="77777777" w:rsidR="000037B5" w:rsidRPr="000037B5" w:rsidRDefault="000037B5" w:rsidP="000037B5">
      <w:pPr>
        <w:spacing w:before="0" w:after="0" w:line="240" w:lineRule="auto"/>
        <w:rPr>
          <w:sz w:val="16"/>
          <w:szCs w:val="16"/>
        </w:rPr>
      </w:pPr>
      <w:r w:rsidRPr="000037B5">
        <w:rPr>
          <w:sz w:val="16"/>
          <w:szCs w:val="16"/>
        </w:rPr>
        <w:t>Referencia (122). Se testa activos en diciembre de 2016.</w:t>
      </w:r>
    </w:p>
    <w:p w14:paraId="772A0D41" w14:textId="77777777" w:rsidR="000037B5" w:rsidRPr="000037B5" w:rsidRDefault="000037B5" w:rsidP="000037B5">
      <w:pPr>
        <w:spacing w:before="0" w:after="0" w:line="240" w:lineRule="auto"/>
        <w:rPr>
          <w:sz w:val="16"/>
          <w:szCs w:val="16"/>
        </w:rPr>
      </w:pPr>
      <w:r w:rsidRPr="000037B5">
        <w:rPr>
          <w:sz w:val="16"/>
          <w:szCs w:val="16"/>
        </w:rPr>
        <w:t>Referencia (123). Se testa número de clientes.</w:t>
      </w:r>
    </w:p>
    <w:p w14:paraId="234B7D30" w14:textId="77777777" w:rsidR="000037B5" w:rsidRPr="000037B5" w:rsidRDefault="000037B5" w:rsidP="000037B5">
      <w:pPr>
        <w:spacing w:before="0" w:after="0" w:line="240" w:lineRule="auto"/>
        <w:rPr>
          <w:sz w:val="16"/>
          <w:szCs w:val="16"/>
        </w:rPr>
      </w:pPr>
      <w:r w:rsidRPr="000037B5">
        <w:rPr>
          <w:sz w:val="16"/>
          <w:szCs w:val="16"/>
        </w:rPr>
        <w:t>Referencia (124). Se testa nombre de persona moral y de organismo federal.</w:t>
      </w:r>
    </w:p>
    <w:p w14:paraId="220E569B" w14:textId="77777777" w:rsidR="000037B5" w:rsidRPr="000037B5" w:rsidRDefault="000037B5" w:rsidP="000037B5">
      <w:pPr>
        <w:spacing w:before="0" w:after="0" w:line="240" w:lineRule="auto"/>
        <w:rPr>
          <w:sz w:val="16"/>
          <w:szCs w:val="16"/>
        </w:rPr>
      </w:pPr>
      <w:r w:rsidRPr="000037B5">
        <w:rPr>
          <w:sz w:val="16"/>
          <w:szCs w:val="16"/>
        </w:rPr>
        <w:t>Referencia (125). Se testa vigencia de contrato.</w:t>
      </w:r>
    </w:p>
    <w:p w14:paraId="1B1D4CAE" w14:textId="77777777" w:rsidR="000037B5" w:rsidRPr="000037B5" w:rsidRDefault="000037B5" w:rsidP="000037B5">
      <w:pPr>
        <w:spacing w:before="0" w:after="0" w:line="240" w:lineRule="auto"/>
        <w:rPr>
          <w:sz w:val="16"/>
          <w:szCs w:val="16"/>
        </w:rPr>
      </w:pPr>
      <w:r w:rsidRPr="000037B5">
        <w:rPr>
          <w:sz w:val="16"/>
          <w:szCs w:val="16"/>
        </w:rPr>
        <w:t>Referencia (126). Se testa periodo de vigencia de contrato.</w:t>
      </w:r>
    </w:p>
    <w:p w14:paraId="4E1376EB" w14:textId="77777777" w:rsidR="000037B5" w:rsidRPr="000037B5" w:rsidRDefault="000037B5" w:rsidP="000037B5">
      <w:pPr>
        <w:spacing w:before="0" w:after="0" w:line="240" w:lineRule="auto"/>
        <w:rPr>
          <w:sz w:val="16"/>
          <w:szCs w:val="16"/>
        </w:rPr>
      </w:pPr>
      <w:r w:rsidRPr="000037B5">
        <w:rPr>
          <w:sz w:val="16"/>
          <w:szCs w:val="16"/>
        </w:rPr>
        <w:t>Referencia (127). Se testa apellidos de familia.</w:t>
      </w:r>
    </w:p>
    <w:p w14:paraId="5BC5E8B1" w14:textId="77777777" w:rsidR="000037B5" w:rsidRPr="000037B5" w:rsidRDefault="000037B5" w:rsidP="000037B5">
      <w:pPr>
        <w:spacing w:before="0" w:after="0" w:line="240" w:lineRule="auto"/>
        <w:rPr>
          <w:sz w:val="16"/>
          <w:szCs w:val="16"/>
        </w:rPr>
      </w:pPr>
      <w:r w:rsidRPr="000037B5">
        <w:rPr>
          <w:sz w:val="16"/>
          <w:szCs w:val="16"/>
        </w:rPr>
        <w:t>Referencia (128). Se testa número de clientes.</w:t>
      </w:r>
    </w:p>
    <w:p w14:paraId="527CA78A" w14:textId="77777777" w:rsidR="000037B5" w:rsidRPr="000037B5" w:rsidRDefault="000037B5" w:rsidP="000037B5">
      <w:pPr>
        <w:spacing w:before="0" w:after="0" w:line="240" w:lineRule="auto"/>
        <w:rPr>
          <w:sz w:val="16"/>
          <w:szCs w:val="16"/>
        </w:rPr>
      </w:pPr>
      <w:r w:rsidRPr="000037B5">
        <w:rPr>
          <w:sz w:val="16"/>
          <w:szCs w:val="16"/>
        </w:rPr>
        <w:t>Referencia (129). Se testa cantidad de acciones de capital fijo.</w:t>
      </w:r>
    </w:p>
    <w:p w14:paraId="13343FCA" w14:textId="77777777" w:rsidR="000037B5" w:rsidRPr="000037B5" w:rsidRDefault="000037B5" w:rsidP="000037B5">
      <w:pPr>
        <w:spacing w:before="0" w:after="0" w:line="240" w:lineRule="auto"/>
        <w:rPr>
          <w:sz w:val="16"/>
          <w:szCs w:val="16"/>
        </w:rPr>
      </w:pPr>
      <w:r w:rsidRPr="000037B5">
        <w:rPr>
          <w:sz w:val="16"/>
          <w:szCs w:val="16"/>
        </w:rPr>
        <w:t>Referencia (130). Se testa cantidad de acciones de capital variable.</w:t>
      </w:r>
    </w:p>
    <w:p w14:paraId="567FD603" w14:textId="77777777" w:rsidR="000037B5" w:rsidRPr="000037B5" w:rsidRDefault="000037B5" w:rsidP="000037B5">
      <w:pPr>
        <w:spacing w:before="0" w:after="0" w:line="240" w:lineRule="auto"/>
        <w:rPr>
          <w:sz w:val="16"/>
          <w:szCs w:val="16"/>
        </w:rPr>
      </w:pPr>
      <w:r w:rsidRPr="000037B5">
        <w:rPr>
          <w:sz w:val="16"/>
          <w:szCs w:val="16"/>
        </w:rPr>
        <w:t>Referencia (131). Se testa cantidad de acciones totales.</w:t>
      </w:r>
    </w:p>
    <w:p w14:paraId="014222AF" w14:textId="77777777" w:rsidR="000037B5" w:rsidRPr="000037B5" w:rsidRDefault="000037B5" w:rsidP="000037B5">
      <w:pPr>
        <w:spacing w:before="0" w:after="0" w:line="240" w:lineRule="auto"/>
        <w:rPr>
          <w:sz w:val="16"/>
          <w:szCs w:val="16"/>
        </w:rPr>
      </w:pPr>
      <w:r w:rsidRPr="000037B5">
        <w:rPr>
          <w:sz w:val="16"/>
          <w:szCs w:val="16"/>
        </w:rPr>
        <w:t>Referencia (132). Se testa participación accionaria.</w:t>
      </w:r>
    </w:p>
    <w:p w14:paraId="61395523" w14:textId="77777777" w:rsidR="000037B5" w:rsidRPr="000037B5" w:rsidRDefault="000037B5" w:rsidP="000037B5">
      <w:pPr>
        <w:spacing w:before="0" w:after="0" w:line="240" w:lineRule="auto"/>
        <w:rPr>
          <w:sz w:val="16"/>
          <w:szCs w:val="16"/>
        </w:rPr>
      </w:pPr>
      <w:r w:rsidRPr="000037B5">
        <w:rPr>
          <w:sz w:val="16"/>
          <w:szCs w:val="16"/>
        </w:rPr>
        <w:t>Referencia (133). Se testa cantidad de acciones de capital variable.</w:t>
      </w:r>
    </w:p>
    <w:p w14:paraId="6F83F714" w14:textId="77777777" w:rsidR="000037B5" w:rsidRPr="000037B5" w:rsidRDefault="000037B5" w:rsidP="000037B5">
      <w:pPr>
        <w:spacing w:before="0" w:after="0" w:line="240" w:lineRule="auto"/>
        <w:rPr>
          <w:sz w:val="16"/>
          <w:szCs w:val="16"/>
        </w:rPr>
      </w:pPr>
      <w:r w:rsidRPr="000037B5">
        <w:rPr>
          <w:sz w:val="16"/>
          <w:szCs w:val="16"/>
        </w:rPr>
        <w:t>Referencia (134). Se testa cantidad de acciones totales.</w:t>
      </w:r>
    </w:p>
    <w:p w14:paraId="34AABDFE" w14:textId="77777777" w:rsidR="000037B5" w:rsidRPr="000037B5" w:rsidRDefault="000037B5" w:rsidP="000037B5">
      <w:pPr>
        <w:spacing w:before="0" w:after="0" w:line="240" w:lineRule="auto"/>
        <w:rPr>
          <w:sz w:val="16"/>
          <w:szCs w:val="16"/>
        </w:rPr>
      </w:pPr>
      <w:r w:rsidRPr="000037B5">
        <w:rPr>
          <w:sz w:val="16"/>
          <w:szCs w:val="16"/>
        </w:rPr>
        <w:t>Referencia (135). Se testa participación accionaria.</w:t>
      </w:r>
    </w:p>
    <w:p w14:paraId="15477957" w14:textId="77777777" w:rsidR="000037B5" w:rsidRPr="000037B5" w:rsidRDefault="000037B5" w:rsidP="000037B5">
      <w:pPr>
        <w:spacing w:before="0" w:after="0" w:line="240" w:lineRule="auto"/>
        <w:rPr>
          <w:sz w:val="16"/>
          <w:szCs w:val="16"/>
        </w:rPr>
      </w:pPr>
      <w:r w:rsidRPr="000037B5">
        <w:rPr>
          <w:sz w:val="16"/>
          <w:szCs w:val="16"/>
        </w:rPr>
        <w:t>Referencia (136). Se testa cantidad de acciones de capital fijo.</w:t>
      </w:r>
    </w:p>
    <w:p w14:paraId="7206BDB1" w14:textId="77777777" w:rsidR="000037B5" w:rsidRPr="000037B5" w:rsidRDefault="000037B5" w:rsidP="000037B5">
      <w:pPr>
        <w:spacing w:before="0" w:after="0" w:line="240" w:lineRule="auto"/>
        <w:rPr>
          <w:sz w:val="16"/>
          <w:szCs w:val="16"/>
        </w:rPr>
      </w:pPr>
      <w:r w:rsidRPr="000037B5">
        <w:rPr>
          <w:sz w:val="16"/>
          <w:szCs w:val="16"/>
        </w:rPr>
        <w:t>Referencia (137). Se testa cantidad de acciones de capital variable.</w:t>
      </w:r>
    </w:p>
    <w:p w14:paraId="07A82D42" w14:textId="77777777" w:rsidR="000037B5" w:rsidRPr="000037B5" w:rsidRDefault="000037B5" w:rsidP="000037B5">
      <w:pPr>
        <w:spacing w:before="0" w:after="0" w:line="240" w:lineRule="auto"/>
        <w:rPr>
          <w:sz w:val="16"/>
          <w:szCs w:val="16"/>
        </w:rPr>
      </w:pPr>
      <w:r w:rsidRPr="000037B5">
        <w:rPr>
          <w:sz w:val="16"/>
          <w:szCs w:val="16"/>
        </w:rPr>
        <w:t>Referencia (138). Se testa cantidad de acciones totales.</w:t>
      </w:r>
    </w:p>
    <w:p w14:paraId="59DCFD7D" w14:textId="77777777" w:rsidR="000037B5" w:rsidRPr="000037B5" w:rsidRDefault="000037B5" w:rsidP="000037B5">
      <w:pPr>
        <w:spacing w:before="0" w:after="0" w:line="240" w:lineRule="auto"/>
        <w:rPr>
          <w:sz w:val="16"/>
          <w:szCs w:val="16"/>
        </w:rPr>
      </w:pPr>
      <w:r w:rsidRPr="000037B5">
        <w:rPr>
          <w:sz w:val="16"/>
          <w:szCs w:val="16"/>
        </w:rPr>
        <w:t>Referencia (139). Se testa participación accionaria.</w:t>
      </w:r>
    </w:p>
    <w:p w14:paraId="0DF58D50" w14:textId="77777777" w:rsidR="000037B5" w:rsidRPr="000037B5" w:rsidRDefault="000037B5" w:rsidP="000037B5">
      <w:pPr>
        <w:spacing w:before="0" w:after="0" w:line="240" w:lineRule="auto"/>
        <w:rPr>
          <w:sz w:val="16"/>
          <w:szCs w:val="16"/>
        </w:rPr>
      </w:pPr>
      <w:r w:rsidRPr="000037B5">
        <w:rPr>
          <w:sz w:val="16"/>
          <w:szCs w:val="16"/>
        </w:rPr>
        <w:t>Referencia (140). Se testa cantidad de acciones adquiridas.</w:t>
      </w:r>
    </w:p>
    <w:p w14:paraId="203AF4EE" w14:textId="77777777" w:rsidR="000037B5" w:rsidRPr="000037B5" w:rsidRDefault="000037B5" w:rsidP="000037B5">
      <w:pPr>
        <w:spacing w:before="0" w:after="0" w:line="240" w:lineRule="auto"/>
        <w:rPr>
          <w:sz w:val="16"/>
          <w:szCs w:val="16"/>
        </w:rPr>
      </w:pPr>
      <w:r w:rsidRPr="000037B5">
        <w:rPr>
          <w:sz w:val="16"/>
          <w:szCs w:val="16"/>
        </w:rPr>
        <w:t>Referencia (141). Se testa cantidad de acciones de capital fijo.</w:t>
      </w:r>
    </w:p>
    <w:p w14:paraId="10D31126" w14:textId="77777777" w:rsidR="000037B5" w:rsidRPr="000037B5" w:rsidRDefault="000037B5" w:rsidP="000037B5">
      <w:pPr>
        <w:spacing w:before="0" w:after="0" w:line="240" w:lineRule="auto"/>
        <w:rPr>
          <w:sz w:val="16"/>
          <w:szCs w:val="16"/>
        </w:rPr>
      </w:pPr>
      <w:r w:rsidRPr="000037B5">
        <w:rPr>
          <w:sz w:val="16"/>
          <w:szCs w:val="16"/>
        </w:rPr>
        <w:t>Referencia (142). Se testa cantidad de acciones de capital variable.</w:t>
      </w:r>
    </w:p>
    <w:p w14:paraId="0C45AB9C" w14:textId="77777777" w:rsidR="000037B5" w:rsidRPr="000037B5" w:rsidRDefault="000037B5" w:rsidP="000037B5">
      <w:pPr>
        <w:spacing w:before="0" w:after="0" w:line="240" w:lineRule="auto"/>
        <w:rPr>
          <w:sz w:val="16"/>
          <w:szCs w:val="16"/>
        </w:rPr>
      </w:pPr>
      <w:r w:rsidRPr="000037B5">
        <w:rPr>
          <w:sz w:val="16"/>
          <w:szCs w:val="16"/>
        </w:rPr>
        <w:t>Referencia (143). Se testa cantidad de acciones totales.</w:t>
      </w:r>
    </w:p>
    <w:p w14:paraId="67D53A1D" w14:textId="77777777" w:rsidR="000037B5" w:rsidRPr="000037B5" w:rsidRDefault="000037B5" w:rsidP="000037B5">
      <w:pPr>
        <w:spacing w:before="0" w:after="0" w:line="240" w:lineRule="auto"/>
        <w:rPr>
          <w:sz w:val="16"/>
          <w:szCs w:val="16"/>
        </w:rPr>
      </w:pPr>
      <w:r w:rsidRPr="000037B5">
        <w:rPr>
          <w:sz w:val="16"/>
          <w:szCs w:val="16"/>
        </w:rPr>
        <w:t>Referencia (144). Se testa participación accionaria.</w:t>
      </w:r>
    </w:p>
    <w:p w14:paraId="7A235E72" w14:textId="77777777" w:rsidR="000037B5" w:rsidRPr="000037B5" w:rsidRDefault="000037B5" w:rsidP="000037B5">
      <w:pPr>
        <w:spacing w:before="0" w:after="0" w:line="240" w:lineRule="auto"/>
        <w:rPr>
          <w:sz w:val="16"/>
          <w:szCs w:val="16"/>
        </w:rPr>
      </w:pPr>
      <w:r w:rsidRPr="000037B5">
        <w:rPr>
          <w:sz w:val="16"/>
          <w:szCs w:val="16"/>
        </w:rPr>
        <w:t>Referencia (145). Se testa cantidad de acciones de capital variable.</w:t>
      </w:r>
    </w:p>
    <w:p w14:paraId="39EB3B8B" w14:textId="77777777" w:rsidR="000037B5" w:rsidRPr="000037B5" w:rsidRDefault="000037B5" w:rsidP="000037B5">
      <w:pPr>
        <w:spacing w:before="0" w:after="0" w:line="240" w:lineRule="auto"/>
        <w:rPr>
          <w:sz w:val="16"/>
          <w:szCs w:val="16"/>
        </w:rPr>
      </w:pPr>
      <w:r w:rsidRPr="000037B5">
        <w:rPr>
          <w:sz w:val="16"/>
          <w:szCs w:val="16"/>
        </w:rPr>
        <w:t>Referencia (146). Se testa cantidad de acciones totales.</w:t>
      </w:r>
    </w:p>
    <w:p w14:paraId="10580E5A" w14:textId="77777777" w:rsidR="000037B5" w:rsidRPr="000037B5" w:rsidRDefault="000037B5" w:rsidP="000037B5">
      <w:pPr>
        <w:spacing w:before="0" w:after="0" w:line="240" w:lineRule="auto"/>
        <w:rPr>
          <w:sz w:val="16"/>
          <w:szCs w:val="16"/>
        </w:rPr>
      </w:pPr>
      <w:r w:rsidRPr="000037B5">
        <w:rPr>
          <w:sz w:val="16"/>
          <w:szCs w:val="16"/>
        </w:rPr>
        <w:t>Referencia (147). Se testa participación accionaria.</w:t>
      </w:r>
    </w:p>
    <w:p w14:paraId="1D2B57C8" w14:textId="77777777" w:rsidR="000037B5" w:rsidRPr="000037B5" w:rsidRDefault="000037B5" w:rsidP="000037B5">
      <w:pPr>
        <w:spacing w:before="0" w:after="0" w:line="240" w:lineRule="auto"/>
        <w:rPr>
          <w:sz w:val="16"/>
          <w:szCs w:val="16"/>
        </w:rPr>
      </w:pPr>
      <w:r w:rsidRPr="000037B5">
        <w:rPr>
          <w:sz w:val="16"/>
          <w:szCs w:val="16"/>
        </w:rPr>
        <w:t>Referencia (148). Se testa cantidad de acciones de capital fijo.</w:t>
      </w:r>
    </w:p>
    <w:p w14:paraId="22D35944" w14:textId="77777777" w:rsidR="000037B5" w:rsidRPr="000037B5" w:rsidRDefault="000037B5" w:rsidP="000037B5">
      <w:pPr>
        <w:spacing w:before="0" w:after="0" w:line="240" w:lineRule="auto"/>
        <w:rPr>
          <w:sz w:val="16"/>
          <w:szCs w:val="16"/>
        </w:rPr>
      </w:pPr>
      <w:r w:rsidRPr="000037B5">
        <w:rPr>
          <w:sz w:val="16"/>
          <w:szCs w:val="16"/>
        </w:rPr>
        <w:t>Referencia (149). Se testa cantidad de acciones de capital variable.</w:t>
      </w:r>
    </w:p>
    <w:p w14:paraId="211455BB" w14:textId="77777777" w:rsidR="000037B5" w:rsidRPr="000037B5" w:rsidRDefault="000037B5" w:rsidP="000037B5">
      <w:pPr>
        <w:spacing w:before="0" w:after="0" w:line="240" w:lineRule="auto"/>
        <w:rPr>
          <w:sz w:val="16"/>
          <w:szCs w:val="16"/>
        </w:rPr>
      </w:pPr>
      <w:r w:rsidRPr="000037B5">
        <w:rPr>
          <w:sz w:val="16"/>
          <w:szCs w:val="16"/>
        </w:rPr>
        <w:t>Referencia (150). Se testa cantidad de acciones totales.</w:t>
      </w:r>
    </w:p>
    <w:p w14:paraId="24299A1D" w14:textId="77777777" w:rsidR="000037B5" w:rsidRPr="000037B5" w:rsidRDefault="000037B5" w:rsidP="000037B5">
      <w:pPr>
        <w:spacing w:before="0" w:after="0" w:line="240" w:lineRule="auto"/>
        <w:rPr>
          <w:sz w:val="16"/>
          <w:szCs w:val="16"/>
        </w:rPr>
      </w:pPr>
      <w:r w:rsidRPr="000037B5">
        <w:rPr>
          <w:sz w:val="16"/>
          <w:szCs w:val="16"/>
        </w:rPr>
        <w:t>Referencia (151). Se testa participación accionaria.</w:t>
      </w:r>
    </w:p>
    <w:p w14:paraId="6B0A0055" w14:textId="77777777" w:rsidR="000037B5" w:rsidRPr="000037B5" w:rsidRDefault="000037B5" w:rsidP="000037B5">
      <w:pPr>
        <w:spacing w:before="0" w:after="0" w:line="240" w:lineRule="auto"/>
        <w:rPr>
          <w:sz w:val="16"/>
          <w:szCs w:val="16"/>
        </w:rPr>
      </w:pPr>
      <w:r w:rsidRPr="000037B5">
        <w:rPr>
          <w:sz w:val="16"/>
          <w:szCs w:val="16"/>
        </w:rPr>
        <w:t>Referencia (152). Se testa cantidad monetaria.</w:t>
      </w:r>
    </w:p>
    <w:p w14:paraId="79BBA6C0" w14:textId="77777777" w:rsidR="000037B5" w:rsidRPr="000037B5" w:rsidRDefault="000037B5" w:rsidP="000037B5">
      <w:pPr>
        <w:spacing w:before="0" w:after="0" w:line="240" w:lineRule="auto"/>
        <w:rPr>
          <w:sz w:val="16"/>
          <w:szCs w:val="16"/>
        </w:rPr>
      </w:pPr>
      <w:r w:rsidRPr="000037B5">
        <w:rPr>
          <w:sz w:val="16"/>
          <w:szCs w:val="16"/>
        </w:rPr>
        <w:t>Referencia (153). Se testa cantidad monetaria.</w:t>
      </w:r>
    </w:p>
    <w:p w14:paraId="2EF906EB" w14:textId="77777777" w:rsidR="000037B5" w:rsidRPr="000037B5" w:rsidRDefault="000037B5" w:rsidP="000037B5">
      <w:pPr>
        <w:spacing w:before="0" w:after="0" w:line="240" w:lineRule="auto"/>
        <w:rPr>
          <w:sz w:val="16"/>
          <w:szCs w:val="16"/>
        </w:rPr>
      </w:pPr>
      <w:r w:rsidRPr="000037B5">
        <w:rPr>
          <w:sz w:val="16"/>
          <w:szCs w:val="16"/>
        </w:rPr>
        <w:t>Referencia (154). Se testa cantidad monetaria.</w:t>
      </w:r>
    </w:p>
    <w:p w14:paraId="228B1FE4" w14:textId="77777777" w:rsidR="000037B5" w:rsidRPr="000037B5" w:rsidRDefault="000037B5" w:rsidP="000037B5">
      <w:pPr>
        <w:spacing w:before="0" w:after="0" w:line="240" w:lineRule="auto"/>
        <w:rPr>
          <w:sz w:val="16"/>
          <w:szCs w:val="16"/>
        </w:rPr>
      </w:pPr>
      <w:r w:rsidRPr="000037B5">
        <w:rPr>
          <w:sz w:val="16"/>
          <w:szCs w:val="16"/>
        </w:rPr>
        <w:t>Referencia (155). Se testa cantidad monetaria.</w:t>
      </w:r>
    </w:p>
    <w:p w14:paraId="4E534259" w14:textId="77777777" w:rsidR="000037B5" w:rsidRPr="000037B5" w:rsidRDefault="000037B5" w:rsidP="000037B5">
      <w:pPr>
        <w:spacing w:before="0" w:after="0" w:line="240" w:lineRule="auto"/>
        <w:rPr>
          <w:sz w:val="16"/>
          <w:szCs w:val="16"/>
        </w:rPr>
      </w:pPr>
      <w:r w:rsidRPr="000037B5">
        <w:rPr>
          <w:sz w:val="16"/>
          <w:szCs w:val="16"/>
        </w:rPr>
        <w:t>Referencia (156). Se testa referencia a usuarios.</w:t>
      </w:r>
    </w:p>
    <w:p w14:paraId="6B2525F9" w14:textId="77777777" w:rsidR="000037B5" w:rsidRPr="000037B5" w:rsidRDefault="000037B5" w:rsidP="000037B5">
      <w:pPr>
        <w:spacing w:before="0" w:after="0" w:line="240" w:lineRule="auto"/>
        <w:rPr>
          <w:sz w:val="16"/>
          <w:szCs w:val="16"/>
        </w:rPr>
      </w:pPr>
      <w:r w:rsidRPr="000037B5">
        <w:rPr>
          <w:sz w:val="16"/>
          <w:szCs w:val="16"/>
        </w:rPr>
        <w:t>Referencia (157). Se testa número de usuarios.</w:t>
      </w:r>
    </w:p>
    <w:p w14:paraId="0B2EB2E7" w14:textId="77777777" w:rsidR="000037B5" w:rsidRPr="000037B5" w:rsidRDefault="000037B5" w:rsidP="000037B5">
      <w:pPr>
        <w:spacing w:before="0" w:after="0" w:line="240" w:lineRule="auto"/>
        <w:rPr>
          <w:sz w:val="16"/>
          <w:szCs w:val="16"/>
        </w:rPr>
      </w:pPr>
      <w:r w:rsidRPr="000037B5">
        <w:rPr>
          <w:sz w:val="16"/>
          <w:szCs w:val="16"/>
        </w:rPr>
        <w:t>Referencia (158). Se testa referencia a usuarios.</w:t>
      </w:r>
    </w:p>
    <w:p w14:paraId="1991FBB2" w14:textId="77777777" w:rsidR="000037B5" w:rsidRPr="000037B5" w:rsidRDefault="000037B5" w:rsidP="000037B5">
      <w:pPr>
        <w:spacing w:before="0" w:after="0" w:line="240" w:lineRule="auto"/>
        <w:rPr>
          <w:sz w:val="16"/>
          <w:szCs w:val="16"/>
        </w:rPr>
      </w:pPr>
      <w:r w:rsidRPr="000037B5">
        <w:rPr>
          <w:sz w:val="16"/>
          <w:szCs w:val="16"/>
        </w:rPr>
        <w:t>Referencia (159). Se testa número de usuarios.</w:t>
      </w:r>
    </w:p>
    <w:p w14:paraId="1071A2D9" w14:textId="77777777" w:rsidR="000037B5" w:rsidRPr="000037B5" w:rsidRDefault="000037B5" w:rsidP="000037B5">
      <w:pPr>
        <w:spacing w:before="0" w:after="0" w:line="240" w:lineRule="auto"/>
        <w:rPr>
          <w:sz w:val="16"/>
          <w:szCs w:val="16"/>
        </w:rPr>
      </w:pPr>
      <w:r w:rsidRPr="000037B5">
        <w:rPr>
          <w:sz w:val="16"/>
          <w:szCs w:val="16"/>
        </w:rPr>
        <w:t>Referencia (160). Se testa información de carácter comercial.</w:t>
      </w:r>
    </w:p>
    <w:p w14:paraId="728127BC" w14:textId="77777777" w:rsidR="000037B5" w:rsidRPr="000037B5" w:rsidRDefault="000037B5" w:rsidP="000037B5">
      <w:pPr>
        <w:spacing w:before="0" w:after="0" w:line="240" w:lineRule="auto"/>
        <w:rPr>
          <w:sz w:val="16"/>
          <w:szCs w:val="16"/>
        </w:rPr>
      </w:pPr>
      <w:r w:rsidRPr="000037B5">
        <w:rPr>
          <w:sz w:val="16"/>
          <w:szCs w:val="16"/>
        </w:rPr>
        <w:t>Referencia (161). Se testa información de carácter comercial.</w:t>
      </w:r>
    </w:p>
    <w:p w14:paraId="5FDE4D62" w14:textId="77777777" w:rsidR="000037B5" w:rsidRPr="000037B5" w:rsidRDefault="000037B5" w:rsidP="000037B5">
      <w:pPr>
        <w:spacing w:before="0" w:after="0" w:line="240" w:lineRule="auto"/>
        <w:rPr>
          <w:sz w:val="16"/>
          <w:szCs w:val="16"/>
        </w:rPr>
      </w:pPr>
      <w:r w:rsidRPr="000037B5">
        <w:rPr>
          <w:sz w:val="16"/>
          <w:szCs w:val="16"/>
        </w:rPr>
        <w:t xml:space="preserve">Referencia (162). </w:t>
      </w:r>
    </w:p>
    <w:p w14:paraId="6E4B8CA1" w14:textId="77777777" w:rsidR="000037B5" w:rsidRPr="000037B5" w:rsidRDefault="000037B5" w:rsidP="000037B5">
      <w:pPr>
        <w:spacing w:before="0" w:after="0" w:line="240" w:lineRule="auto"/>
        <w:rPr>
          <w:sz w:val="16"/>
          <w:szCs w:val="16"/>
        </w:rPr>
      </w:pPr>
      <w:r w:rsidRPr="000037B5">
        <w:rPr>
          <w:sz w:val="16"/>
          <w:szCs w:val="16"/>
        </w:rPr>
        <w:t>Referencia (163). Se testa información de carácter jurídico.</w:t>
      </w:r>
    </w:p>
    <w:p w14:paraId="635EE922" w14:textId="77777777" w:rsidR="000037B5" w:rsidRPr="000037B5" w:rsidRDefault="000037B5" w:rsidP="000037B5">
      <w:pPr>
        <w:spacing w:before="0" w:after="0" w:line="240" w:lineRule="auto"/>
        <w:rPr>
          <w:sz w:val="16"/>
          <w:szCs w:val="16"/>
        </w:rPr>
      </w:pPr>
      <w:r w:rsidRPr="000037B5">
        <w:rPr>
          <w:sz w:val="16"/>
          <w:szCs w:val="16"/>
        </w:rPr>
        <w:t>Referencia (164). Se testa cantidad de acciones de capital variable.</w:t>
      </w:r>
    </w:p>
    <w:p w14:paraId="4B22A5E0" w14:textId="77777777" w:rsidR="000037B5" w:rsidRPr="000037B5" w:rsidRDefault="000037B5" w:rsidP="000037B5">
      <w:pPr>
        <w:spacing w:before="0" w:after="0" w:line="240" w:lineRule="auto"/>
        <w:rPr>
          <w:sz w:val="16"/>
          <w:szCs w:val="16"/>
        </w:rPr>
      </w:pPr>
      <w:r w:rsidRPr="000037B5">
        <w:rPr>
          <w:sz w:val="16"/>
          <w:szCs w:val="16"/>
        </w:rPr>
        <w:t>Referencia (165). Se testa cantidad de acciones totales.</w:t>
      </w:r>
    </w:p>
    <w:p w14:paraId="0B426B21" w14:textId="77777777" w:rsidR="000037B5" w:rsidRPr="000037B5" w:rsidRDefault="000037B5" w:rsidP="000037B5">
      <w:pPr>
        <w:spacing w:before="0" w:after="0" w:line="240" w:lineRule="auto"/>
        <w:rPr>
          <w:sz w:val="16"/>
          <w:szCs w:val="16"/>
        </w:rPr>
      </w:pPr>
      <w:r w:rsidRPr="000037B5">
        <w:rPr>
          <w:sz w:val="16"/>
          <w:szCs w:val="16"/>
        </w:rPr>
        <w:t>Referencia (166). Se testa participación accionaria.</w:t>
      </w:r>
    </w:p>
    <w:p w14:paraId="0E1481EB" w14:textId="77777777" w:rsidR="000037B5" w:rsidRPr="000037B5" w:rsidRDefault="000037B5" w:rsidP="000037B5">
      <w:pPr>
        <w:spacing w:before="0" w:after="0" w:line="240" w:lineRule="auto"/>
        <w:rPr>
          <w:sz w:val="16"/>
          <w:szCs w:val="16"/>
        </w:rPr>
      </w:pPr>
      <w:r w:rsidRPr="000037B5">
        <w:rPr>
          <w:sz w:val="16"/>
          <w:szCs w:val="16"/>
        </w:rPr>
        <w:t>Referencia (167). Se testa cantidad de acciones de capital fijo.</w:t>
      </w:r>
    </w:p>
    <w:p w14:paraId="43C8DF4D" w14:textId="77777777" w:rsidR="000037B5" w:rsidRPr="000037B5" w:rsidRDefault="000037B5" w:rsidP="000037B5">
      <w:pPr>
        <w:spacing w:before="0" w:after="0" w:line="240" w:lineRule="auto"/>
        <w:rPr>
          <w:sz w:val="16"/>
          <w:szCs w:val="16"/>
        </w:rPr>
      </w:pPr>
      <w:r w:rsidRPr="000037B5">
        <w:rPr>
          <w:sz w:val="16"/>
          <w:szCs w:val="16"/>
        </w:rPr>
        <w:t>Referencia (168). Se testa cantidad de acciones totales.</w:t>
      </w:r>
    </w:p>
    <w:p w14:paraId="0C2B5907" w14:textId="77777777" w:rsidR="000037B5" w:rsidRPr="000037B5" w:rsidRDefault="000037B5" w:rsidP="000037B5">
      <w:pPr>
        <w:spacing w:before="0" w:after="0" w:line="240" w:lineRule="auto"/>
        <w:rPr>
          <w:sz w:val="16"/>
          <w:szCs w:val="16"/>
        </w:rPr>
      </w:pPr>
      <w:r w:rsidRPr="000037B5">
        <w:rPr>
          <w:sz w:val="16"/>
          <w:szCs w:val="16"/>
        </w:rPr>
        <w:t>Referencia (169). Se testa participación accionaria.</w:t>
      </w:r>
    </w:p>
    <w:p w14:paraId="76032307" w14:textId="77777777" w:rsidR="000037B5" w:rsidRPr="000037B5" w:rsidRDefault="000037B5" w:rsidP="000037B5">
      <w:pPr>
        <w:spacing w:before="0" w:after="0" w:line="240" w:lineRule="auto"/>
        <w:rPr>
          <w:sz w:val="16"/>
          <w:szCs w:val="16"/>
        </w:rPr>
      </w:pPr>
      <w:r w:rsidRPr="000037B5">
        <w:rPr>
          <w:sz w:val="16"/>
          <w:szCs w:val="16"/>
        </w:rPr>
        <w:t>Referencia (170). Se testa cantidad de acciones de capital fijo.</w:t>
      </w:r>
    </w:p>
    <w:p w14:paraId="7163BA4D" w14:textId="77777777" w:rsidR="000037B5" w:rsidRPr="000037B5" w:rsidRDefault="000037B5" w:rsidP="000037B5">
      <w:pPr>
        <w:spacing w:before="0" w:after="0" w:line="240" w:lineRule="auto"/>
        <w:rPr>
          <w:sz w:val="16"/>
          <w:szCs w:val="16"/>
        </w:rPr>
      </w:pPr>
      <w:r w:rsidRPr="000037B5">
        <w:rPr>
          <w:sz w:val="16"/>
          <w:szCs w:val="16"/>
        </w:rPr>
        <w:t>Referencia (171). Se testa cantidad de acciones totales.</w:t>
      </w:r>
    </w:p>
    <w:p w14:paraId="19EF186E" w14:textId="77777777" w:rsidR="000037B5" w:rsidRPr="000037B5" w:rsidRDefault="000037B5" w:rsidP="000037B5">
      <w:pPr>
        <w:spacing w:before="0" w:after="0" w:line="240" w:lineRule="auto"/>
        <w:rPr>
          <w:sz w:val="16"/>
          <w:szCs w:val="16"/>
        </w:rPr>
      </w:pPr>
      <w:r w:rsidRPr="000037B5">
        <w:rPr>
          <w:sz w:val="16"/>
          <w:szCs w:val="16"/>
        </w:rPr>
        <w:t>Referencia (172). Se testa participación accionaria.</w:t>
      </w:r>
    </w:p>
    <w:p w14:paraId="04890291" w14:textId="77777777" w:rsidR="000037B5" w:rsidRPr="000037B5" w:rsidRDefault="000037B5" w:rsidP="000037B5">
      <w:pPr>
        <w:spacing w:before="0" w:after="0" w:line="240" w:lineRule="auto"/>
        <w:rPr>
          <w:sz w:val="16"/>
          <w:szCs w:val="16"/>
        </w:rPr>
      </w:pPr>
      <w:r w:rsidRPr="000037B5">
        <w:rPr>
          <w:sz w:val="16"/>
          <w:szCs w:val="16"/>
        </w:rPr>
        <w:t>Referencia (173). Se testa cantidad de acciones de capital fijo.</w:t>
      </w:r>
    </w:p>
    <w:p w14:paraId="1734168C" w14:textId="77777777" w:rsidR="000037B5" w:rsidRPr="000037B5" w:rsidRDefault="000037B5" w:rsidP="000037B5">
      <w:pPr>
        <w:spacing w:before="0" w:after="0" w:line="240" w:lineRule="auto"/>
        <w:rPr>
          <w:sz w:val="16"/>
          <w:szCs w:val="16"/>
        </w:rPr>
      </w:pPr>
      <w:r w:rsidRPr="000037B5">
        <w:rPr>
          <w:sz w:val="16"/>
          <w:szCs w:val="16"/>
        </w:rPr>
        <w:t>Referencia (174). Se testa cantidad de acciones de capital variable.</w:t>
      </w:r>
    </w:p>
    <w:p w14:paraId="4451B03B" w14:textId="77777777" w:rsidR="000037B5" w:rsidRPr="000037B5" w:rsidRDefault="000037B5" w:rsidP="000037B5">
      <w:pPr>
        <w:spacing w:before="0" w:after="0" w:line="240" w:lineRule="auto"/>
        <w:rPr>
          <w:sz w:val="16"/>
          <w:szCs w:val="16"/>
        </w:rPr>
      </w:pPr>
      <w:r w:rsidRPr="000037B5">
        <w:rPr>
          <w:sz w:val="16"/>
          <w:szCs w:val="16"/>
        </w:rPr>
        <w:t>Referencia (175). Se testa cantidad de acciones totales.</w:t>
      </w:r>
    </w:p>
    <w:p w14:paraId="0CE2AA31" w14:textId="77777777" w:rsidR="000037B5" w:rsidRPr="000037B5" w:rsidRDefault="000037B5" w:rsidP="000037B5">
      <w:pPr>
        <w:spacing w:before="0" w:after="0" w:line="240" w:lineRule="auto"/>
        <w:rPr>
          <w:sz w:val="16"/>
          <w:szCs w:val="16"/>
        </w:rPr>
      </w:pPr>
      <w:r w:rsidRPr="000037B5">
        <w:rPr>
          <w:sz w:val="16"/>
          <w:szCs w:val="16"/>
        </w:rPr>
        <w:t>Referencia (176). Se testa participación accionaria.</w:t>
      </w:r>
    </w:p>
    <w:p w14:paraId="6EA7DCB6" w14:textId="77777777" w:rsidR="000037B5" w:rsidRPr="000037B5" w:rsidRDefault="000037B5" w:rsidP="000037B5">
      <w:pPr>
        <w:spacing w:before="0" w:after="0" w:line="240" w:lineRule="auto"/>
        <w:rPr>
          <w:sz w:val="16"/>
          <w:szCs w:val="16"/>
        </w:rPr>
      </w:pPr>
      <w:r w:rsidRPr="000037B5">
        <w:rPr>
          <w:sz w:val="16"/>
          <w:szCs w:val="16"/>
        </w:rPr>
        <w:t>Referencia (177). Se testa cantidad de acciones.</w:t>
      </w:r>
    </w:p>
    <w:p w14:paraId="38CB13D3" w14:textId="77777777" w:rsidR="000037B5" w:rsidRPr="000037B5" w:rsidRDefault="000037B5" w:rsidP="000037B5">
      <w:pPr>
        <w:spacing w:before="0" w:after="0" w:line="240" w:lineRule="auto"/>
        <w:rPr>
          <w:sz w:val="16"/>
          <w:szCs w:val="16"/>
        </w:rPr>
      </w:pPr>
      <w:r w:rsidRPr="000037B5">
        <w:rPr>
          <w:sz w:val="16"/>
          <w:szCs w:val="16"/>
        </w:rPr>
        <w:t>Referencia (178). Se testa cantidad de acciones de capital variable.</w:t>
      </w:r>
    </w:p>
    <w:p w14:paraId="61C45A18" w14:textId="77777777" w:rsidR="000037B5" w:rsidRPr="000037B5" w:rsidRDefault="000037B5" w:rsidP="000037B5">
      <w:pPr>
        <w:spacing w:before="0" w:after="0" w:line="240" w:lineRule="auto"/>
        <w:rPr>
          <w:sz w:val="16"/>
          <w:szCs w:val="16"/>
        </w:rPr>
      </w:pPr>
      <w:r w:rsidRPr="000037B5">
        <w:rPr>
          <w:sz w:val="16"/>
          <w:szCs w:val="16"/>
        </w:rPr>
        <w:t>Referencia (179). Se testa cantidad de acciones totales.</w:t>
      </w:r>
    </w:p>
    <w:p w14:paraId="44C13FC2" w14:textId="77777777" w:rsidR="000037B5" w:rsidRPr="000037B5" w:rsidRDefault="000037B5" w:rsidP="000037B5">
      <w:pPr>
        <w:spacing w:before="0" w:after="0" w:line="240" w:lineRule="auto"/>
        <w:rPr>
          <w:sz w:val="16"/>
          <w:szCs w:val="16"/>
        </w:rPr>
      </w:pPr>
      <w:r w:rsidRPr="000037B5">
        <w:rPr>
          <w:sz w:val="16"/>
          <w:szCs w:val="16"/>
        </w:rPr>
        <w:t>Referencia (180). Se testa participación accionaria.</w:t>
      </w:r>
    </w:p>
    <w:p w14:paraId="44B7C4AD" w14:textId="77777777" w:rsidR="000037B5" w:rsidRPr="000037B5" w:rsidRDefault="000037B5" w:rsidP="000037B5">
      <w:pPr>
        <w:spacing w:before="0" w:after="0" w:line="240" w:lineRule="auto"/>
        <w:rPr>
          <w:sz w:val="16"/>
          <w:szCs w:val="16"/>
        </w:rPr>
      </w:pPr>
      <w:r w:rsidRPr="000037B5">
        <w:rPr>
          <w:sz w:val="16"/>
          <w:szCs w:val="16"/>
        </w:rPr>
        <w:t>Referencia (181). Se testa cantidad de acciones de capital fijo.</w:t>
      </w:r>
    </w:p>
    <w:p w14:paraId="5900FA76" w14:textId="77777777" w:rsidR="000037B5" w:rsidRPr="000037B5" w:rsidRDefault="000037B5" w:rsidP="000037B5">
      <w:pPr>
        <w:spacing w:before="0" w:after="0" w:line="240" w:lineRule="auto"/>
        <w:rPr>
          <w:sz w:val="16"/>
          <w:szCs w:val="16"/>
        </w:rPr>
      </w:pPr>
      <w:r w:rsidRPr="000037B5">
        <w:rPr>
          <w:sz w:val="16"/>
          <w:szCs w:val="16"/>
        </w:rPr>
        <w:t>Referencia (182). Se testa cantidad de acciones totales.</w:t>
      </w:r>
    </w:p>
    <w:p w14:paraId="15956400" w14:textId="77777777" w:rsidR="000037B5" w:rsidRPr="000037B5" w:rsidRDefault="000037B5" w:rsidP="000037B5">
      <w:pPr>
        <w:spacing w:before="0" w:after="0" w:line="240" w:lineRule="auto"/>
        <w:rPr>
          <w:sz w:val="16"/>
          <w:szCs w:val="16"/>
        </w:rPr>
      </w:pPr>
      <w:r w:rsidRPr="000037B5">
        <w:rPr>
          <w:sz w:val="16"/>
          <w:szCs w:val="16"/>
        </w:rPr>
        <w:t>Referencia (183). Se testa participación accionaria.</w:t>
      </w:r>
    </w:p>
    <w:p w14:paraId="1F2A1364" w14:textId="77777777" w:rsidR="000037B5" w:rsidRPr="000037B5" w:rsidRDefault="000037B5" w:rsidP="000037B5">
      <w:pPr>
        <w:spacing w:before="0" w:after="0" w:line="240" w:lineRule="auto"/>
        <w:rPr>
          <w:sz w:val="16"/>
          <w:szCs w:val="16"/>
        </w:rPr>
      </w:pPr>
      <w:r w:rsidRPr="000037B5">
        <w:rPr>
          <w:sz w:val="16"/>
          <w:szCs w:val="16"/>
        </w:rPr>
        <w:t>Referencia (184). Se testa cantidad de acciones de capital fijo.</w:t>
      </w:r>
    </w:p>
    <w:p w14:paraId="2C36B06E" w14:textId="77777777" w:rsidR="000037B5" w:rsidRPr="000037B5" w:rsidRDefault="000037B5" w:rsidP="000037B5">
      <w:pPr>
        <w:spacing w:before="0" w:after="0" w:line="240" w:lineRule="auto"/>
        <w:rPr>
          <w:sz w:val="16"/>
          <w:szCs w:val="16"/>
        </w:rPr>
      </w:pPr>
      <w:r w:rsidRPr="000037B5">
        <w:rPr>
          <w:sz w:val="16"/>
          <w:szCs w:val="16"/>
        </w:rPr>
        <w:lastRenderedPageBreak/>
        <w:t>Referencia (185). Se testa cantidad de acciones de capital variable.</w:t>
      </w:r>
    </w:p>
    <w:p w14:paraId="491B4247" w14:textId="77777777" w:rsidR="000037B5" w:rsidRPr="000037B5" w:rsidRDefault="000037B5" w:rsidP="000037B5">
      <w:pPr>
        <w:spacing w:before="0" w:after="0" w:line="240" w:lineRule="auto"/>
        <w:rPr>
          <w:sz w:val="16"/>
          <w:szCs w:val="16"/>
        </w:rPr>
      </w:pPr>
      <w:r w:rsidRPr="000037B5">
        <w:rPr>
          <w:sz w:val="16"/>
          <w:szCs w:val="16"/>
        </w:rPr>
        <w:t>Referencia (186). Se testa cantidad de acciones totales.</w:t>
      </w:r>
    </w:p>
    <w:p w14:paraId="35CA8139" w14:textId="77777777" w:rsidR="000037B5" w:rsidRPr="000037B5" w:rsidRDefault="000037B5" w:rsidP="000037B5">
      <w:pPr>
        <w:spacing w:before="0" w:after="0" w:line="240" w:lineRule="auto"/>
        <w:rPr>
          <w:sz w:val="16"/>
          <w:szCs w:val="16"/>
        </w:rPr>
      </w:pPr>
      <w:r w:rsidRPr="000037B5">
        <w:rPr>
          <w:sz w:val="16"/>
          <w:szCs w:val="16"/>
        </w:rPr>
        <w:t>Referencia (187). Se testa participación accionaria.</w:t>
      </w:r>
    </w:p>
    <w:p w14:paraId="34CC42F8" w14:textId="77777777" w:rsidR="000037B5" w:rsidRPr="000037B5" w:rsidRDefault="000037B5" w:rsidP="000037B5">
      <w:pPr>
        <w:spacing w:before="0" w:after="0" w:line="240" w:lineRule="auto"/>
        <w:rPr>
          <w:sz w:val="16"/>
          <w:szCs w:val="16"/>
        </w:rPr>
      </w:pPr>
      <w:r w:rsidRPr="000037B5">
        <w:rPr>
          <w:sz w:val="16"/>
          <w:szCs w:val="16"/>
        </w:rPr>
        <w:t>Referencia (188). Se testa información de carácter jurídico.</w:t>
      </w:r>
    </w:p>
    <w:p w14:paraId="1B320714" w14:textId="77777777" w:rsidR="000037B5" w:rsidRPr="000037B5" w:rsidRDefault="000037B5" w:rsidP="000037B5">
      <w:pPr>
        <w:spacing w:before="0" w:after="0" w:line="240" w:lineRule="auto"/>
        <w:rPr>
          <w:sz w:val="16"/>
          <w:szCs w:val="16"/>
        </w:rPr>
      </w:pPr>
      <w:r w:rsidRPr="000037B5">
        <w:rPr>
          <w:sz w:val="16"/>
          <w:szCs w:val="16"/>
        </w:rPr>
        <w:t>Referencia (189). Se testa información de carácter jurídico.</w:t>
      </w:r>
    </w:p>
    <w:p w14:paraId="69463BB7" w14:textId="77777777" w:rsidR="000037B5" w:rsidRPr="000037B5" w:rsidRDefault="000037B5" w:rsidP="000037B5">
      <w:pPr>
        <w:spacing w:before="0" w:after="0" w:line="240" w:lineRule="auto"/>
        <w:rPr>
          <w:sz w:val="16"/>
          <w:szCs w:val="16"/>
        </w:rPr>
      </w:pPr>
      <w:r w:rsidRPr="000037B5">
        <w:rPr>
          <w:sz w:val="16"/>
          <w:szCs w:val="16"/>
        </w:rPr>
        <w:t>Referencia (190). Se testa cantidad de acciones.</w:t>
      </w:r>
    </w:p>
    <w:p w14:paraId="466DD730" w14:textId="77777777" w:rsidR="000037B5" w:rsidRPr="000037B5" w:rsidRDefault="000037B5" w:rsidP="000037B5">
      <w:pPr>
        <w:spacing w:before="0" w:after="0" w:line="240" w:lineRule="auto"/>
        <w:rPr>
          <w:sz w:val="16"/>
          <w:szCs w:val="16"/>
        </w:rPr>
      </w:pPr>
      <w:r w:rsidRPr="000037B5">
        <w:rPr>
          <w:sz w:val="16"/>
          <w:szCs w:val="16"/>
        </w:rPr>
        <w:t>Referencia (191). Se testa participación accionaria.</w:t>
      </w:r>
    </w:p>
    <w:p w14:paraId="7EE52201" w14:textId="77777777" w:rsidR="000037B5" w:rsidRPr="000037B5" w:rsidRDefault="000037B5" w:rsidP="000037B5">
      <w:pPr>
        <w:spacing w:before="0" w:after="0" w:line="240" w:lineRule="auto"/>
        <w:rPr>
          <w:sz w:val="16"/>
          <w:szCs w:val="16"/>
        </w:rPr>
      </w:pPr>
      <w:r w:rsidRPr="000037B5">
        <w:rPr>
          <w:sz w:val="16"/>
          <w:szCs w:val="16"/>
        </w:rPr>
        <w:t>Referencia (192). Se testa cantidad de acciones.</w:t>
      </w:r>
    </w:p>
    <w:p w14:paraId="37566AD6" w14:textId="77777777" w:rsidR="000037B5" w:rsidRPr="000037B5" w:rsidRDefault="000037B5" w:rsidP="000037B5">
      <w:pPr>
        <w:spacing w:before="0" w:after="0" w:line="240" w:lineRule="auto"/>
        <w:rPr>
          <w:sz w:val="16"/>
          <w:szCs w:val="16"/>
        </w:rPr>
      </w:pPr>
      <w:r w:rsidRPr="000037B5">
        <w:rPr>
          <w:sz w:val="16"/>
          <w:szCs w:val="16"/>
        </w:rPr>
        <w:t>Referencia (193). Se testa participación accionaria.</w:t>
      </w:r>
    </w:p>
    <w:p w14:paraId="094D71EE" w14:textId="77777777" w:rsidR="000037B5" w:rsidRPr="000037B5" w:rsidRDefault="000037B5" w:rsidP="000037B5">
      <w:pPr>
        <w:spacing w:before="0" w:after="0" w:line="240" w:lineRule="auto"/>
        <w:rPr>
          <w:sz w:val="16"/>
          <w:szCs w:val="16"/>
        </w:rPr>
      </w:pPr>
      <w:r w:rsidRPr="000037B5">
        <w:rPr>
          <w:sz w:val="16"/>
          <w:szCs w:val="16"/>
        </w:rPr>
        <w:t>Referencia (194). Se testa información de carácter jurídico.</w:t>
      </w:r>
    </w:p>
    <w:p w14:paraId="7B18774C" w14:textId="77777777" w:rsidR="000037B5" w:rsidRPr="000037B5" w:rsidRDefault="000037B5" w:rsidP="000037B5">
      <w:pPr>
        <w:spacing w:before="0" w:after="0" w:line="240" w:lineRule="auto"/>
        <w:rPr>
          <w:sz w:val="16"/>
          <w:szCs w:val="16"/>
        </w:rPr>
      </w:pPr>
      <w:r w:rsidRPr="000037B5">
        <w:rPr>
          <w:sz w:val="16"/>
          <w:szCs w:val="16"/>
        </w:rPr>
        <w:t>Referencia (195). Se testa partes sociales.</w:t>
      </w:r>
    </w:p>
    <w:p w14:paraId="74A59585" w14:textId="77777777" w:rsidR="000037B5" w:rsidRPr="000037B5" w:rsidRDefault="000037B5" w:rsidP="000037B5">
      <w:pPr>
        <w:spacing w:before="0" w:after="0" w:line="240" w:lineRule="auto"/>
        <w:rPr>
          <w:sz w:val="16"/>
          <w:szCs w:val="16"/>
        </w:rPr>
      </w:pPr>
      <w:r w:rsidRPr="000037B5">
        <w:rPr>
          <w:sz w:val="16"/>
          <w:szCs w:val="16"/>
        </w:rPr>
        <w:t>Referencia (196). Se testa valor de partes sociales.</w:t>
      </w:r>
    </w:p>
    <w:p w14:paraId="0F65F359" w14:textId="77777777" w:rsidR="000037B5" w:rsidRPr="000037B5" w:rsidRDefault="000037B5" w:rsidP="000037B5">
      <w:pPr>
        <w:spacing w:before="0" w:after="0" w:line="240" w:lineRule="auto"/>
        <w:rPr>
          <w:sz w:val="16"/>
          <w:szCs w:val="16"/>
        </w:rPr>
      </w:pPr>
      <w:r w:rsidRPr="000037B5">
        <w:rPr>
          <w:sz w:val="16"/>
          <w:szCs w:val="16"/>
        </w:rPr>
        <w:t>Referencia (197). Se testa porcentaje de participación accionaria.</w:t>
      </w:r>
    </w:p>
    <w:p w14:paraId="553563B0" w14:textId="77777777" w:rsidR="000037B5" w:rsidRPr="000037B5" w:rsidRDefault="000037B5" w:rsidP="000037B5">
      <w:pPr>
        <w:spacing w:before="0" w:after="0" w:line="240" w:lineRule="auto"/>
        <w:rPr>
          <w:sz w:val="16"/>
          <w:szCs w:val="16"/>
        </w:rPr>
      </w:pPr>
      <w:r w:rsidRPr="000037B5">
        <w:rPr>
          <w:sz w:val="16"/>
          <w:szCs w:val="16"/>
        </w:rPr>
        <w:t>Referencia (198). Se testa partes sociales.</w:t>
      </w:r>
    </w:p>
    <w:p w14:paraId="7C3E4647" w14:textId="77777777" w:rsidR="000037B5" w:rsidRPr="000037B5" w:rsidRDefault="000037B5" w:rsidP="000037B5">
      <w:pPr>
        <w:spacing w:before="0" w:after="0" w:line="240" w:lineRule="auto"/>
        <w:rPr>
          <w:sz w:val="16"/>
          <w:szCs w:val="16"/>
        </w:rPr>
      </w:pPr>
      <w:r w:rsidRPr="000037B5">
        <w:rPr>
          <w:sz w:val="16"/>
          <w:szCs w:val="16"/>
        </w:rPr>
        <w:t>Referencia (199). Se testa valor de partes sociales.</w:t>
      </w:r>
    </w:p>
    <w:p w14:paraId="7C1B0ED8" w14:textId="77777777" w:rsidR="000037B5" w:rsidRPr="000037B5" w:rsidRDefault="000037B5" w:rsidP="000037B5">
      <w:pPr>
        <w:spacing w:before="0" w:after="0" w:line="240" w:lineRule="auto"/>
        <w:rPr>
          <w:sz w:val="16"/>
          <w:szCs w:val="16"/>
        </w:rPr>
      </w:pPr>
      <w:r w:rsidRPr="000037B5">
        <w:rPr>
          <w:sz w:val="16"/>
          <w:szCs w:val="16"/>
        </w:rPr>
        <w:t>Referencia (200). Se testa porcentaje de participación accionaria.</w:t>
      </w:r>
    </w:p>
    <w:p w14:paraId="35157AD1" w14:textId="77777777" w:rsidR="000037B5" w:rsidRPr="000037B5" w:rsidRDefault="000037B5" w:rsidP="000037B5">
      <w:pPr>
        <w:spacing w:before="0" w:after="0" w:line="240" w:lineRule="auto"/>
        <w:rPr>
          <w:sz w:val="16"/>
          <w:szCs w:val="16"/>
        </w:rPr>
      </w:pPr>
      <w:r w:rsidRPr="000037B5">
        <w:rPr>
          <w:sz w:val="16"/>
          <w:szCs w:val="16"/>
        </w:rPr>
        <w:t>Referencia (201). Se testa partes sociales.</w:t>
      </w:r>
    </w:p>
    <w:p w14:paraId="141571A1" w14:textId="77777777" w:rsidR="000037B5" w:rsidRPr="000037B5" w:rsidRDefault="000037B5" w:rsidP="000037B5">
      <w:pPr>
        <w:spacing w:before="0" w:after="0" w:line="240" w:lineRule="auto"/>
        <w:rPr>
          <w:sz w:val="16"/>
          <w:szCs w:val="16"/>
        </w:rPr>
      </w:pPr>
      <w:r w:rsidRPr="000037B5">
        <w:rPr>
          <w:sz w:val="16"/>
          <w:szCs w:val="16"/>
        </w:rPr>
        <w:t>Referencia (202). Se testa valor de partes sociales.</w:t>
      </w:r>
    </w:p>
    <w:p w14:paraId="15B4EED4" w14:textId="77777777" w:rsidR="000037B5" w:rsidRPr="000037B5" w:rsidRDefault="000037B5" w:rsidP="000037B5">
      <w:pPr>
        <w:spacing w:before="0" w:after="0" w:line="240" w:lineRule="auto"/>
        <w:rPr>
          <w:sz w:val="16"/>
          <w:szCs w:val="16"/>
        </w:rPr>
      </w:pPr>
      <w:r w:rsidRPr="000037B5">
        <w:rPr>
          <w:sz w:val="16"/>
          <w:szCs w:val="16"/>
        </w:rPr>
        <w:t>Referencia (203). Se testa porcentaje de participación accionaria.</w:t>
      </w:r>
    </w:p>
    <w:p w14:paraId="593AFD7A" w14:textId="77777777" w:rsidR="000037B5" w:rsidRPr="000037B5" w:rsidRDefault="000037B5" w:rsidP="000037B5">
      <w:pPr>
        <w:spacing w:before="0" w:after="0" w:line="240" w:lineRule="auto"/>
        <w:rPr>
          <w:sz w:val="16"/>
          <w:szCs w:val="16"/>
        </w:rPr>
      </w:pPr>
      <w:r w:rsidRPr="000037B5">
        <w:rPr>
          <w:sz w:val="16"/>
          <w:szCs w:val="16"/>
        </w:rPr>
        <w:t>Referencia (204). Se testa porcentaje de participación accionaria.</w:t>
      </w:r>
    </w:p>
    <w:p w14:paraId="471B0F94" w14:textId="77777777" w:rsidR="000037B5" w:rsidRPr="000037B5" w:rsidRDefault="000037B5" w:rsidP="000037B5">
      <w:pPr>
        <w:spacing w:before="0" w:after="0" w:line="240" w:lineRule="auto"/>
        <w:rPr>
          <w:sz w:val="16"/>
          <w:szCs w:val="16"/>
        </w:rPr>
      </w:pPr>
      <w:r w:rsidRPr="000037B5">
        <w:rPr>
          <w:sz w:val="16"/>
          <w:szCs w:val="16"/>
        </w:rPr>
        <w:t>Referencia (205). Se testa porcentaje de participación accionaria.</w:t>
      </w:r>
    </w:p>
    <w:p w14:paraId="74318DEF" w14:textId="77777777" w:rsidR="000037B5" w:rsidRPr="000037B5" w:rsidRDefault="000037B5" w:rsidP="000037B5">
      <w:pPr>
        <w:spacing w:before="0" w:after="0" w:line="240" w:lineRule="auto"/>
        <w:rPr>
          <w:sz w:val="16"/>
          <w:szCs w:val="16"/>
        </w:rPr>
      </w:pPr>
      <w:r w:rsidRPr="000037B5">
        <w:rPr>
          <w:sz w:val="16"/>
          <w:szCs w:val="16"/>
        </w:rPr>
        <w:t>Referencia (206). Se testa porcentaje de participación accionaria.</w:t>
      </w:r>
    </w:p>
    <w:p w14:paraId="2C1EFC9E" w14:textId="77777777" w:rsidR="000037B5" w:rsidRPr="000037B5" w:rsidRDefault="000037B5" w:rsidP="000037B5">
      <w:pPr>
        <w:spacing w:before="0" w:after="0" w:line="240" w:lineRule="auto"/>
        <w:rPr>
          <w:sz w:val="16"/>
          <w:szCs w:val="16"/>
        </w:rPr>
      </w:pPr>
      <w:r w:rsidRPr="000037B5">
        <w:rPr>
          <w:sz w:val="16"/>
          <w:szCs w:val="16"/>
        </w:rPr>
        <w:t>Referencia (207). Se testa porcentaje de participación accionaria.</w:t>
      </w:r>
    </w:p>
    <w:p w14:paraId="3BCDF75D" w14:textId="77777777" w:rsidR="000037B5" w:rsidRPr="000037B5" w:rsidRDefault="000037B5" w:rsidP="000037B5">
      <w:pPr>
        <w:spacing w:before="0" w:after="0" w:line="240" w:lineRule="auto"/>
        <w:rPr>
          <w:sz w:val="16"/>
          <w:szCs w:val="16"/>
        </w:rPr>
      </w:pPr>
      <w:r w:rsidRPr="000037B5">
        <w:rPr>
          <w:sz w:val="16"/>
          <w:szCs w:val="16"/>
        </w:rPr>
        <w:t>Referencia (208). Se testa porcentaje de participación accionaria.</w:t>
      </w:r>
    </w:p>
    <w:p w14:paraId="67978CF0" w14:textId="77777777" w:rsidR="000037B5" w:rsidRPr="000037B5" w:rsidRDefault="000037B5" w:rsidP="000037B5">
      <w:pPr>
        <w:spacing w:before="0" w:after="0" w:line="240" w:lineRule="auto"/>
        <w:rPr>
          <w:sz w:val="16"/>
          <w:szCs w:val="16"/>
        </w:rPr>
      </w:pPr>
      <w:r w:rsidRPr="000037B5">
        <w:rPr>
          <w:sz w:val="16"/>
          <w:szCs w:val="16"/>
        </w:rPr>
        <w:t>Referencia (209). Se testa porcentaje de participación accionaria.</w:t>
      </w:r>
    </w:p>
    <w:p w14:paraId="3C06D171" w14:textId="77777777" w:rsidR="000037B5" w:rsidRPr="000037B5" w:rsidRDefault="000037B5" w:rsidP="000037B5">
      <w:pPr>
        <w:spacing w:before="0" w:after="0" w:line="240" w:lineRule="auto"/>
        <w:rPr>
          <w:sz w:val="16"/>
          <w:szCs w:val="16"/>
        </w:rPr>
      </w:pPr>
      <w:r w:rsidRPr="000037B5">
        <w:rPr>
          <w:sz w:val="16"/>
          <w:szCs w:val="16"/>
        </w:rPr>
        <w:t>Referencia (210). Se testa porcentaje de participación accionaria.</w:t>
      </w:r>
    </w:p>
    <w:p w14:paraId="6C9DB85C" w14:textId="77777777" w:rsidR="000037B5" w:rsidRPr="000037B5" w:rsidRDefault="000037B5" w:rsidP="000037B5">
      <w:pPr>
        <w:spacing w:before="0" w:after="0" w:line="240" w:lineRule="auto"/>
        <w:rPr>
          <w:sz w:val="16"/>
          <w:szCs w:val="16"/>
        </w:rPr>
      </w:pPr>
      <w:r w:rsidRPr="000037B5">
        <w:rPr>
          <w:sz w:val="16"/>
          <w:szCs w:val="16"/>
        </w:rPr>
        <w:t>Referencia (211). Se testa porcentaje de participación accionaria.</w:t>
      </w:r>
    </w:p>
    <w:p w14:paraId="79B6993B" w14:textId="77777777" w:rsidR="000037B5" w:rsidRPr="000037B5" w:rsidRDefault="000037B5" w:rsidP="000037B5">
      <w:pPr>
        <w:spacing w:before="0" w:after="0" w:line="240" w:lineRule="auto"/>
        <w:rPr>
          <w:sz w:val="16"/>
          <w:szCs w:val="16"/>
        </w:rPr>
      </w:pPr>
      <w:r w:rsidRPr="000037B5">
        <w:rPr>
          <w:sz w:val="16"/>
          <w:szCs w:val="16"/>
        </w:rPr>
        <w:t>Referencia (212). Se testa porcentaje de participación accionaria.</w:t>
      </w:r>
    </w:p>
    <w:p w14:paraId="6D21575B" w14:textId="77777777" w:rsidR="000037B5" w:rsidRPr="000037B5" w:rsidRDefault="000037B5" w:rsidP="000037B5">
      <w:pPr>
        <w:spacing w:before="0" w:after="0" w:line="240" w:lineRule="auto"/>
        <w:rPr>
          <w:sz w:val="16"/>
          <w:szCs w:val="16"/>
        </w:rPr>
      </w:pPr>
      <w:r w:rsidRPr="000037B5">
        <w:rPr>
          <w:sz w:val="16"/>
          <w:szCs w:val="16"/>
        </w:rPr>
        <w:t>Referencia (213). Se testa porcentaje de participación accionaria.</w:t>
      </w:r>
    </w:p>
    <w:p w14:paraId="33211FB1" w14:textId="77777777" w:rsidR="000037B5" w:rsidRPr="000037B5" w:rsidRDefault="000037B5" w:rsidP="000037B5">
      <w:pPr>
        <w:spacing w:before="0" w:after="0" w:line="240" w:lineRule="auto"/>
        <w:rPr>
          <w:sz w:val="16"/>
          <w:szCs w:val="16"/>
        </w:rPr>
      </w:pPr>
      <w:r w:rsidRPr="000037B5">
        <w:rPr>
          <w:sz w:val="16"/>
          <w:szCs w:val="16"/>
        </w:rPr>
        <w:t>Referencia (214). Se testa porcentaje de participación accionaria.</w:t>
      </w:r>
    </w:p>
    <w:p w14:paraId="18C996DB" w14:textId="77777777" w:rsidR="000037B5" w:rsidRPr="000037B5" w:rsidRDefault="000037B5" w:rsidP="000037B5">
      <w:pPr>
        <w:spacing w:before="0" w:after="0" w:line="240" w:lineRule="auto"/>
        <w:rPr>
          <w:sz w:val="16"/>
          <w:szCs w:val="16"/>
        </w:rPr>
      </w:pPr>
      <w:r w:rsidRPr="000037B5">
        <w:rPr>
          <w:sz w:val="16"/>
          <w:szCs w:val="16"/>
        </w:rPr>
        <w:t>Referencia (215). Se testa porcentaje de participación accionaria.</w:t>
      </w:r>
    </w:p>
    <w:p w14:paraId="08AD02F7" w14:textId="77777777" w:rsidR="000037B5" w:rsidRPr="000037B5" w:rsidRDefault="000037B5" w:rsidP="000037B5">
      <w:pPr>
        <w:spacing w:before="0" w:after="0" w:line="240" w:lineRule="auto"/>
        <w:rPr>
          <w:sz w:val="16"/>
          <w:szCs w:val="16"/>
        </w:rPr>
      </w:pPr>
      <w:r w:rsidRPr="000037B5">
        <w:rPr>
          <w:sz w:val="16"/>
          <w:szCs w:val="16"/>
        </w:rPr>
        <w:t>Referencia (216). Se testa porcentaje de participación accionaria.</w:t>
      </w:r>
    </w:p>
    <w:p w14:paraId="70576211" w14:textId="77777777" w:rsidR="000037B5" w:rsidRPr="000037B5" w:rsidRDefault="000037B5" w:rsidP="000037B5">
      <w:pPr>
        <w:spacing w:before="0" w:after="0" w:line="240" w:lineRule="auto"/>
        <w:rPr>
          <w:sz w:val="16"/>
          <w:szCs w:val="16"/>
        </w:rPr>
      </w:pPr>
      <w:r w:rsidRPr="000037B5">
        <w:rPr>
          <w:sz w:val="16"/>
          <w:szCs w:val="16"/>
        </w:rPr>
        <w:t>Referencia (217). Se testa porcentaje de participación accionaria.</w:t>
      </w:r>
    </w:p>
    <w:p w14:paraId="635A2A0C" w14:textId="77777777" w:rsidR="000037B5" w:rsidRPr="000037B5" w:rsidRDefault="000037B5" w:rsidP="000037B5">
      <w:pPr>
        <w:spacing w:before="0" w:after="0" w:line="240" w:lineRule="auto"/>
        <w:rPr>
          <w:sz w:val="16"/>
          <w:szCs w:val="16"/>
        </w:rPr>
      </w:pPr>
      <w:r w:rsidRPr="000037B5">
        <w:rPr>
          <w:sz w:val="16"/>
          <w:szCs w:val="16"/>
        </w:rPr>
        <w:t>Referencia (218). Se testa porcentaje de participación accionaria.</w:t>
      </w:r>
    </w:p>
    <w:p w14:paraId="150C0293" w14:textId="77777777" w:rsidR="000037B5" w:rsidRPr="000037B5" w:rsidRDefault="000037B5" w:rsidP="000037B5">
      <w:pPr>
        <w:spacing w:before="0" w:after="0" w:line="240" w:lineRule="auto"/>
        <w:rPr>
          <w:sz w:val="16"/>
          <w:szCs w:val="16"/>
        </w:rPr>
      </w:pPr>
      <w:r w:rsidRPr="000037B5">
        <w:rPr>
          <w:sz w:val="16"/>
          <w:szCs w:val="16"/>
        </w:rPr>
        <w:t>Referencia (219). Se testa porcentaje de participación accionaria.</w:t>
      </w:r>
    </w:p>
    <w:p w14:paraId="08CB90AE" w14:textId="77777777" w:rsidR="000037B5" w:rsidRPr="000037B5" w:rsidRDefault="000037B5" w:rsidP="000037B5">
      <w:pPr>
        <w:spacing w:before="0" w:after="0" w:line="240" w:lineRule="auto"/>
        <w:rPr>
          <w:sz w:val="16"/>
          <w:szCs w:val="16"/>
        </w:rPr>
      </w:pPr>
      <w:r w:rsidRPr="000037B5">
        <w:rPr>
          <w:sz w:val="16"/>
          <w:szCs w:val="16"/>
        </w:rPr>
        <w:t>Referencia (220). Se testa porcentaje de participación accionaria.</w:t>
      </w:r>
    </w:p>
    <w:p w14:paraId="047A1D6F" w14:textId="77777777" w:rsidR="000037B5" w:rsidRPr="000037B5" w:rsidRDefault="000037B5" w:rsidP="000037B5">
      <w:pPr>
        <w:spacing w:before="0" w:after="0" w:line="240" w:lineRule="auto"/>
        <w:rPr>
          <w:sz w:val="16"/>
          <w:szCs w:val="16"/>
        </w:rPr>
      </w:pPr>
      <w:r w:rsidRPr="000037B5">
        <w:rPr>
          <w:sz w:val="16"/>
          <w:szCs w:val="16"/>
        </w:rPr>
        <w:t>Referencia (221). Se testa porcentaje de participación accionaria.</w:t>
      </w:r>
    </w:p>
    <w:p w14:paraId="5BC7E3F8" w14:textId="77777777" w:rsidR="000037B5" w:rsidRPr="000037B5" w:rsidRDefault="000037B5" w:rsidP="000037B5">
      <w:pPr>
        <w:spacing w:before="0" w:after="0" w:line="240" w:lineRule="auto"/>
        <w:rPr>
          <w:sz w:val="16"/>
          <w:szCs w:val="16"/>
        </w:rPr>
      </w:pPr>
      <w:r w:rsidRPr="000037B5">
        <w:rPr>
          <w:sz w:val="16"/>
          <w:szCs w:val="16"/>
        </w:rPr>
        <w:t>Referencia (222). Se testa porcentaje de participación accionaria.</w:t>
      </w:r>
    </w:p>
    <w:p w14:paraId="1E818739" w14:textId="77777777" w:rsidR="000037B5" w:rsidRPr="000037B5" w:rsidRDefault="000037B5" w:rsidP="000037B5">
      <w:pPr>
        <w:spacing w:before="0" w:after="0" w:line="240" w:lineRule="auto"/>
        <w:rPr>
          <w:sz w:val="16"/>
          <w:szCs w:val="16"/>
        </w:rPr>
      </w:pPr>
      <w:r w:rsidRPr="000037B5">
        <w:rPr>
          <w:sz w:val="16"/>
          <w:szCs w:val="16"/>
        </w:rPr>
        <w:t>Referencia (223). Se testa porcentaje de participación accionaria.</w:t>
      </w:r>
    </w:p>
    <w:p w14:paraId="6A2D5F49" w14:textId="77777777" w:rsidR="000037B5" w:rsidRPr="000037B5" w:rsidRDefault="000037B5" w:rsidP="000037B5">
      <w:pPr>
        <w:spacing w:before="0" w:after="0" w:line="240" w:lineRule="auto"/>
        <w:rPr>
          <w:sz w:val="16"/>
          <w:szCs w:val="16"/>
        </w:rPr>
      </w:pPr>
      <w:r w:rsidRPr="000037B5">
        <w:rPr>
          <w:sz w:val="16"/>
          <w:szCs w:val="16"/>
        </w:rPr>
        <w:t>Referencia (224). Se testa porcentaje de participación accionaria.</w:t>
      </w:r>
    </w:p>
    <w:p w14:paraId="69AD5B98" w14:textId="77777777" w:rsidR="000037B5" w:rsidRPr="000037B5" w:rsidRDefault="000037B5" w:rsidP="000037B5">
      <w:pPr>
        <w:spacing w:before="0" w:after="0" w:line="240" w:lineRule="auto"/>
        <w:rPr>
          <w:sz w:val="16"/>
          <w:szCs w:val="16"/>
        </w:rPr>
      </w:pPr>
      <w:r w:rsidRPr="000037B5">
        <w:rPr>
          <w:sz w:val="16"/>
          <w:szCs w:val="16"/>
        </w:rPr>
        <w:t>Referencia (225). Se testa porcentaje de participación accionaria.</w:t>
      </w:r>
    </w:p>
    <w:p w14:paraId="3A9FBB86" w14:textId="77777777" w:rsidR="000037B5" w:rsidRPr="000037B5" w:rsidRDefault="000037B5" w:rsidP="000037B5">
      <w:pPr>
        <w:spacing w:before="0" w:after="0" w:line="240" w:lineRule="auto"/>
        <w:rPr>
          <w:sz w:val="16"/>
          <w:szCs w:val="16"/>
        </w:rPr>
      </w:pPr>
      <w:r w:rsidRPr="000037B5">
        <w:rPr>
          <w:sz w:val="16"/>
          <w:szCs w:val="16"/>
        </w:rPr>
        <w:t>Referencia (226). Se testa porcentaje de participación accionaria.</w:t>
      </w:r>
    </w:p>
    <w:p w14:paraId="1CE9CD56" w14:textId="77777777" w:rsidR="000037B5" w:rsidRPr="000037B5" w:rsidRDefault="000037B5" w:rsidP="000037B5">
      <w:pPr>
        <w:spacing w:before="0" w:after="0" w:line="240" w:lineRule="auto"/>
        <w:rPr>
          <w:sz w:val="16"/>
          <w:szCs w:val="16"/>
        </w:rPr>
      </w:pPr>
      <w:r w:rsidRPr="000037B5">
        <w:rPr>
          <w:sz w:val="16"/>
          <w:szCs w:val="16"/>
        </w:rPr>
        <w:t>Referencia (227). Se testa porcentaje de participación accionaria.</w:t>
      </w:r>
    </w:p>
    <w:p w14:paraId="507724EC" w14:textId="77777777" w:rsidR="000037B5" w:rsidRPr="000037B5" w:rsidRDefault="000037B5" w:rsidP="000037B5">
      <w:pPr>
        <w:spacing w:before="0" w:after="0" w:line="240" w:lineRule="auto"/>
        <w:rPr>
          <w:sz w:val="16"/>
          <w:szCs w:val="16"/>
        </w:rPr>
      </w:pPr>
      <w:r w:rsidRPr="000037B5">
        <w:rPr>
          <w:sz w:val="16"/>
          <w:szCs w:val="16"/>
        </w:rPr>
        <w:t>Referencia (228). Se testa porcentaje de participación accionaria.</w:t>
      </w:r>
    </w:p>
    <w:p w14:paraId="05D052EC" w14:textId="77777777" w:rsidR="000037B5" w:rsidRPr="000037B5" w:rsidRDefault="000037B5" w:rsidP="000037B5">
      <w:pPr>
        <w:spacing w:before="0" w:after="0" w:line="240" w:lineRule="auto"/>
        <w:rPr>
          <w:sz w:val="16"/>
          <w:szCs w:val="16"/>
        </w:rPr>
      </w:pPr>
      <w:r w:rsidRPr="000037B5">
        <w:rPr>
          <w:sz w:val="16"/>
          <w:szCs w:val="16"/>
        </w:rPr>
        <w:t>Referencia (229). Se testa porcentaje de participación accionaria.</w:t>
      </w:r>
    </w:p>
    <w:p w14:paraId="2409CB67" w14:textId="77777777" w:rsidR="000037B5" w:rsidRPr="000037B5" w:rsidRDefault="000037B5" w:rsidP="000037B5">
      <w:pPr>
        <w:spacing w:before="0" w:after="0" w:line="240" w:lineRule="auto"/>
        <w:rPr>
          <w:sz w:val="16"/>
          <w:szCs w:val="16"/>
        </w:rPr>
      </w:pPr>
      <w:r w:rsidRPr="000037B5">
        <w:rPr>
          <w:sz w:val="16"/>
          <w:szCs w:val="16"/>
        </w:rPr>
        <w:t>Referencia (230). Se testa porcentaje de participación accionaria.</w:t>
      </w:r>
    </w:p>
    <w:p w14:paraId="26CCF394" w14:textId="77777777" w:rsidR="000037B5" w:rsidRPr="000037B5" w:rsidRDefault="000037B5" w:rsidP="000037B5">
      <w:pPr>
        <w:spacing w:before="0" w:after="0" w:line="240" w:lineRule="auto"/>
        <w:rPr>
          <w:sz w:val="16"/>
          <w:szCs w:val="16"/>
        </w:rPr>
      </w:pPr>
      <w:r w:rsidRPr="000037B5">
        <w:rPr>
          <w:sz w:val="16"/>
          <w:szCs w:val="16"/>
        </w:rPr>
        <w:t>Referencia (231). Se testa porcentaje de participación accionaria.</w:t>
      </w:r>
    </w:p>
    <w:p w14:paraId="1FA94158" w14:textId="77777777" w:rsidR="000037B5" w:rsidRPr="000037B5" w:rsidRDefault="000037B5" w:rsidP="000037B5">
      <w:pPr>
        <w:spacing w:before="0" w:after="0" w:line="240" w:lineRule="auto"/>
        <w:rPr>
          <w:sz w:val="16"/>
          <w:szCs w:val="16"/>
        </w:rPr>
      </w:pPr>
      <w:r w:rsidRPr="000037B5">
        <w:rPr>
          <w:sz w:val="16"/>
          <w:szCs w:val="16"/>
        </w:rPr>
        <w:t>Referencia (232). Se testa porcentaje de participación accionaria.</w:t>
      </w:r>
    </w:p>
    <w:p w14:paraId="3B3C98DF" w14:textId="77777777" w:rsidR="000037B5" w:rsidRPr="000037B5" w:rsidRDefault="000037B5" w:rsidP="000037B5">
      <w:pPr>
        <w:spacing w:before="0" w:after="0" w:line="240" w:lineRule="auto"/>
        <w:rPr>
          <w:sz w:val="16"/>
          <w:szCs w:val="16"/>
        </w:rPr>
      </w:pPr>
      <w:r w:rsidRPr="000037B5">
        <w:rPr>
          <w:sz w:val="16"/>
          <w:szCs w:val="16"/>
        </w:rPr>
        <w:t>Referencia (233). Se testa porcentaje de participación accionaria.</w:t>
      </w:r>
    </w:p>
    <w:p w14:paraId="1EC17CEE" w14:textId="77777777" w:rsidR="000037B5" w:rsidRPr="000037B5" w:rsidRDefault="000037B5" w:rsidP="000037B5">
      <w:pPr>
        <w:spacing w:before="0" w:after="0" w:line="240" w:lineRule="auto"/>
        <w:rPr>
          <w:sz w:val="16"/>
          <w:szCs w:val="16"/>
        </w:rPr>
      </w:pPr>
      <w:r w:rsidRPr="000037B5">
        <w:rPr>
          <w:sz w:val="16"/>
          <w:szCs w:val="16"/>
        </w:rPr>
        <w:t>Referencia (234). Se testa porcentaje de participación accionaria.</w:t>
      </w:r>
    </w:p>
    <w:p w14:paraId="7FE268BC" w14:textId="77777777" w:rsidR="000037B5" w:rsidRPr="000037B5" w:rsidRDefault="000037B5" w:rsidP="000037B5">
      <w:pPr>
        <w:spacing w:before="0" w:after="0" w:line="240" w:lineRule="auto"/>
        <w:rPr>
          <w:sz w:val="16"/>
          <w:szCs w:val="16"/>
        </w:rPr>
      </w:pPr>
      <w:r w:rsidRPr="000037B5">
        <w:rPr>
          <w:sz w:val="16"/>
          <w:szCs w:val="16"/>
        </w:rPr>
        <w:t>Referencia (235). Se testa porcentaje de participación accionaria.</w:t>
      </w:r>
    </w:p>
    <w:p w14:paraId="2BD8EFEE" w14:textId="77777777" w:rsidR="000037B5" w:rsidRPr="000037B5" w:rsidRDefault="000037B5" w:rsidP="000037B5">
      <w:pPr>
        <w:spacing w:before="0" w:after="0" w:line="240" w:lineRule="auto"/>
        <w:rPr>
          <w:sz w:val="16"/>
          <w:szCs w:val="16"/>
        </w:rPr>
      </w:pPr>
      <w:r w:rsidRPr="000037B5">
        <w:rPr>
          <w:sz w:val="16"/>
          <w:szCs w:val="16"/>
        </w:rPr>
        <w:t>Referencia (236). Se testa porcentaje de participación accionaria.</w:t>
      </w:r>
    </w:p>
    <w:p w14:paraId="3C794C36" w14:textId="77777777" w:rsidR="000037B5" w:rsidRPr="000037B5" w:rsidRDefault="000037B5" w:rsidP="000037B5">
      <w:pPr>
        <w:spacing w:before="0" w:after="0" w:line="240" w:lineRule="auto"/>
        <w:rPr>
          <w:sz w:val="16"/>
          <w:szCs w:val="16"/>
        </w:rPr>
      </w:pPr>
      <w:r w:rsidRPr="000037B5">
        <w:rPr>
          <w:sz w:val="16"/>
          <w:szCs w:val="16"/>
        </w:rPr>
        <w:t>Referencia (237). Se testa ingresos para el año 2016.</w:t>
      </w:r>
    </w:p>
    <w:p w14:paraId="146D89CA" w14:textId="77777777" w:rsidR="000037B5" w:rsidRPr="000037B5" w:rsidRDefault="000037B5" w:rsidP="000037B5">
      <w:pPr>
        <w:spacing w:before="0" w:after="0" w:line="240" w:lineRule="auto"/>
        <w:rPr>
          <w:sz w:val="16"/>
          <w:szCs w:val="16"/>
        </w:rPr>
      </w:pPr>
      <w:r w:rsidRPr="000037B5">
        <w:rPr>
          <w:sz w:val="16"/>
          <w:szCs w:val="16"/>
        </w:rPr>
        <w:t>Referencia (238). Se testa ingresos para el año 2015.</w:t>
      </w:r>
    </w:p>
    <w:p w14:paraId="494BB983" w14:textId="77777777" w:rsidR="000037B5" w:rsidRPr="000037B5" w:rsidRDefault="000037B5" w:rsidP="000037B5">
      <w:pPr>
        <w:spacing w:before="0" w:after="0" w:line="240" w:lineRule="auto"/>
        <w:rPr>
          <w:sz w:val="16"/>
          <w:szCs w:val="16"/>
        </w:rPr>
      </w:pPr>
      <w:r w:rsidRPr="000037B5">
        <w:rPr>
          <w:sz w:val="16"/>
          <w:szCs w:val="16"/>
        </w:rPr>
        <w:t>Referencia (239). Se testa utilidades para el año 2016.</w:t>
      </w:r>
    </w:p>
    <w:p w14:paraId="7918BA17" w14:textId="77777777" w:rsidR="000037B5" w:rsidRPr="000037B5" w:rsidRDefault="000037B5" w:rsidP="000037B5">
      <w:pPr>
        <w:spacing w:before="0" w:after="0" w:line="240" w:lineRule="auto"/>
        <w:rPr>
          <w:sz w:val="16"/>
          <w:szCs w:val="16"/>
        </w:rPr>
      </w:pPr>
      <w:r w:rsidRPr="000037B5">
        <w:rPr>
          <w:sz w:val="16"/>
          <w:szCs w:val="16"/>
        </w:rPr>
        <w:t>Referencia (240). Se testa utilidades para el año 2015.</w:t>
      </w:r>
    </w:p>
    <w:p w14:paraId="44A80CF3" w14:textId="77777777" w:rsidR="000037B5" w:rsidRPr="000037B5" w:rsidRDefault="000037B5" w:rsidP="000037B5">
      <w:pPr>
        <w:spacing w:before="0" w:after="0" w:line="240" w:lineRule="auto"/>
        <w:rPr>
          <w:sz w:val="16"/>
          <w:szCs w:val="16"/>
        </w:rPr>
      </w:pPr>
      <w:r w:rsidRPr="000037B5">
        <w:rPr>
          <w:sz w:val="16"/>
          <w:szCs w:val="16"/>
        </w:rPr>
        <w:t>Referencia (241). Se testa activos para el año 2016.</w:t>
      </w:r>
    </w:p>
    <w:p w14:paraId="7E05A535" w14:textId="77777777" w:rsidR="000037B5" w:rsidRPr="000037B5" w:rsidRDefault="000037B5" w:rsidP="000037B5">
      <w:pPr>
        <w:spacing w:before="0" w:after="0" w:line="240" w:lineRule="auto"/>
        <w:rPr>
          <w:sz w:val="16"/>
          <w:szCs w:val="16"/>
        </w:rPr>
      </w:pPr>
      <w:r w:rsidRPr="000037B5">
        <w:rPr>
          <w:sz w:val="16"/>
          <w:szCs w:val="16"/>
        </w:rPr>
        <w:t>Referencia (242). Se testa activos para el año 2015.</w:t>
      </w:r>
    </w:p>
    <w:p w14:paraId="399FE7C7" w14:textId="77777777" w:rsidR="000037B5" w:rsidRPr="000037B5" w:rsidRDefault="000037B5" w:rsidP="000037B5">
      <w:pPr>
        <w:spacing w:before="0" w:after="0" w:line="240" w:lineRule="auto"/>
        <w:rPr>
          <w:sz w:val="16"/>
          <w:szCs w:val="16"/>
        </w:rPr>
      </w:pPr>
      <w:r w:rsidRPr="000037B5">
        <w:rPr>
          <w:sz w:val="16"/>
          <w:szCs w:val="16"/>
        </w:rPr>
        <w:t>Referencia (243). Se testa cantidad de clientes.</w:t>
      </w:r>
    </w:p>
    <w:p w14:paraId="468B8B25" w14:textId="77777777" w:rsidR="000037B5" w:rsidRPr="000037B5" w:rsidRDefault="000037B5" w:rsidP="000037B5">
      <w:pPr>
        <w:spacing w:before="0" w:after="0" w:line="240" w:lineRule="auto"/>
        <w:rPr>
          <w:sz w:val="16"/>
          <w:szCs w:val="16"/>
        </w:rPr>
      </w:pPr>
      <w:r w:rsidRPr="000037B5">
        <w:rPr>
          <w:sz w:val="16"/>
          <w:szCs w:val="16"/>
        </w:rPr>
        <w:t>Referencia (244). Se testa porcentaje de ingresos.</w:t>
      </w:r>
    </w:p>
    <w:p w14:paraId="7265D9B6" w14:textId="77777777" w:rsidR="000037B5" w:rsidRPr="000037B5" w:rsidRDefault="000037B5" w:rsidP="000037B5">
      <w:pPr>
        <w:spacing w:before="0" w:after="0" w:line="240" w:lineRule="auto"/>
        <w:rPr>
          <w:sz w:val="16"/>
          <w:szCs w:val="16"/>
        </w:rPr>
      </w:pPr>
      <w:r w:rsidRPr="000037B5">
        <w:rPr>
          <w:sz w:val="16"/>
          <w:szCs w:val="16"/>
        </w:rPr>
        <w:t>Referencia (245). Se testa clientes y porcentaje de ingresos que representan.</w:t>
      </w:r>
    </w:p>
    <w:p w14:paraId="485E2210" w14:textId="77777777" w:rsidR="000037B5" w:rsidRPr="000037B5" w:rsidRDefault="000037B5" w:rsidP="000037B5">
      <w:pPr>
        <w:spacing w:before="0" w:after="0" w:line="240" w:lineRule="auto"/>
        <w:rPr>
          <w:sz w:val="16"/>
          <w:szCs w:val="16"/>
        </w:rPr>
      </w:pPr>
      <w:r w:rsidRPr="000037B5">
        <w:rPr>
          <w:sz w:val="16"/>
          <w:szCs w:val="16"/>
        </w:rPr>
        <w:t>Referencia (246). Se testa número de clientes.</w:t>
      </w:r>
    </w:p>
    <w:p w14:paraId="5E4D9EE5" w14:textId="77777777" w:rsidR="000037B5" w:rsidRPr="000037B5" w:rsidRDefault="000037B5" w:rsidP="000037B5">
      <w:pPr>
        <w:spacing w:before="0" w:after="0" w:line="240" w:lineRule="auto"/>
        <w:rPr>
          <w:sz w:val="16"/>
          <w:szCs w:val="16"/>
        </w:rPr>
      </w:pPr>
      <w:r w:rsidRPr="000037B5">
        <w:rPr>
          <w:sz w:val="16"/>
          <w:szCs w:val="16"/>
        </w:rPr>
        <w:t>Referencia (247). Se testa promedio de sitio para telecomunicaciones.</w:t>
      </w:r>
    </w:p>
    <w:p w14:paraId="62D5A449" w14:textId="77777777" w:rsidR="000037B5" w:rsidRPr="000037B5" w:rsidRDefault="000037B5" w:rsidP="000037B5">
      <w:pPr>
        <w:spacing w:before="0" w:after="0" w:line="240" w:lineRule="auto"/>
        <w:rPr>
          <w:sz w:val="16"/>
          <w:szCs w:val="16"/>
        </w:rPr>
      </w:pPr>
      <w:r w:rsidRPr="000037B5">
        <w:rPr>
          <w:sz w:val="16"/>
          <w:szCs w:val="16"/>
        </w:rPr>
        <w:t>Referencia (248). Se testa número de suscriptores.</w:t>
      </w:r>
    </w:p>
    <w:p w14:paraId="390C7058" w14:textId="77777777" w:rsidR="000037B5" w:rsidRPr="000037B5" w:rsidRDefault="000037B5" w:rsidP="000037B5">
      <w:pPr>
        <w:spacing w:before="0" w:after="0" w:line="240" w:lineRule="auto"/>
        <w:rPr>
          <w:sz w:val="16"/>
          <w:szCs w:val="16"/>
        </w:rPr>
      </w:pPr>
      <w:r w:rsidRPr="000037B5">
        <w:rPr>
          <w:sz w:val="16"/>
          <w:szCs w:val="16"/>
        </w:rPr>
        <w:t>Referencia (249). Se testa número de suscriptores.</w:t>
      </w:r>
    </w:p>
    <w:p w14:paraId="2D3EA20F" w14:textId="77777777" w:rsidR="000037B5" w:rsidRPr="000037B5" w:rsidRDefault="000037B5" w:rsidP="000037B5">
      <w:pPr>
        <w:spacing w:before="0" w:after="0" w:line="240" w:lineRule="auto"/>
        <w:rPr>
          <w:sz w:val="16"/>
          <w:szCs w:val="16"/>
        </w:rPr>
      </w:pPr>
      <w:r w:rsidRPr="000037B5">
        <w:rPr>
          <w:sz w:val="16"/>
          <w:szCs w:val="16"/>
        </w:rPr>
        <w:t>Referencia (250). Se testa número de suscriptores.</w:t>
      </w:r>
    </w:p>
    <w:p w14:paraId="56DBD4DE" w14:textId="77777777" w:rsidR="000037B5" w:rsidRPr="000037B5" w:rsidRDefault="000037B5" w:rsidP="000037B5">
      <w:pPr>
        <w:spacing w:before="0" w:after="0" w:line="240" w:lineRule="auto"/>
        <w:rPr>
          <w:sz w:val="16"/>
          <w:szCs w:val="16"/>
        </w:rPr>
      </w:pPr>
      <w:r w:rsidRPr="000037B5">
        <w:rPr>
          <w:sz w:val="16"/>
          <w:szCs w:val="16"/>
        </w:rPr>
        <w:lastRenderedPageBreak/>
        <w:t>Referencia (251). Se testa número de contratos.</w:t>
      </w:r>
    </w:p>
    <w:p w14:paraId="4A822410" w14:textId="77777777" w:rsidR="000037B5" w:rsidRPr="000037B5" w:rsidRDefault="000037B5" w:rsidP="000037B5">
      <w:pPr>
        <w:spacing w:before="0" w:after="0" w:line="240" w:lineRule="auto"/>
        <w:rPr>
          <w:sz w:val="16"/>
          <w:szCs w:val="16"/>
        </w:rPr>
      </w:pPr>
      <w:r w:rsidRPr="000037B5">
        <w:rPr>
          <w:sz w:val="16"/>
          <w:szCs w:val="16"/>
        </w:rPr>
        <w:t>Referencia (252). Se testa número de suscriptores.</w:t>
      </w:r>
    </w:p>
    <w:p w14:paraId="7DAE445D" w14:textId="77777777" w:rsidR="000037B5" w:rsidRPr="000037B5" w:rsidRDefault="000037B5" w:rsidP="000037B5">
      <w:pPr>
        <w:spacing w:before="0" w:after="0" w:line="240" w:lineRule="auto"/>
        <w:rPr>
          <w:sz w:val="16"/>
          <w:szCs w:val="16"/>
        </w:rPr>
      </w:pPr>
      <w:r w:rsidRPr="000037B5">
        <w:rPr>
          <w:sz w:val="16"/>
          <w:szCs w:val="16"/>
        </w:rPr>
        <w:t xml:space="preserve">Referencia (253). Se testa nombre de accionista persona moral. </w:t>
      </w:r>
    </w:p>
    <w:p w14:paraId="218199B9" w14:textId="77777777" w:rsidR="000037B5" w:rsidRPr="000037B5" w:rsidRDefault="000037B5" w:rsidP="000037B5">
      <w:pPr>
        <w:spacing w:before="0" w:after="0" w:line="240" w:lineRule="auto"/>
        <w:rPr>
          <w:sz w:val="16"/>
          <w:szCs w:val="16"/>
        </w:rPr>
      </w:pPr>
      <w:r w:rsidRPr="000037B5">
        <w:rPr>
          <w:sz w:val="16"/>
          <w:szCs w:val="16"/>
        </w:rPr>
        <w:t>Referencia (254). Se testa cantidad de ingresos.</w:t>
      </w:r>
    </w:p>
    <w:p w14:paraId="03F32474" w14:textId="77777777" w:rsidR="000037B5" w:rsidRPr="000037B5" w:rsidRDefault="000037B5" w:rsidP="000037B5">
      <w:pPr>
        <w:spacing w:before="0" w:after="0" w:line="240" w:lineRule="auto"/>
        <w:rPr>
          <w:sz w:val="16"/>
          <w:szCs w:val="16"/>
        </w:rPr>
      </w:pPr>
      <w:r w:rsidRPr="000037B5">
        <w:rPr>
          <w:sz w:val="16"/>
          <w:szCs w:val="16"/>
        </w:rPr>
        <w:t xml:space="preserve">Referencia (255). Se testa nombre de accionista persona moral. </w:t>
      </w:r>
    </w:p>
    <w:p w14:paraId="21CA2C3E" w14:textId="77777777" w:rsidR="000037B5" w:rsidRPr="000037B5" w:rsidRDefault="000037B5" w:rsidP="000037B5">
      <w:pPr>
        <w:spacing w:before="0" w:after="0" w:line="240" w:lineRule="auto"/>
        <w:rPr>
          <w:sz w:val="16"/>
          <w:szCs w:val="16"/>
        </w:rPr>
      </w:pPr>
      <w:r w:rsidRPr="000037B5">
        <w:rPr>
          <w:sz w:val="16"/>
          <w:szCs w:val="16"/>
        </w:rPr>
        <w:t>Referencia (256). Se testa cantidad de ingresos.</w:t>
      </w:r>
    </w:p>
    <w:p w14:paraId="640FFF8B" w14:textId="77777777" w:rsidR="000037B5" w:rsidRPr="000037B5" w:rsidRDefault="000037B5" w:rsidP="000037B5">
      <w:pPr>
        <w:spacing w:before="0" w:after="0" w:line="240" w:lineRule="auto"/>
        <w:rPr>
          <w:sz w:val="16"/>
          <w:szCs w:val="16"/>
        </w:rPr>
      </w:pPr>
      <w:r w:rsidRPr="000037B5">
        <w:rPr>
          <w:sz w:val="16"/>
          <w:szCs w:val="16"/>
        </w:rPr>
        <w:t xml:space="preserve">Referencia (257). Se testa nombre de accionista persona moral. </w:t>
      </w:r>
    </w:p>
    <w:p w14:paraId="54CB5A1A" w14:textId="77777777" w:rsidR="000037B5" w:rsidRPr="000037B5" w:rsidRDefault="000037B5" w:rsidP="000037B5">
      <w:pPr>
        <w:spacing w:before="0" w:after="0" w:line="240" w:lineRule="auto"/>
        <w:rPr>
          <w:sz w:val="16"/>
          <w:szCs w:val="16"/>
        </w:rPr>
      </w:pPr>
      <w:r w:rsidRPr="000037B5">
        <w:rPr>
          <w:sz w:val="16"/>
          <w:szCs w:val="16"/>
        </w:rPr>
        <w:t>Referencia (258). Se testa cantidad de ingresos.</w:t>
      </w:r>
    </w:p>
    <w:p w14:paraId="184C72C9" w14:textId="77777777" w:rsidR="000037B5" w:rsidRPr="000037B5" w:rsidRDefault="000037B5" w:rsidP="000037B5">
      <w:pPr>
        <w:spacing w:before="0" w:after="0" w:line="240" w:lineRule="auto"/>
        <w:rPr>
          <w:sz w:val="16"/>
          <w:szCs w:val="16"/>
        </w:rPr>
      </w:pPr>
      <w:r w:rsidRPr="000037B5">
        <w:rPr>
          <w:sz w:val="16"/>
          <w:szCs w:val="16"/>
        </w:rPr>
        <w:t xml:space="preserve">Referencia (259). Se testa nombre de accionista persona moral. </w:t>
      </w:r>
    </w:p>
    <w:p w14:paraId="47DC4C9B" w14:textId="77777777" w:rsidR="000037B5" w:rsidRPr="000037B5" w:rsidRDefault="000037B5" w:rsidP="000037B5">
      <w:pPr>
        <w:spacing w:before="0" w:after="0" w:line="240" w:lineRule="auto"/>
        <w:rPr>
          <w:sz w:val="16"/>
          <w:szCs w:val="16"/>
        </w:rPr>
      </w:pPr>
      <w:r w:rsidRPr="000037B5">
        <w:rPr>
          <w:sz w:val="16"/>
          <w:szCs w:val="16"/>
        </w:rPr>
        <w:t>Referencia (260). Se testa cantidad de ingresos.</w:t>
      </w:r>
    </w:p>
    <w:p w14:paraId="6973AA00" w14:textId="77777777" w:rsidR="000037B5" w:rsidRPr="000037B5" w:rsidRDefault="000037B5" w:rsidP="000037B5">
      <w:pPr>
        <w:spacing w:before="0" w:after="0" w:line="240" w:lineRule="auto"/>
        <w:rPr>
          <w:sz w:val="16"/>
          <w:szCs w:val="16"/>
        </w:rPr>
      </w:pPr>
      <w:r w:rsidRPr="000037B5">
        <w:rPr>
          <w:sz w:val="16"/>
          <w:szCs w:val="16"/>
        </w:rPr>
        <w:t xml:space="preserve">Referencia (261). Se testa nombre de accionista persona moral. </w:t>
      </w:r>
    </w:p>
    <w:p w14:paraId="154DBE16" w14:textId="77777777" w:rsidR="000037B5" w:rsidRPr="000037B5" w:rsidRDefault="000037B5" w:rsidP="000037B5">
      <w:pPr>
        <w:spacing w:before="0" w:after="0" w:line="240" w:lineRule="auto"/>
        <w:rPr>
          <w:sz w:val="16"/>
          <w:szCs w:val="16"/>
        </w:rPr>
      </w:pPr>
      <w:r w:rsidRPr="000037B5">
        <w:rPr>
          <w:sz w:val="16"/>
          <w:szCs w:val="16"/>
        </w:rPr>
        <w:t>Referencia (262). Se testa cantidad de ingresos.</w:t>
      </w:r>
    </w:p>
    <w:p w14:paraId="6281FDAC" w14:textId="77777777" w:rsidR="000037B5" w:rsidRPr="000037B5" w:rsidRDefault="000037B5" w:rsidP="000037B5">
      <w:pPr>
        <w:spacing w:before="0" w:after="0" w:line="240" w:lineRule="auto"/>
        <w:rPr>
          <w:sz w:val="16"/>
          <w:szCs w:val="16"/>
        </w:rPr>
      </w:pPr>
      <w:r w:rsidRPr="000037B5">
        <w:rPr>
          <w:sz w:val="16"/>
          <w:szCs w:val="16"/>
        </w:rPr>
        <w:t xml:space="preserve">Referencia (263). Se testa nombre de accionista persona moral. </w:t>
      </w:r>
    </w:p>
    <w:p w14:paraId="2FEDABB7" w14:textId="77777777" w:rsidR="000037B5" w:rsidRPr="000037B5" w:rsidRDefault="000037B5" w:rsidP="000037B5">
      <w:pPr>
        <w:spacing w:before="0" w:after="0" w:line="240" w:lineRule="auto"/>
        <w:rPr>
          <w:sz w:val="16"/>
          <w:szCs w:val="16"/>
        </w:rPr>
      </w:pPr>
      <w:r w:rsidRPr="000037B5">
        <w:rPr>
          <w:sz w:val="16"/>
          <w:szCs w:val="16"/>
        </w:rPr>
        <w:t>Referencia (264). Se testa cantidad de ingresos.</w:t>
      </w:r>
    </w:p>
    <w:p w14:paraId="4BE16B77" w14:textId="77777777" w:rsidR="000037B5" w:rsidRPr="000037B5" w:rsidRDefault="000037B5" w:rsidP="000037B5">
      <w:pPr>
        <w:spacing w:before="0" w:after="0" w:line="240" w:lineRule="auto"/>
        <w:rPr>
          <w:sz w:val="16"/>
          <w:szCs w:val="16"/>
        </w:rPr>
      </w:pPr>
      <w:r w:rsidRPr="000037B5">
        <w:rPr>
          <w:sz w:val="16"/>
          <w:szCs w:val="16"/>
        </w:rPr>
        <w:t xml:space="preserve">Referencia (265). Se testa nombre de accionista persona moral. </w:t>
      </w:r>
    </w:p>
    <w:p w14:paraId="21E481DC" w14:textId="77777777" w:rsidR="000037B5" w:rsidRPr="000037B5" w:rsidRDefault="000037B5" w:rsidP="000037B5">
      <w:pPr>
        <w:spacing w:before="0" w:after="0" w:line="240" w:lineRule="auto"/>
        <w:rPr>
          <w:sz w:val="16"/>
          <w:szCs w:val="16"/>
        </w:rPr>
      </w:pPr>
      <w:r w:rsidRPr="000037B5">
        <w:rPr>
          <w:sz w:val="16"/>
          <w:szCs w:val="16"/>
        </w:rPr>
        <w:t>Referencia (266). Se testa cantidad de ingresos.</w:t>
      </w:r>
    </w:p>
    <w:p w14:paraId="56568F4A" w14:textId="77777777" w:rsidR="000037B5" w:rsidRPr="000037B5" w:rsidRDefault="000037B5" w:rsidP="000037B5">
      <w:pPr>
        <w:spacing w:before="0" w:after="0" w:line="240" w:lineRule="auto"/>
        <w:rPr>
          <w:sz w:val="16"/>
          <w:szCs w:val="16"/>
        </w:rPr>
      </w:pPr>
      <w:r w:rsidRPr="000037B5">
        <w:rPr>
          <w:sz w:val="16"/>
          <w:szCs w:val="16"/>
        </w:rPr>
        <w:t xml:space="preserve">Referencia (267). Se testa nombre de accionista persona moral. </w:t>
      </w:r>
    </w:p>
    <w:p w14:paraId="51C3F6D4" w14:textId="77777777" w:rsidR="000037B5" w:rsidRPr="000037B5" w:rsidRDefault="000037B5" w:rsidP="000037B5">
      <w:pPr>
        <w:spacing w:before="0" w:after="0" w:line="240" w:lineRule="auto"/>
        <w:rPr>
          <w:sz w:val="16"/>
          <w:szCs w:val="16"/>
        </w:rPr>
      </w:pPr>
      <w:r w:rsidRPr="000037B5">
        <w:rPr>
          <w:sz w:val="16"/>
          <w:szCs w:val="16"/>
        </w:rPr>
        <w:t>Referencia (268). Se testa cantidad de ingresos.</w:t>
      </w:r>
    </w:p>
    <w:p w14:paraId="65E100E6" w14:textId="77777777" w:rsidR="000037B5" w:rsidRPr="000037B5" w:rsidRDefault="000037B5" w:rsidP="000037B5">
      <w:pPr>
        <w:spacing w:before="0" w:after="0" w:line="240" w:lineRule="auto"/>
        <w:rPr>
          <w:sz w:val="16"/>
          <w:szCs w:val="16"/>
        </w:rPr>
      </w:pPr>
      <w:r w:rsidRPr="000037B5">
        <w:rPr>
          <w:sz w:val="16"/>
          <w:szCs w:val="16"/>
        </w:rPr>
        <w:t xml:space="preserve">Referencia (269). Se testa nombre de accionista persona moral. </w:t>
      </w:r>
    </w:p>
    <w:p w14:paraId="03EC6840" w14:textId="77777777" w:rsidR="000037B5" w:rsidRPr="000037B5" w:rsidRDefault="000037B5" w:rsidP="000037B5">
      <w:pPr>
        <w:spacing w:before="0" w:after="0" w:line="240" w:lineRule="auto"/>
        <w:rPr>
          <w:sz w:val="16"/>
          <w:szCs w:val="16"/>
        </w:rPr>
      </w:pPr>
      <w:r w:rsidRPr="000037B5">
        <w:rPr>
          <w:sz w:val="16"/>
          <w:szCs w:val="16"/>
        </w:rPr>
        <w:t>Referencia (270). Se testa cantidad de ingresos.</w:t>
      </w:r>
    </w:p>
    <w:p w14:paraId="1F6819EC" w14:textId="77777777" w:rsidR="000037B5" w:rsidRPr="000037B5" w:rsidRDefault="000037B5" w:rsidP="000037B5">
      <w:pPr>
        <w:spacing w:before="0" w:after="0" w:line="240" w:lineRule="auto"/>
        <w:rPr>
          <w:sz w:val="16"/>
          <w:szCs w:val="16"/>
        </w:rPr>
      </w:pPr>
      <w:r w:rsidRPr="000037B5">
        <w:rPr>
          <w:sz w:val="16"/>
          <w:szCs w:val="16"/>
        </w:rPr>
        <w:t xml:space="preserve">Referencia (271). Se testa nombre de accionista persona moral. </w:t>
      </w:r>
    </w:p>
    <w:p w14:paraId="77B72ED3" w14:textId="77777777" w:rsidR="000037B5" w:rsidRPr="000037B5" w:rsidRDefault="000037B5" w:rsidP="000037B5">
      <w:pPr>
        <w:spacing w:before="0" w:after="0" w:line="240" w:lineRule="auto"/>
        <w:rPr>
          <w:sz w:val="16"/>
          <w:szCs w:val="16"/>
        </w:rPr>
      </w:pPr>
      <w:r w:rsidRPr="000037B5">
        <w:rPr>
          <w:sz w:val="16"/>
          <w:szCs w:val="16"/>
        </w:rPr>
        <w:t>Referencia (272). Se testa cantidad de ingresos.</w:t>
      </w:r>
    </w:p>
    <w:p w14:paraId="498C486B" w14:textId="77777777" w:rsidR="000037B5" w:rsidRPr="000037B5" w:rsidRDefault="000037B5" w:rsidP="000037B5">
      <w:pPr>
        <w:spacing w:before="0" w:after="0" w:line="240" w:lineRule="auto"/>
        <w:rPr>
          <w:sz w:val="16"/>
          <w:szCs w:val="16"/>
        </w:rPr>
      </w:pPr>
      <w:r w:rsidRPr="000037B5">
        <w:rPr>
          <w:sz w:val="16"/>
          <w:szCs w:val="16"/>
        </w:rPr>
        <w:t xml:space="preserve">Referencia (273). Se testa nombre de accionista persona moral. </w:t>
      </w:r>
    </w:p>
    <w:p w14:paraId="25C2FCC6" w14:textId="77777777" w:rsidR="000037B5" w:rsidRPr="000037B5" w:rsidRDefault="000037B5" w:rsidP="000037B5">
      <w:pPr>
        <w:spacing w:before="0" w:after="0" w:line="240" w:lineRule="auto"/>
        <w:rPr>
          <w:sz w:val="16"/>
          <w:szCs w:val="16"/>
        </w:rPr>
      </w:pPr>
      <w:r w:rsidRPr="000037B5">
        <w:rPr>
          <w:sz w:val="16"/>
          <w:szCs w:val="16"/>
        </w:rPr>
        <w:t>Referencia (274). Se testa cantidad de ingresos.</w:t>
      </w:r>
    </w:p>
    <w:p w14:paraId="446811D8" w14:textId="77777777" w:rsidR="000037B5" w:rsidRPr="000037B5" w:rsidRDefault="000037B5" w:rsidP="000037B5">
      <w:pPr>
        <w:spacing w:before="0" w:after="0" w:line="240" w:lineRule="auto"/>
        <w:rPr>
          <w:sz w:val="16"/>
          <w:szCs w:val="16"/>
        </w:rPr>
      </w:pPr>
      <w:r w:rsidRPr="000037B5">
        <w:rPr>
          <w:sz w:val="16"/>
          <w:szCs w:val="16"/>
        </w:rPr>
        <w:t xml:space="preserve">Referencia (275). Se testa nombre de accionista persona moral. </w:t>
      </w:r>
    </w:p>
    <w:p w14:paraId="6781641B" w14:textId="77777777" w:rsidR="000037B5" w:rsidRPr="000037B5" w:rsidRDefault="000037B5" w:rsidP="000037B5">
      <w:pPr>
        <w:spacing w:before="0" w:after="0" w:line="240" w:lineRule="auto"/>
        <w:rPr>
          <w:sz w:val="16"/>
          <w:szCs w:val="16"/>
        </w:rPr>
      </w:pPr>
      <w:r w:rsidRPr="000037B5">
        <w:rPr>
          <w:sz w:val="16"/>
          <w:szCs w:val="16"/>
        </w:rPr>
        <w:t>Referencia (276). Se testa cantidad de ingresos.</w:t>
      </w:r>
    </w:p>
    <w:p w14:paraId="69EA5B70" w14:textId="77777777" w:rsidR="000037B5" w:rsidRPr="000037B5" w:rsidRDefault="000037B5" w:rsidP="000037B5">
      <w:pPr>
        <w:spacing w:before="0" w:after="0" w:line="240" w:lineRule="auto"/>
        <w:rPr>
          <w:sz w:val="16"/>
          <w:szCs w:val="16"/>
        </w:rPr>
      </w:pPr>
      <w:r w:rsidRPr="000037B5">
        <w:rPr>
          <w:sz w:val="16"/>
          <w:szCs w:val="16"/>
        </w:rPr>
        <w:t xml:space="preserve">Referencia (277). Se testa nombre de accionista persona moral. </w:t>
      </w:r>
    </w:p>
    <w:p w14:paraId="5EC2CCA6" w14:textId="77777777" w:rsidR="000037B5" w:rsidRPr="000037B5" w:rsidRDefault="000037B5" w:rsidP="000037B5">
      <w:pPr>
        <w:spacing w:before="0" w:after="0" w:line="240" w:lineRule="auto"/>
        <w:rPr>
          <w:sz w:val="16"/>
          <w:szCs w:val="16"/>
        </w:rPr>
      </w:pPr>
      <w:r w:rsidRPr="000037B5">
        <w:rPr>
          <w:sz w:val="16"/>
          <w:szCs w:val="16"/>
        </w:rPr>
        <w:t>Referencia (278). Se testa cantidad de ingresos.</w:t>
      </w:r>
    </w:p>
    <w:p w14:paraId="7231EAE5" w14:textId="77777777" w:rsidR="000037B5" w:rsidRPr="000037B5" w:rsidRDefault="000037B5" w:rsidP="000037B5">
      <w:pPr>
        <w:spacing w:before="0" w:after="0" w:line="240" w:lineRule="auto"/>
        <w:rPr>
          <w:sz w:val="16"/>
          <w:szCs w:val="16"/>
        </w:rPr>
      </w:pPr>
      <w:r w:rsidRPr="000037B5">
        <w:rPr>
          <w:sz w:val="16"/>
          <w:szCs w:val="16"/>
        </w:rPr>
        <w:t xml:space="preserve">Referencia (279). Se testa nombre de accionista persona moral. </w:t>
      </w:r>
    </w:p>
    <w:p w14:paraId="000D574B" w14:textId="77777777" w:rsidR="000037B5" w:rsidRPr="000037B5" w:rsidRDefault="000037B5" w:rsidP="000037B5">
      <w:pPr>
        <w:spacing w:before="0" w:after="0" w:line="240" w:lineRule="auto"/>
        <w:rPr>
          <w:sz w:val="16"/>
          <w:szCs w:val="16"/>
        </w:rPr>
      </w:pPr>
      <w:r w:rsidRPr="000037B5">
        <w:rPr>
          <w:sz w:val="16"/>
          <w:szCs w:val="16"/>
        </w:rPr>
        <w:t>Referencia (280). Se testa cantidad de ingresos.</w:t>
      </w:r>
    </w:p>
    <w:p w14:paraId="1ADA94B7" w14:textId="77777777" w:rsidR="000037B5" w:rsidRPr="000037B5" w:rsidRDefault="000037B5" w:rsidP="000037B5">
      <w:pPr>
        <w:spacing w:before="0" w:after="0" w:line="240" w:lineRule="auto"/>
        <w:rPr>
          <w:sz w:val="16"/>
          <w:szCs w:val="16"/>
        </w:rPr>
      </w:pPr>
      <w:r w:rsidRPr="000037B5">
        <w:rPr>
          <w:sz w:val="16"/>
          <w:szCs w:val="16"/>
        </w:rPr>
        <w:t xml:space="preserve">Referencia (281). Se testa nombre de accionista persona moral. </w:t>
      </w:r>
    </w:p>
    <w:p w14:paraId="4E87FA5C" w14:textId="77777777" w:rsidR="000037B5" w:rsidRPr="000037B5" w:rsidRDefault="000037B5" w:rsidP="000037B5">
      <w:pPr>
        <w:spacing w:before="0" w:after="0" w:line="240" w:lineRule="auto"/>
        <w:rPr>
          <w:sz w:val="16"/>
          <w:szCs w:val="16"/>
        </w:rPr>
      </w:pPr>
      <w:r w:rsidRPr="000037B5">
        <w:rPr>
          <w:sz w:val="16"/>
          <w:szCs w:val="16"/>
        </w:rPr>
        <w:t>Referencia (282). Se testa cantidad de ingresos.</w:t>
      </w:r>
    </w:p>
    <w:p w14:paraId="519C86A5" w14:textId="77777777" w:rsidR="000037B5" w:rsidRPr="000037B5" w:rsidRDefault="000037B5" w:rsidP="000037B5">
      <w:pPr>
        <w:spacing w:before="0" w:after="0" w:line="240" w:lineRule="auto"/>
        <w:rPr>
          <w:sz w:val="16"/>
          <w:szCs w:val="16"/>
        </w:rPr>
      </w:pPr>
      <w:r w:rsidRPr="000037B5">
        <w:rPr>
          <w:sz w:val="16"/>
          <w:szCs w:val="16"/>
        </w:rPr>
        <w:t>Referencia (283). Se testa cantidad de usuarios.</w:t>
      </w:r>
    </w:p>
    <w:p w14:paraId="7CE63F01" w14:textId="77777777" w:rsidR="000037B5" w:rsidRPr="000037B5" w:rsidRDefault="000037B5" w:rsidP="000037B5">
      <w:pPr>
        <w:spacing w:before="0" w:after="0" w:line="240" w:lineRule="auto"/>
        <w:rPr>
          <w:sz w:val="16"/>
          <w:szCs w:val="16"/>
        </w:rPr>
      </w:pPr>
      <w:r w:rsidRPr="000037B5">
        <w:rPr>
          <w:sz w:val="16"/>
          <w:szCs w:val="16"/>
        </w:rPr>
        <w:t>Referencia (284). Se testa información de carácter comercial.</w:t>
      </w:r>
    </w:p>
    <w:p w14:paraId="280C0C1D" w14:textId="77777777" w:rsidR="000037B5" w:rsidRPr="000037B5" w:rsidRDefault="000037B5" w:rsidP="000037B5">
      <w:pPr>
        <w:spacing w:before="0" w:after="0" w:line="240" w:lineRule="auto"/>
        <w:rPr>
          <w:sz w:val="16"/>
          <w:szCs w:val="16"/>
        </w:rPr>
      </w:pPr>
      <w:r w:rsidRPr="000037B5">
        <w:rPr>
          <w:sz w:val="16"/>
          <w:szCs w:val="16"/>
        </w:rPr>
        <w:t>Referencia (285). Se testa información de carácter comercial.</w:t>
      </w:r>
    </w:p>
    <w:p w14:paraId="71398D06" w14:textId="77777777" w:rsidR="000037B5" w:rsidRPr="000037B5" w:rsidRDefault="000037B5" w:rsidP="000037B5">
      <w:pPr>
        <w:spacing w:before="0" w:after="0" w:line="240" w:lineRule="auto"/>
        <w:rPr>
          <w:sz w:val="16"/>
          <w:szCs w:val="16"/>
        </w:rPr>
      </w:pPr>
      <w:r w:rsidRPr="000037B5">
        <w:rPr>
          <w:sz w:val="16"/>
          <w:szCs w:val="16"/>
        </w:rPr>
        <w:t>Referencia (286). Se testa información de carácter comercial.</w:t>
      </w:r>
    </w:p>
    <w:p w14:paraId="47E40CE0" w14:textId="77777777" w:rsidR="000037B5" w:rsidRPr="000037B5" w:rsidRDefault="000037B5" w:rsidP="000037B5">
      <w:pPr>
        <w:spacing w:before="0" w:after="0" w:line="240" w:lineRule="auto"/>
        <w:rPr>
          <w:sz w:val="16"/>
          <w:szCs w:val="16"/>
        </w:rPr>
      </w:pPr>
      <w:r w:rsidRPr="000037B5">
        <w:rPr>
          <w:sz w:val="16"/>
          <w:szCs w:val="16"/>
        </w:rPr>
        <w:t>Referencia (287). Se testa información de carácter comercial.</w:t>
      </w:r>
    </w:p>
    <w:p w14:paraId="12CEC438" w14:textId="77777777" w:rsidR="000037B5" w:rsidRPr="000037B5" w:rsidRDefault="000037B5" w:rsidP="000037B5">
      <w:pPr>
        <w:spacing w:before="0" w:after="0" w:line="240" w:lineRule="auto"/>
        <w:rPr>
          <w:sz w:val="16"/>
          <w:szCs w:val="16"/>
        </w:rPr>
      </w:pPr>
      <w:r w:rsidRPr="000037B5">
        <w:rPr>
          <w:sz w:val="16"/>
          <w:szCs w:val="16"/>
        </w:rPr>
        <w:t>Referencia (288). Se testa información de carácter comercial.</w:t>
      </w:r>
    </w:p>
    <w:p w14:paraId="214A5FD4" w14:textId="77777777" w:rsidR="000037B5" w:rsidRPr="000037B5" w:rsidRDefault="000037B5" w:rsidP="000037B5">
      <w:pPr>
        <w:spacing w:before="0" w:after="0" w:line="240" w:lineRule="auto"/>
        <w:rPr>
          <w:sz w:val="16"/>
          <w:szCs w:val="16"/>
        </w:rPr>
      </w:pPr>
      <w:r w:rsidRPr="000037B5">
        <w:rPr>
          <w:sz w:val="16"/>
          <w:szCs w:val="16"/>
        </w:rPr>
        <w:t>Referencia (289). Se testa información de carácter comercial.</w:t>
      </w:r>
    </w:p>
    <w:p w14:paraId="3D4B066E" w14:textId="77777777" w:rsidR="000037B5" w:rsidRPr="000037B5" w:rsidRDefault="000037B5" w:rsidP="000037B5">
      <w:pPr>
        <w:spacing w:before="0" w:after="0" w:line="240" w:lineRule="auto"/>
        <w:rPr>
          <w:sz w:val="16"/>
          <w:szCs w:val="16"/>
        </w:rPr>
      </w:pPr>
      <w:r w:rsidRPr="000037B5">
        <w:rPr>
          <w:sz w:val="16"/>
          <w:szCs w:val="16"/>
        </w:rPr>
        <w:t>Referencia (290). Se testa información de carácter comercial.</w:t>
      </w:r>
    </w:p>
    <w:p w14:paraId="02428F91" w14:textId="77777777" w:rsidR="000037B5" w:rsidRPr="000037B5" w:rsidRDefault="000037B5" w:rsidP="000037B5">
      <w:pPr>
        <w:spacing w:before="0" w:after="0" w:line="240" w:lineRule="auto"/>
        <w:rPr>
          <w:sz w:val="16"/>
          <w:szCs w:val="16"/>
        </w:rPr>
      </w:pPr>
      <w:r w:rsidRPr="000037B5">
        <w:rPr>
          <w:sz w:val="16"/>
          <w:szCs w:val="16"/>
        </w:rPr>
        <w:t>Referencia (291). Se testa información de carácter comercial.</w:t>
      </w:r>
    </w:p>
    <w:p w14:paraId="4E8A6CD7" w14:textId="77777777" w:rsidR="000037B5" w:rsidRPr="000037B5" w:rsidRDefault="000037B5" w:rsidP="000037B5">
      <w:pPr>
        <w:spacing w:before="0" w:after="0" w:line="240" w:lineRule="auto"/>
        <w:rPr>
          <w:sz w:val="16"/>
          <w:szCs w:val="16"/>
        </w:rPr>
      </w:pPr>
      <w:r w:rsidRPr="000037B5">
        <w:rPr>
          <w:sz w:val="16"/>
          <w:szCs w:val="16"/>
        </w:rPr>
        <w:t>Referencia (292). Se testa información de carácter comercial.</w:t>
      </w:r>
    </w:p>
    <w:p w14:paraId="2F7E52AB" w14:textId="77777777" w:rsidR="000037B5" w:rsidRPr="000037B5" w:rsidRDefault="000037B5" w:rsidP="000037B5">
      <w:pPr>
        <w:spacing w:before="0" w:after="0" w:line="240" w:lineRule="auto"/>
        <w:rPr>
          <w:sz w:val="16"/>
          <w:szCs w:val="16"/>
        </w:rPr>
      </w:pPr>
      <w:r w:rsidRPr="000037B5">
        <w:rPr>
          <w:sz w:val="16"/>
          <w:szCs w:val="16"/>
        </w:rPr>
        <w:t>Referencia (293). Se testa información de carácter comercial.</w:t>
      </w:r>
    </w:p>
    <w:p w14:paraId="1C363D72" w14:textId="77777777" w:rsidR="000037B5" w:rsidRPr="000037B5" w:rsidRDefault="000037B5" w:rsidP="000037B5">
      <w:pPr>
        <w:spacing w:before="0" w:after="0" w:line="240" w:lineRule="auto"/>
        <w:rPr>
          <w:sz w:val="16"/>
          <w:szCs w:val="16"/>
        </w:rPr>
      </w:pPr>
      <w:r w:rsidRPr="000037B5">
        <w:rPr>
          <w:sz w:val="16"/>
          <w:szCs w:val="16"/>
        </w:rPr>
        <w:t>Referencia (294). Se testa información de carácter comercial.</w:t>
      </w:r>
    </w:p>
    <w:p w14:paraId="67DFF14A" w14:textId="77777777" w:rsidR="000037B5" w:rsidRPr="000037B5" w:rsidRDefault="000037B5" w:rsidP="000037B5">
      <w:pPr>
        <w:spacing w:before="0" w:after="0" w:line="240" w:lineRule="auto"/>
        <w:rPr>
          <w:sz w:val="16"/>
          <w:szCs w:val="16"/>
        </w:rPr>
      </w:pPr>
      <w:r w:rsidRPr="000037B5">
        <w:rPr>
          <w:sz w:val="16"/>
          <w:szCs w:val="16"/>
        </w:rPr>
        <w:t>Referencia (295). Se testa información de carácter comercial.</w:t>
      </w:r>
    </w:p>
    <w:p w14:paraId="15388A8A" w14:textId="77777777" w:rsidR="000037B5" w:rsidRPr="000037B5" w:rsidRDefault="000037B5" w:rsidP="000037B5">
      <w:pPr>
        <w:spacing w:before="0" w:after="0" w:line="240" w:lineRule="auto"/>
        <w:rPr>
          <w:sz w:val="16"/>
          <w:szCs w:val="16"/>
        </w:rPr>
      </w:pPr>
      <w:r w:rsidRPr="000037B5">
        <w:rPr>
          <w:sz w:val="16"/>
          <w:szCs w:val="16"/>
        </w:rPr>
        <w:t>Referencia (296). Se testa información de carácter comercial.</w:t>
      </w:r>
    </w:p>
    <w:p w14:paraId="35277DC4" w14:textId="77777777" w:rsidR="000037B5" w:rsidRPr="000037B5" w:rsidRDefault="000037B5" w:rsidP="000037B5">
      <w:pPr>
        <w:spacing w:before="0" w:after="0" w:line="240" w:lineRule="auto"/>
        <w:rPr>
          <w:sz w:val="16"/>
          <w:szCs w:val="16"/>
        </w:rPr>
      </w:pPr>
      <w:r w:rsidRPr="000037B5">
        <w:rPr>
          <w:sz w:val="16"/>
          <w:szCs w:val="16"/>
        </w:rPr>
        <w:t>Referencia (297). Se testa información de carácter jurídico.</w:t>
      </w:r>
    </w:p>
    <w:p w14:paraId="4710936E" w14:textId="77777777" w:rsidR="000037B5" w:rsidRPr="000037B5" w:rsidRDefault="000037B5" w:rsidP="000037B5">
      <w:pPr>
        <w:spacing w:before="0" w:after="0" w:line="240" w:lineRule="auto"/>
        <w:rPr>
          <w:sz w:val="16"/>
          <w:szCs w:val="16"/>
        </w:rPr>
      </w:pPr>
      <w:r w:rsidRPr="000037B5">
        <w:rPr>
          <w:sz w:val="16"/>
          <w:szCs w:val="16"/>
        </w:rPr>
        <w:t>Referencia (298). Se testa información de carácter jurídico.</w:t>
      </w:r>
    </w:p>
    <w:p w14:paraId="61F4CAE2" w14:textId="77777777" w:rsidR="000037B5" w:rsidRPr="000037B5" w:rsidRDefault="000037B5" w:rsidP="000037B5">
      <w:pPr>
        <w:spacing w:before="0" w:after="0" w:line="240" w:lineRule="auto"/>
        <w:rPr>
          <w:sz w:val="16"/>
          <w:szCs w:val="16"/>
        </w:rPr>
      </w:pPr>
      <w:r w:rsidRPr="000037B5">
        <w:rPr>
          <w:sz w:val="16"/>
          <w:szCs w:val="16"/>
        </w:rPr>
        <w:t>Referencia (299). Se testa información de carácter jurídico.</w:t>
      </w:r>
    </w:p>
    <w:p w14:paraId="07183DD6" w14:textId="77777777" w:rsidR="000037B5" w:rsidRPr="000037B5" w:rsidRDefault="000037B5" w:rsidP="000037B5">
      <w:pPr>
        <w:spacing w:before="0" w:after="0" w:line="240" w:lineRule="auto"/>
        <w:rPr>
          <w:sz w:val="16"/>
          <w:szCs w:val="16"/>
        </w:rPr>
      </w:pPr>
      <w:r w:rsidRPr="000037B5">
        <w:rPr>
          <w:sz w:val="16"/>
          <w:szCs w:val="16"/>
        </w:rPr>
        <w:t>Referencia (300). Se testa periodo establecido para no competir.</w:t>
      </w:r>
    </w:p>
    <w:p w14:paraId="4808E646" w14:textId="77777777" w:rsidR="000037B5" w:rsidRPr="000037B5" w:rsidRDefault="000037B5" w:rsidP="000037B5">
      <w:pPr>
        <w:spacing w:before="0" w:after="0" w:line="240" w:lineRule="auto"/>
        <w:rPr>
          <w:sz w:val="16"/>
          <w:szCs w:val="16"/>
        </w:rPr>
      </w:pPr>
      <w:r w:rsidRPr="000037B5">
        <w:rPr>
          <w:sz w:val="16"/>
          <w:szCs w:val="16"/>
        </w:rPr>
        <w:t>Referencia (301). Se testa información de carácter comercial.</w:t>
      </w:r>
    </w:p>
    <w:p w14:paraId="3953406C" w14:textId="77777777" w:rsidR="00F80D00" w:rsidRPr="000037B5" w:rsidRDefault="00F80D00" w:rsidP="000037B5">
      <w:pPr>
        <w:spacing w:before="0" w:after="0" w:line="240" w:lineRule="auto"/>
        <w:rPr>
          <w:sz w:val="16"/>
          <w:szCs w:val="16"/>
        </w:rPr>
      </w:pPr>
    </w:p>
    <w:sectPr w:rsidR="00F80D00" w:rsidRPr="000037B5" w:rsidSect="004574A7">
      <w:pgSz w:w="12240" w:h="15840"/>
      <w:pgMar w:top="1418" w:right="1418" w:bottom="1276" w:left="1418" w:header="57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B60BF" w14:textId="77777777" w:rsidR="000C29C2" w:rsidRDefault="000C29C2" w:rsidP="006161FB">
      <w:pPr>
        <w:spacing w:before="0" w:after="0" w:line="240" w:lineRule="auto"/>
      </w:pPr>
      <w:r>
        <w:separator/>
      </w:r>
    </w:p>
  </w:endnote>
  <w:endnote w:type="continuationSeparator" w:id="0">
    <w:p w14:paraId="47B4C2E1" w14:textId="77777777" w:rsidR="000C29C2" w:rsidRDefault="000C29C2" w:rsidP="006161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ITC Avant Garde Demi">
    <w:panose1 w:val="020B0702020203020204"/>
    <w:charset w:val="00"/>
    <w:family w:val="swiss"/>
    <w:pitch w:val="variable"/>
    <w:sig w:usb0="00000007" w:usb1="00000000" w:usb2="00000000" w:usb3="00000000" w:csb0="00000093" w:csb1="00000000"/>
  </w:font>
  <w:font w:name="Helvetica">
    <w:panose1 w:val="020B0504020202020204"/>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BAF80" w14:textId="77777777" w:rsidR="000C29C2" w:rsidRDefault="000C29C2" w:rsidP="006161FB">
      <w:pPr>
        <w:spacing w:before="0" w:after="0" w:line="240" w:lineRule="auto"/>
      </w:pPr>
      <w:r>
        <w:separator/>
      </w:r>
    </w:p>
  </w:footnote>
  <w:footnote w:type="continuationSeparator" w:id="0">
    <w:p w14:paraId="648851A6" w14:textId="77777777" w:rsidR="000C29C2" w:rsidRDefault="000C29C2" w:rsidP="006161FB">
      <w:pPr>
        <w:spacing w:before="0" w:after="0" w:line="240" w:lineRule="auto"/>
      </w:pPr>
      <w:r>
        <w:continuationSeparator/>
      </w:r>
    </w:p>
  </w:footnote>
  <w:footnote w:id="1">
    <w:p w14:paraId="6B9056FF" w14:textId="11E81201" w:rsidR="00AF5B84" w:rsidRPr="00DD28F8" w:rsidRDefault="00AF5B84" w:rsidP="00DD28F8">
      <w:pPr>
        <w:pStyle w:val="Textonotapie"/>
        <w:spacing w:before="0"/>
        <w:rPr>
          <w:rFonts w:ascii="ITC Avant Garde" w:hAnsi="ITC Avant Garde"/>
          <w:lang w:val="es-MX"/>
        </w:rPr>
      </w:pPr>
      <w:r w:rsidRPr="00DD28F8">
        <w:rPr>
          <w:rStyle w:val="Refdenotaalpie"/>
          <w:rFonts w:ascii="ITC Avant Garde" w:hAnsi="ITC Avant Garde"/>
          <w:sz w:val="16"/>
        </w:rPr>
        <w:footnoteRef/>
      </w:r>
      <w:r w:rsidRPr="00DD28F8">
        <w:rPr>
          <w:rFonts w:ascii="ITC Avant Garde" w:hAnsi="ITC Avant Garde"/>
          <w:sz w:val="16"/>
        </w:rPr>
        <w:t xml:space="preserve"> </w:t>
      </w:r>
      <w:r w:rsidRPr="00DD28F8">
        <w:rPr>
          <w:rFonts w:ascii="ITC Avant Garde" w:hAnsi="ITC Avant Garde"/>
          <w:sz w:val="16"/>
          <w:lang w:val="es-MX"/>
        </w:rPr>
        <w:t xml:space="preserve">Publicado en el Diario Oficial de la Federación el once de junio de dos mil trece, disponible en: </w:t>
      </w:r>
      <w:r w:rsidRPr="00EB4B7C">
        <w:rPr>
          <w:rFonts w:ascii="ITC Avant Garde" w:hAnsi="ITC Avant Garde"/>
          <w:sz w:val="16"/>
          <w:lang w:val="es-MX"/>
        </w:rPr>
        <w:t>http://www.dof.gob.mx/nota_detalle.php?codigo=5301941&amp;fecha=11/06/2013</w:t>
      </w:r>
      <w:r w:rsidRPr="00DD28F8">
        <w:rPr>
          <w:rFonts w:ascii="ITC Avant Garde" w:hAnsi="ITC Avant Garde"/>
          <w:sz w:val="16"/>
          <w:lang w:val="es-MX"/>
        </w:rPr>
        <w:t>.</w:t>
      </w:r>
    </w:p>
  </w:footnote>
  <w:footnote w:id="2">
    <w:p w14:paraId="1B666EFF" w14:textId="77777777" w:rsidR="00AF5B84" w:rsidRPr="00783F4F" w:rsidRDefault="00AF5B84" w:rsidP="00783F4F">
      <w:pPr>
        <w:spacing w:before="0" w:after="0"/>
        <w:rPr>
          <w:sz w:val="16"/>
          <w:szCs w:val="16"/>
        </w:rPr>
      </w:pPr>
      <w:r w:rsidRPr="00783F4F">
        <w:rPr>
          <w:rStyle w:val="Refdenotaalpie"/>
          <w:sz w:val="16"/>
          <w:szCs w:val="16"/>
        </w:rPr>
        <w:footnoteRef/>
      </w:r>
      <w:r w:rsidRPr="00783F4F">
        <w:rPr>
          <w:sz w:val="16"/>
          <w:szCs w:val="16"/>
        </w:rPr>
        <w:t xml:space="preserve"> </w:t>
      </w:r>
      <w:r w:rsidRPr="00783F4F">
        <w:rPr>
          <w:sz w:val="16"/>
          <w:szCs w:val="16"/>
          <w:lang w:eastAsia="es-ES"/>
        </w:rPr>
        <w:t>En precedentes decisorios de este Instituto se ha considerado que la</w:t>
      </w:r>
      <w:r w:rsidRPr="00783F4F">
        <w:rPr>
          <w:rFonts w:eastAsia="Times New Roman"/>
          <w:bCs/>
          <w:color w:val="000000"/>
          <w:sz w:val="16"/>
          <w:szCs w:val="16"/>
        </w:rPr>
        <w:t xml:space="preserve"> Provisión de Sitios para Telecomunicaciones</w:t>
      </w:r>
      <w:r w:rsidRPr="00783F4F">
        <w:rPr>
          <w:sz w:val="16"/>
          <w:szCs w:val="16"/>
          <w:lang w:eastAsia="es-ES"/>
        </w:rPr>
        <w:t xml:space="preserve"> es un servicio que pertenece al sector de telecomunicaciones. Ver, por ejemplo:</w:t>
      </w:r>
    </w:p>
    <w:p w14:paraId="43BCF7F1" w14:textId="77777777" w:rsidR="00AF5B84" w:rsidRPr="00927109" w:rsidRDefault="00AF5B84" w:rsidP="00ED1E76">
      <w:pPr>
        <w:pStyle w:val="Textonotapie"/>
        <w:numPr>
          <w:ilvl w:val="0"/>
          <w:numId w:val="42"/>
        </w:numPr>
        <w:spacing w:before="0"/>
        <w:ind w:left="182" w:hanging="182"/>
        <w:rPr>
          <w:rFonts w:ascii="ITC Avant Garde" w:hAnsi="ITC Avant Garde"/>
          <w:sz w:val="16"/>
          <w:szCs w:val="16"/>
        </w:rPr>
      </w:pPr>
      <w:r w:rsidRPr="00783F4F">
        <w:rPr>
          <w:rFonts w:ascii="ITC Avant Garde" w:hAnsi="ITC Avant Garde"/>
          <w:i/>
          <w:sz w:val="16"/>
          <w:szCs w:val="16"/>
        </w:rPr>
        <w:t>Resolución mediante la cual el Pleno</w:t>
      </w:r>
      <w:r w:rsidRPr="009412D3">
        <w:rPr>
          <w:rFonts w:ascii="ITC Avant Garde" w:hAnsi="ITC Avant Garde"/>
          <w:i/>
          <w:sz w:val="16"/>
          <w:szCs w:val="16"/>
        </w:rPr>
        <w:t xml:space="preserve"> del Instituto Federal de Telecomunicaciones autoriza que se realice la concentración radicada bajo el expediente No. UCE/CNC-0001-2014</w:t>
      </w:r>
      <w:r>
        <w:rPr>
          <w:rFonts w:ascii="ITC Avant Garde" w:hAnsi="ITC Avant Garde"/>
          <w:sz w:val="16"/>
          <w:szCs w:val="16"/>
        </w:rPr>
        <w:t>.</w:t>
      </w:r>
      <w:r w:rsidRPr="009412D3">
        <w:rPr>
          <w:rFonts w:ascii="ITC Avant Garde" w:hAnsi="ITC Avant Garde"/>
          <w:sz w:val="16"/>
          <w:szCs w:val="16"/>
        </w:rPr>
        <w:t xml:space="preserve"> </w:t>
      </w:r>
      <w:r w:rsidRPr="009412D3">
        <w:rPr>
          <w:rFonts w:ascii="ITC Avant Garde" w:hAnsi="ITC Avant Garde"/>
          <w:sz w:val="16"/>
          <w:szCs w:val="16"/>
          <w:lang w:val="es-MX"/>
        </w:rPr>
        <w:t>Disponible en</w:t>
      </w:r>
      <w:r>
        <w:rPr>
          <w:rFonts w:ascii="ITC Avant Garde" w:hAnsi="ITC Avant Garde"/>
          <w:sz w:val="16"/>
          <w:szCs w:val="16"/>
          <w:lang w:val="es-MX"/>
        </w:rPr>
        <w:t>:</w:t>
      </w:r>
    </w:p>
    <w:p w14:paraId="4380A115" w14:textId="6A960568" w:rsidR="00AF5B84" w:rsidRPr="009412D3" w:rsidRDefault="00AF5B84" w:rsidP="00927109">
      <w:pPr>
        <w:pStyle w:val="Textonotapie"/>
        <w:spacing w:before="0"/>
        <w:ind w:left="182"/>
        <w:rPr>
          <w:rFonts w:ascii="ITC Avant Garde" w:hAnsi="ITC Avant Garde"/>
          <w:sz w:val="16"/>
          <w:szCs w:val="16"/>
        </w:rPr>
      </w:pPr>
      <w:r w:rsidRPr="00EB4B7C">
        <w:rPr>
          <w:rFonts w:ascii="ITC Avant Garde" w:hAnsi="ITC Avant Garde"/>
          <w:sz w:val="16"/>
          <w:szCs w:val="16"/>
          <w:lang w:val="es-MX"/>
        </w:rPr>
        <w:t>http://apps.ift.org.mx/publicdata/Version_Publica_P_IFT_160414_92.pdf</w:t>
      </w:r>
      <w:r w:rsidRPr="009412D3">
        <w:rPr>
          <w:rFonts w:ascii="ITC Avant Garde" w:hAnsi="ITC Avant Garde"/>
          <w:sz w:val="16"/>
          <w:szCs w:val="16"/>
          <w:lang w:val="es-MX"/>
        </w:rPr>
        <w:t>.</w:t>
      </w:r>
    </w:p>
    <w:p w14:paraId="38B075E0" w14:textId="77777777" w:rsidR="00AF5B84" w:rsidRPr="009412D3" w:rsidRDefault="00AF5B84" w:rsidP="00ED1E76">
      <w:pPr>
        <w:pStyle w:val="Textonotapie"/>
        <w:spacing w:after="120"/>
        <w:ind w:left="644"/>
        <w:rPr>
          <w:rFonts w:ascii="ITC Avant Garde" w:hAnsi="ITC Avant Garde"/>
          <w:i/>
          <w:sz w:val="16"/>
          <w:szCs w:val="16"/>
        </w:rPr>
      </w:pPr>
      <w:r w:rsidRPr="009412D3">
        <w:rPr>
          <w:rFonts w:ascii="ITC Avant Garde" w:hAnsi="ITC Avant Garde"/>
          <w:i/>
          <w:sz w:val="16"/>
          <w:szCs w:val="16"/>
        </w:rPr>
        <w:t>“(…) el Instituto está facultado para resolver sobre la Intención de las Partes de llevar a cabo la Concentración notificada, toda vez que el negocio que desarrollan las sociedades adquiridas es el de arrendamiento de sitios para telecomunicaciones móviles, que incluyen espacio en torres de telecomunicaciones y azoteas de edificios, los cuales son considerados por los propios notificantes y por el Instituto como infraestructura pasiva de telecomunicaciones, un insumo esencial para el desarrollo eficiente de dicho sector.”</w:t>
      </w:r>
    </w:p>
    <w:p w14:paraId="64A6E4A5" w14:textId="77777777" w:rsidR="00AF5B84" w:rsidRDefault="00AF5B84" w:rsidP="00ED1E76">
      <w:pPr>
        <w:pStyle w:val="Textonotapie"/>
        <w:numPr>
          <w:ilvl w:val="0"/>
          <w:numId w:val="42"/>
        </w:numPr>
        <w:spacing w:before="0"/>
        <w:ind w:left="182" w:hanging="182"/>
        <w:rPr>
          <w:rFonts w:ascii="ITC Avant Garde" w:hAnsi="ITC Avant Garde"/>
          <w:sz w:val="16"/>
          <w:szCs w:val="16"/>
        </w:rPr>
      </w:pPr>
      <w:r w:rsidRPr="009412D3">
        <w:rPr>
          <w:rFonts w:ascii="ITC Avant Garde" w:hAnsi="ITC Avant Garde"/>
          <w:i/>
          <w:sz w:val="16"/>
          <w:szCs w:val="16"/>
        </w:rPr>
        <w:t xml:space="preserve">Resolución mediante la cual el Pleno del Instituto Federal de Telecomunicaciones autoriza que se realice la </w:t>
      </w:r>
      <w:r w:rsidRPr="000D7836">
        <w:rPr>
          <w:rFonts w:ascii="ITC Avant Garde" w:hAnsi="ITC Avant Garde"/>
          <w:i/>
          <w:sz w:val="16"/>
          <w:szCs w:val="16"/>
        </w:rPr>
        <w:t>concentración radicada bajo el expediente No. UCE/CNC-007-2014</w:t>
      </w:r>
      <w:r w:rsidRPr="000D7836">
        <w:rPr>
          <w:rFonts w:ascii="ITC Avant Garde" w:hAnsi="ITC Avant Garde"/>
          <w:sz w:val="16"/>
          <w:szCs w:val="16"/>
        </w:rPr>
        <w:t>. Disponible en</w:t>
      </w:r>
      <w:r>
        <w:rPr>
          <w:rFonts w:ascii="ITC Avant Garde" w:hAnsi="ITC Avant Garde"/>
          <w:sz w:val="16"/>
          <w:szCs w:val="16"/>
        </w:rPr>
        <w:t>:</w:t>
      </w:r>
    </w:p>
    <w:p w14:paraId="719E78B6" w14:textId="07BB7A58" w:rsidR="00AF5B84" w:rsidRPr="000D7836" w:rsidRDefault="00AF5B84" w:rsidP="00927109">
      <w:pPr>
        <w:pStyle w:val="Textonotapie"/>
        <w:spacing w:before="0"/>
        <w:ind w:left="182"/>
        <w:rPr>
          <w:rFonts w:ascii="ITC Avant Garde" w:hAnsi="ITC Avant Garde"/>
          <w:sz w:val="16"/>
          <w:szCs w:val="16"/>
        </w:rPr>
      </w:pPr>
      <w:r w:rsidRPr="00EB4B7C">
        <w:rPr>
          <w:rFonts w:ascii="ITC Avant Garde" w:hAnsi="ITC Avant Garde"/>
          <w:sz w:val="16"/>
          <w:szCs w:val="16"/>
        </w:rPr>
        <w:t>http://apps.ift.org.mx/publicdata/vppift18031593.pdf</w:t>
      </w:r>
      <w:r w:rsidRPr="000D7836">
        <w:rPr>
          <w:rFonts w:ascii="ITC Avant Garde" w:hAnsi="ITC Avant Garde"/>
          <w:sz w:val="16"/>
          <w:szCs w:val="16"/>
        </w:rPr>
        <w:t>.</w:t>
      </w:r>
    </w:p>
    <w:p w14:paraId="6789D819" w14:textId="41990A27" w:rsidR="00AF5B84" w:rsidRPr="000D7836" w:rsidRDefault="00AF5B84" w:rsidP="00ED1E76">
      <w:pPr>
        <w:pStyle w:val="Textonotapie"/>
        <w:spacing w:before="0"/>
        <w:ind w:left="644"/>
        <w:rPr>
          <w:rFonts w:ascii="ITC Avant Garde" w:hAnsi="ITC Avant Garde"/>
          <w:i/>
          <w:sz w:val="16"/>
          <w:szCs w:val="16"/>
          <w:lang w:val="es-MX"/>
        </w:rPr>
      </w:pPr>
      <w:r w:rsidRPr="000D7836">
        <w:rPr>
          <w:rFonts w:ascii="ITC Avant Garde" w:hAnsi="ITC Avant Garde"/>
          <w:i/>
          <w:sz w:val="16"/>
          <w:szCs w:val="16"/>
          <w:lang w:val="es-MX"/>
        </w:rPr>
        <w:t>“(…) el Instituto está facultado para resolver sobre la intención de las Partes de llevar a cabo la Concentración notificada, toda vez que el negocio que desarrollan las Sociedades Adquiridas es el de la provisión y arrendamiento de infraestructura pasiva de telecomunicaciones para servicios móviles, que incluyen espacio en torres de telecomunicaciones y azoteas de edificios, los cuales son considerados, en términos de lo establecido en el artículo 3, fracción XXVII, de la Ley Federal de Telecomunicaciones y Radiodifusión, como</w:t>
      </w:r>
      <w:r>
        <w:rPr>
          <w:rFonts w:ascii="ITC Avant Garde" w:hAnsi="ITC Avant Garde"/>
          <w:i/>
          <w:sz w:val="16"/>
          <w:szCs w:val="16"/>
          <w:lang w:val="es-MX"/>
        </w:rPr>
        <w:t xml:space="preserve"> </w:t>
      </w:r>
      <w:r w:rsidRPr="000D7836">
        <w:rPr>
          <w:rFonts w:ascii="ITC Avant Garde" w:hAnsi="ITC Avant Garde"/>
          <w:i/>
          <w:sz w:val="16"/>
          <w:szCs w:val="16"/>
          <w:lang w:val="es-MX"/>
        </w:rPr>
        <w:t>elementos accesorios que proporcionan soporte a la infraestructura activa, necesarios para la instalación y operación de las redes, así como para la prestación de servicios de telecomunicaciones y radiodifusión.”</w:t>
      </w:r>
    </w:p>
    <w:p w14:paraId="2E342C32" w14:textId="77777777" w:rsidR="00AF5B84" w:rsidRPr="00927109" w:rsidRDefault="00AF5B84" w:rsidP="00ED1E76">
      <w:pPr>
        <w:pStyle w:val="Textonotapie"/>
        <w:numPr>
          <w:ilvl w:val="0"/>
          <w:numId w:val="42"/>
        </w:numPr>
        <w:spacing w:before="0"/>
        <w:ind w:left="182" w:hanging="182"/>
        <w:rPr>
          <w:rFonts w:ascii="ITC Avant Garde" w:hAnsi="ITC Avant Garde"/>
          <w:sz w:val="16"/>
          <w:szCs w:val="16"/>
          <w:lang w:val="es-MX"/>
        </w:rPr>
      </w:pPr>
      <w:r w:rsidRPr="00ED1E76">
        <w:rPr>
          <w:rFonts w:ascii="ITC Avant Garde" w:hAnsi="ITC Avant Garde"/>
          <w:i/>
          <w:sz w:val="16"/>
          <w:szCs w:val="16"/>
        </w:rPr>
        <w:t>Resolución</w:t>
      </w:r>
      <w:r w:rsidRPr="000D7836">
        <w:rPr>
          <w:rFonts w:ascii="ITC Avant Garde" w:hAnsi="ITC Avant Garde"/>
          <w:i/>
          <w:sz w:val="16"/>
          <w:szCs w:val="16"/>
          <w:lang w:val="es-MX"/>
        </w:rPr>
        <w:t xml:space="preserve"> mediante la cual el Pleno </w:t>
      </w:r>
      <w:r>
        <w:rPr>
          <w:rFonts w:ascii="ITC Avant Garde" w:hAnsi="ITC Avant Garde"/>
          <w:i/>
          <w:sz w:val="16"/>
          <w:szCs w:val="16"/>
          <w:lang w:val="es-MX"/>
        </w:rPr>
        <w:t>del</w:t>
      </w:r>
      <w:r w:rsidRPr="000D7836">
        <w:rPr>
          <w:rFonts w:ascii="ITC Avant Garde" w:hAnsi="ITC Avant Garde"/>
          <w:i/>
          <w:sz w:val="16"/>
          <w:szCs w:val="16"/>
          <w:lang w:val="es-MX"/>
        </w:rPr>
        <w:t xml:space="preserve"> Instituto Federal </w:t>
      </w:r>
      <w:r>
        <w:rPr>
          <w:rFonts w:ascii="ITC Avant Garde" w:hAnsi="ITC Avant Garde"/>
          <w:i/>
          <w:sz w:val="16"/>
          <w:szCs w:val="16"/>
          <w:lang w:val="es-MX"/>
        </w:rPr>
        <w:t>de</w:t>
      </w:r>
      <w:r w:rsidRPr="000D7836">
        <w:rPr>
          <w:rFonts w:ascii="ITC Avant Garde" w:hAnsi="ITC Avant Garde"/>
          <w:i/>
          <w:sz w:val="16"/>
          <w:szCs w:val="16"/>
          <w:lang w:val="es-MX"/>
        </w:rPr>
        <w:t xml:space="preserve"> Telecomunicaciones autoriza la concentración radicada bajo el e</w:t>
      </w:r>
      <w:r>
        <w:rPr>
          <w:rFonts w:ascii="ITC Avant Garde" w:hAnsi="ITC Avant Garde"/>
          <w:i/>
          <w:sz w:val="16"/>
          <w:szCs w:val="16"/>
          <w:lang w:val="es-MX"/>
        </w:rPr>
        <w:t xml:space="preserve">xpediente No. UCE/CNC-002-2017. </w:t>
      </w:r>
      <w:r w:rsidRPr="000D7836">
        <w:rPr>
          <w:rFonts w:ascii="ITC Avant Garde" w:hAnsi="ITC Avant Garde"/>
          <w:i/>
          <w:sz w:val="16"/>
          <w:szCs w:val="16"/>
          <w:lang w:val="es-MX"/>
        </w:rPr>
        <w:t>Disponible en:</w:t>
      </w:r>
    </w:p>
    <w:p w14:paraId="22905055" w14:textId="18ED8EEF" w:rsidR="00AF5B84" w:rsidRPr="000D7836" w:rsidRDefault="00AF5B84" w:rsidP="00927109">
      <w:pPr>
        <w:pStyle w:val="Textonotapie"/>
        <w:spacing w:before="0"/>
        <w:ind w:left="182"/>
        <w:rPr>
          <w:rFonts w:ascii="ITC Avant Garde" w:hAnsi="ITC Avant Garde"/>
          <w:sz w:val="16"/>
          <w:szCs w:val="16"/>
          <w:lang w:val="es-MX"/>
        </w:rPr>
      </w:pPr>
      <w:r w:rsidRPr="00EB4B7C">
        <w:rPr>
          <w:rFonts w:ascii="ITC Avant Garde" w:hAnsi="ITC Avant Garde"/>
          <w:sz w:val="16"/>
          <w:szCs w:val="16"/>
          <w:lang w:val="es-MX"/>
        </w:rPr>
        <w:t>http://www.ift.org.mx/sites/default/files/conocenos/pleno/sesiones/acuerdoliga/vppift181017651.pdf</w:t>
      </w:r>
    </w:p>
    <w:p w14:paraId="1566A260" w14:textId="77777777" w:rsidR="00AF5B84" w:rsidRPr="000D7836" w:rsidRDefault="00AF5B84" w:rsidP="00ED1E76">
      <w:pPr>
        <w:pStyle w:val="Textonotapie"/>
        <w:spacing w:before="0"/>
        <w:ind w:left="644"/>
        <w:rPr>
          <w:rFonts w:ascii="ITC Avant Garde" w:hAnsi="ITC Avant Garde"/>
          <w:i/>
          <w:sz w:val="16"/>
          <w:szCs w:val="16"/>
        </w:rPr>
      </w:pPr>
      <w:r w:rsidRPr="000D7836">
        <w:rPr>
          <w:rFonts w:ascii="ITC Avant Garde" w:hAnsi="ITC Avant Garde"/>
          <w:i/>
          <w:sz w:val="16"/>
          <w:szCs w:val="16"/>
        </w:rPr>
        <w:t>“El Instituto es competente para tramitar, evaluar y resolver la Operación notificada toda vez que involucra:</w:t>
      </w:r>
    </w:p>
    <w:p w14:paraId="1D6FFA05" w14:textId="77777777" w:rsidR="00AF5B84" w:rsidRPr="000D7836" w:rsidRDefault="00AF5B84" w:rsidP="000D7836">
      <w:pPr>
        <w:pStyle w:val="Textonotapie"/>
        <w:numPr>
          <w:ilvl w:val="0"/>
          <w:numId w:val="47"/>
        </w:numPr>
        <w:spacing w:before="0"/>
        <w:rPr>
          <w:rFonts w:ascii="ITC Avant Garde" w:hAnsi="ITC Avant Garde"/>
          <w:i/>
          <w:sz w:val="16"/>
          <w:szCs w:val="16"/>
        </w:rPr>
      </w:pPr>
      <w:r w:rsidRPr="000D7836">
        <w:rPr>
          <w:rFonts w:ascii="ITC Avant Garde" w:hAnsi="ITC Avant Garde"/>
          <w:i/>
          <w:sz w:val="16"/>
          <w:szCs w:val="16"/>
        </w:rPr>
        <w:t xml:space="preserve">(…) </w:t>
      </w:r>
    </w:p>
    <w:p w14:paraId="6BD74DAF" w14:textId="77777777" w:rsidR="00AF5B84" w:rsidRPr="000D7836" w:rsidRDefault="00AF5B84" w:rsidP="000D7836">
      <w:pPr>
        <w:pStyle w:val="Textonotapie"/>
        <w:numPr>
          <w:ilvl w:val="0"/>
          <w:numId w:val="47"/>
        </w:numPr>
        <w:spacing w:before="0"/>
        <w:rPr>
          <w:rFonts w:ascii="ITC Avant Garde" w:hAnsi="ITC Avant Garde"/>
          <w:i/>
          <w:sz w:val="16"/>
          <w:szCs w:val="16"/>
        </w:rPr>
      </w:pPr>
      <w:r w:rsidRPr="000D7836">
        <w:rPr>
          <w:rFonts w:ascii="ITC Avant Garde" w:hAnsi="ITC Avant Garde"/>
          <w:i/>
          <w:sz w:val="16"/>
          <w:szCs w:val="16"/>
        </w:rPr>
        <w:t xml:space="preserve">Como Comprador a MATC Digital, un agente económico que arrienda sitios (i.e. espacios físicos) en torres de telecomunicaciones e infraestructura auxiliar, los cuales son elementos de Infraestructura pasiva utilizados por concesionarios de telecomunicaciones, y </w:t>
      </w:r>
    </w:p>
    <w:p w14:paraId="3DCC116F" w14:textId="77777777" w:rsidR="00AF5B84" w:rsidRPr="000D7836" w:rsidRDefault="00AF5B84" w:rsidP="000D7836">
      <w:pPr>
        <w:pStyle w:val="Textonotapie"/>
        <w:spacing w:before="0"/>
        <w:ind w:left="851"/>
        <w:rPr>
          <w:rFonts w:ascii="ITC Avant Garde" w:hAnsi="ITC Avant Garde"/>
          <w:i/>
          <w:sz w:val="16"/>
          <w:szCs w:val="16"/>
        </w:rPr>
      </w:pPr>
      <w:r w:rsidRPr="000D7836">
        <w:rPr>
          <w:rFonts w:ascii="ITC Avant Garde" w:hAnsi="ITC Avant Garde"/>
          <w:i/>
          <w:sz w:val="16"/>
          <w:szCs w:val="16"/>
        </w:rPr>
        <w:t>El objeto es que MATC Digital adquiera 142 (ciento cuarenta y dos) torres de telecomunicaciones propiedad de AXTEL.”</w:t>
      </w:r>
    </w:p>
  </w:footnote>
  <w:footnote w:id="3">
    <w:p w14:paraId="58C5A7AA" w14:textId="77777777" w:rsidR="00AF5B84"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Disponible en:</w:t>
      </w:r>
    </w:p>
    <w:p w14:paraId="31BE0484" w14:textId="27398B4D" w:rsidR="00AF5B84" w:rsidRPr="009412D3" w:rsidRDefault="00AF5B84" w:rsidP="00E4427F">
      <w:pPr>
        <w:pStyle w:val="Textonotapie"/>
        <w:spacing w:before="0"/>
        <w:rPr>
          <w:rFonts w:ascii="ITC Avant Garde" w:hAnsi="ITC Avant Garde"/>
          <w:sz w:val="16"/>
          <w:szCs w:val="16"/>
          <w:lang w:val="es-MX"/>
        </w:rPr>
      </w:pPr>
      <w:r w:rsidRPr="00EB4B7C">
        <w:rPr>
          <w:rFonts w:ascii="ITC Avant Garde" w:hAnsi="ITC Avant Garde"/>
          <w:sz w:val="16"/>
          <w:szCs w:val="16"/>
        </w:rPr>
        <w:t>http://www.senado.gob.mx/comisiones/comunicaciones_transportes/docs/Telecom/dictamen_030714.pdf</w:t>
      </w:r>
    </w:p>
  </w:footnote>
  <w:footnote w:id="4">
    <w:p w14:paraId="61C01B09"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Fuente: Fojas 3, 148-184 y 226-234 del Expediente.</w:t>
      </w:r>
    </w:p>
  </w:footnote>
  <w:footnote w:id="5">
    <w:p w14:paraId="21DA155E"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Fuente: Fojas 3, 185-225 y 235-239 del Expediente.</w:t>
      </w:r>
    </w:p>
  </w:footnote>
  <w:footnote w:id="6">
    <w:p w14:paraId="46727C9B"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Fuente: Fojas 3, 5, 15-16 y 275-297 del Expediente.</w:t>
      </w:r>
    </w:p>
  </w:footnote>
  <w:footnote w:id="7">
    <w:p w14:paraId="31232EC3"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Fuente: Foja 237 del Expediente.</w:t>
      </w:r>
    </w:p>
  </w:footnote>
  <w:footnote w:id="8">
    <w:p w14:paraId="2DC5AA42" w14:textId="5FD88018"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Disponible en </w:t>
      </w:r>
      <w:r w:rsidRPr="00EB4B7C">
        <w:rPr>
          <w:rFonts w:ascii="ITC Avant Garde" w:hAnsi="ITC Avant Garde"/>
          <w:sz w:val="16"/>
          <w:szCs w:val="16"/>
        </w:rPr>
        <w:t>http://rpc.ift.org.mx/rpc/pdfs/96234_171114193729_6877.pdf</w:t>
      </w:r>
      <w:r w:rsidRPr="009412D3">
        <w:rPr>
          <w:rFonts w:ascii="ITC Avant Garde" w:hAnsi="ITC Avant Garde"/>
          <w:sz w:val="16"/>
          <w:szCs w:val="16"/>
        </w:rPr>
        <w:t>.</w:t>
      </w:r>
    </w:p>
  </w:footnote>
  <w:footnote w:id="9">
    <w:p w14:paraId="13218164"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Fuente: Fojas 3 y 240-253 del Expediente.</w:t>
      </w:r>
    </w:p>
  </w:footnote>
  <w:footnote w:id="10">
    <w:p w14:paraId="076DA3E3"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Fuente: Fojas 14-15 del Expediente.</w:t>
      </w:r>
    </w:p>
  </w:footnote>
  <w:footnote w:id="11">
    <w:p w14:paraId="1434E4AE"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Escritura pública número 95,987 (noventa y cinco mil novecientos ochenta y siete), otorgada ante la fe del licenciado Arturo Sobrino Franco, titular de la Notaría Pública número 49 (cuarenta y nueve) de la Ciudad de México. Fuente: Fojas 299-319 del Expediente.</w:t>
      </w:r>
    </w:p>
  </w:footnote>
  <w:footnote w:id="12">
    <w:p w14:paraId="4C3596F1"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Fuente: Foja 1491 del Expediente.</w:t>
      </w:r>
    </w:p>
  </w:footnote>
  <w:footnote w:id="13">
    <w:p w14:paraId="3EEC6A13"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Escritura pública número 10,322 (diez mil trescientos veintidós), otorgada ante la fe del licenciado Guillermo Escamilla Narváez, titular de la Notaría Pública número 243 (doscientos cuarenta y tres) de la Ciudad de México. Fuente: Fojas 392-408 del Expediente.</w:t>
      </w:r>
    </w:p>
  </w:footnote>
  <w:footnote w:id="14">
    <w:p w14:paraId="0EAE4288"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Escritura pública número 72,165 (setenta y </w:t>
      </w:r>
      <w:proofErr w:type="gramStart"/>
      <w:r w:rsidRPr="009412D3">
        <w:rPr>
          <w:rFonts w:ascii="ITC Avant Garde" w:hAnsi="ITC Avant Garde"/>
          <w:sz w:val="16"/>
          <w:szCs w:val="16"/>
        </w:rPr>
        <w:t>dos mil ciento</w:t>
      </w:r>
      <w:proofErr w:type="gramEnd"/>
      <w:r w:rsidRPr="009412D3">
        <w:rPr>
          <w:rFonts w:ascii="ITC Avant Garde" w:hAnsi="ITC Avant Garde"/>
          <w:sz w:val="16"/>
          <w:szCs w:val="16"/>
        </w:rPr>
        <w:t xml:space="preserve"> sesenta y cinco), otorgada ante la fe del licenciado Gerardo Correo Echegaray, titular de la Notaría Pública número 89 (ochenta y nueve) de la Ciudad de México. Fuente: Fojas 529-542 del Expediente.</w:t>
      </w:r>
    </w:p>
  </w:footnote>
  <w:footnote w:id="15">
    <w:p w14:paraId="4E3B16E6" w14:textId="646FCFBE" w:rsidR="00AF5B84" w:rsidRPr="009412D3" w:rsidRDefault="00AF5B84" w:rsidP="00E4427F">
      <w:pPr>
        <w:pStyle w:val="Textonotapie"/>
        <w:spacing w:before="0"/>
        <w:rPr>
          <w:rFonts w:ascii="ITC Avant Garde" w:hAnsi="ITC Avant Garde"/>
          <w:sz w:val="16"/>
          <w:szCs w:val="16"/>
          <w:lang w:val="es-MX"/>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w:t>
      </w:r>
      <w:r w:rsidRPr="009412D3">
        <w:rPr>
          <w:rFonts w:ascii="ITC Avant Garde" w:hAnsi="ITC Avant Garde"/>
          <w:sz w:val="16"/>
          <w:szCs w:val="16"/>
          <w:lang w:val="es-MX"/>
        </w:rPr>
        <w:t xml:space="preserve">La transacción mediante la cual KIO y </w:t>
      </w:r>
      <w:proofErr w:type="spellStart"/>
      <w:r w:rsidRPr="009412D3">
        <w:rPr>
          <w:rFonts w:ascii="ITC Avant Garde" w:hAnsi="ITC Avant Garde"/>
          <w:sz w:val="16"/>
          <w:szCs w:val="16"/>
          <w:lang w:val="es-MX"/>
        </w:rPr>
        <w:t>Wingu</w:t>
      </w:r>
      <w:proofErr w:type="spellEnd"/>
      <w:r w:rsidRPr="009412D3">
        <w:rPr>
          <w:rFonts w:ascii="ITC Avant Garde" w:hAnsi="ITC Avant Garde"/>
          <w:sz w:val="16"/>
          <w:szCs w:val="16"/>
          <w:lang w:val="es-MX"/>
        </w:rPr>
        <w:t xml:space="preserve"> adquirieron a Metro Net fue analizada dentro del Expediente UCE/CNC-004-2014. El Pleno del Instituto autorizó la transacción mediante resolución emitida el 01 de octubre de 2014, disponible en: </w:t>
      </w:r>
      <w:r w:rsidRPr="00EB4B7C">
        <w:rPr>
          <w:rFonts w:ascii="ITC Avant Garde" w:hAnsi="ITC Avant Garde"/>
          <w:sz w:val="16"/>
          <w:szCs w:val="16"/>
          <w:lang w:val="es-MX"/>
        </w:rPr>
        <w:t>http://apps.ift.org.mx/publicdata/P_IFT_011014_332_Version_Publica_UCE.pdf</w:t>
      </w:r>
    </w:p>
  </w:footnote>
  <w:footnote w:id="16">
    <w:p w14:paraId="4BEA57EF" w14:textId="77777777" w:rsidR="00AF5B84" w:rsidRPr="009412D3" w:rsidRDefault="00AF5B84" w:rsidP="00E4427F">
      <w:pPr>
        <w:pStyle w:val="Textonotapie"/>
        <w:spacing w:before="0"/>
        <w:rPr>
          <w:rFonts w:ascii="ITC Avant Garde" w:hAnsi="ITC Avant Garde"/>
          <w:sz w:val="16"/>
          <w:szCs w:val="16"/>
          <w:lang w:val="es-MX"/>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w:t>
      </w:r>
      <w:r>
        <w:rPr>
          <w:rFonts w:ascii="ITC Avant Garde" w:hAnsi="ITC Avant Garde"/>
          <w:sz w:val="16"/>
          <w:szCs w:val="16"/>
          <w:lang w:val="es-MX"/>
        </w:rPr>
        <w:t>Se advierte que</w:t>
      </w:r>
      <w:r w:rsidRPr="009412D3">
        <w:rPr>
          <w:rFonts w:ascii="ITC Avant Garde" w:hAnsi="ITC Avant Garde"/>
          <w:sz w:val="16"/>
          <w:szCs w:val="16"/>
          <w:lang w:val="es-MX"/>
        </w:rPr>
        <w:t xml:space="preserve"> la escisión parcial de Metro Net se encuentra dentro de los supuestos de excepción de notificación del artículo 93, fracción I, de la LFCE, pues tanto Metro Net como CFCA eran controlados por KIO y </w:t>
      </w:r>
      <w:proofErr w:type="spellStart"/>
      <w:r w:rsidRPr="009412D3">
        <w:rPr>
          <w:rFonts w:ascii="ITC Avant Garde" w:hAnsi="ITC Avant Garde"/>
          <w:sz w:val="16"/>
          <w:szCs w:val="16"/>
          <w:lang w:val="es-MX"/>
        </w:rPr>
        <w:t>Wingu</w:t>
      </w:r>
      <w:proofErr w:type="spellEnd"/>
      <w:r w:rsidRPr="009412D3">
        <w:rPr>
          <w:rFonts w:ascii="ITC Avant Garde" w:hAnsi="ITC Avant Garde"/>
          <w:sz w:val="16"/>
          <w:szCs w:val="16"/>
          <w:lang w:val="es-MX"/>
        </w:rPr>
        <w:t xml:space="preserve"> y ningún tercero ajeno a KIO participó en la escisión.</w:t>
      </w:r>
    </w:p>
    <w:p w14:paraId="783C589E" w14:textId="77777777" w:rsidR="00AF5B84" w:rsidRDefault="00AF5B84" w:rsidP="00E4427F">
      <w:pPr>
        <w:pStyle w:val="Textonotapie"/>
        <w:spacing w:before="0"/>
        <w:rPr>
          <w:rFonts w:ascii="ITC Avant Garde" w:hAnsi="ITC Avant Garde"/>
          <w:sz w:val="16"/>
          <w:szCs w:val="16"/>
          <w:lang w:val="es-MX"/>
        </w:rPr>
      </w:pPr>
      <w:r w:rsidRPr="009412D3">
        <w:rPr>
          <w:rFonts w:ascii="ITC Avant Garde" w:hAnsi="ITC Avant Garde"/>
          <w:sz w:val="16"/>
          <w:szCs w:val="16"/>
          <w:lang w:val="es-MX"/>
        </w:rPr>
        <w:t xml:space="preserve">La Escisión Metro Net quedó protocolizada el 14 de agosto de 2017 mediante instrumento </w:t>
      </w:r>
      <w:r w:rsidRPr="009412D3">
        <w:rPr>
          <w:rFonts w:ascii="ITC Avant Garde" w:hAnsi="ITC Avant Garde"/>
          <w:sz w:val="16"/>
          <w:szCs w:val="16"/>
        </w:rPr>
        <w:t>número 80,698 (ochenta mil seiscientos noventa y ocho), otorgado ante la fe del licenciado Roberto Núñez y Bandera, titular de la Notaría Pública número 1 (uno) de la Ciudad de México. Fuente: Fojas 603-641 del Expediente</w:t>
      </w:r>
      <w:r w:rsidRPr="009412D3">
        <w:rPr>
          <w:rFonts w:ascii="ITC Avant Garde" w:hAnsi="ITC Avant Garde"/>
          <w:sz w:val="16"/>
          <w:szCs w:val="16"/>
          <w:lang w:val="es-MX"/>
        </w:rPr>
        <w:t>.</w:t>
      </w:r>
    </w:p>
    <w:p w14:paraId="3E209BB6" w14:textId="77777777" w:rsidR="00AF5B84" w:rsidRPr="009412D3" w:rsidRDefault="00AF5B84" w:rsidP="00E4427F">
      <w:pPr>
        <w:pStyle w:val="Textonotapie"/>
        <w:spacing w:before="0"/>
        <w:rPr>
          <w:rFonts w:ascii="ITC Avant Garde" w:hAnsi="ITC Avant Garde"/>
          <w:sz w:val="16"/>
          <w:szCs w:val="16"/>
          <w:lang w:val="es-MX"/>
        </w:rPr>
      </w:pPr>
      <w:r>
        <w:rPr>
          <w:rFonts w:ascii="ITC Avant Garde" w:hAnsi="ITC Avant Garde"/>
          <w:sz w:val="16"/>
          <w:szCs w:val="16"/>
          <w:lang w:val="es-MX"/>
        </w:rPr>
        <w:t>Asimismo, la Escisión Metro Net surtió efectos mediante declaración protocolizada el 03 de octubre de 2017 a través del</w:t>
      </w:r>
      <w:r w:rsidRPr="009412D3">
        <w:rPr>
          <w:rFonts w:ascii="ITC Avant Garde" w:hAnsi="ITC Avant Garde"/>
          <w:sz w:val="16"/>
          <w:szCs w:val="16"/>
          <w:lang w:val="es-MX"/>
        </w:rPr>
        <w:t xml:space="preserve"> instrumento </w:t>
      </w:r>
      <w:r w:rsidRPr="009412D3">
        <w:rPr>
          <w:rFonts w:ascii="ITC Avant Garde" w:hAnsi="ITC Avant Garde"/>
          <w:sz w:val="16"/>
          <w:szCs w:val="16"/>
        </w:rPr>
        <w:t>número 8</w:t>
      </w:r>
      <w:r>
        <w:rPr>
          <w:rFonts w:ascii="ITC Avant Garde" w:hAnsi="ITC Avant Garde"/>
          <w:sz w:val="16"/>
          <w:szCs w:val="16"/>
        </w:rPr>
        <w:t>1</w:t>
      </w:r>
      <w:r w:rsidRPr="009412D3">
        <w:rPr>
          <w:rFonts w:ascii="ITC Avant Garde" w:hAnsi="ITC Avant Garde"/>
          <w:sz w:val="16"/>
          <w:szCs w:val="16"/>
        </w:rPr>
        <w:t>,</w:t>
      </w:r>
      <w:r>
        <w:rPr>
          <w:rFonts w:ascii="ITC Avant Garde" w:hAnsi="ITC Avant Garde"/>
          <w:sz w:val="16"/>
          <w:szCs w:val="16"/>
        </w:rPr>
        <w:t>157</w:t>
      </w:r>
      <w:r w:rsidRPr="009412D3">
        <w:rPr>
          <w:rFonts w:ascii="ITC Avant Garde" w:hAnsi="ITC Avant Garde"/>
          <w:sz w:val="16"/>
          <w:szCs w:val="16"/>
        </w:rPr>
        <w:t xml:space="preserve"> (ochenta </w:t>
      </w:r>
      <w:r>
        <w:rPr>
          <w:rFonts w:ascii="ITC Avant Garde" w:hAnsi="ITC Avant Garde"/>
          <w:sz w:val="16"/>
          <w:szCs w:val="16"/>
        </w:rPr>
        <w:t xml:space="preserve">y </w:t>
      </w:r>
      <w:proofErr w:type="gramStart"/>
      <w:r>
        <w:rPr>
          <w:rFonts w:ascii="ITC Avant Garde" w:hAnsi="ITC Avant Garde"/>
          <w:sz w:val="16"/>
          <w:szCs w:val="16"/>
        </w:rPr>
        <w:t xml:space="preserve">un </w:t>
      </w:r>
      <w:r w:rsidRPr="009412D3">
        <w:rPr>
          <w:rFonts w:ascii="ITC Avant Garde" w:hAnsi="ITC Avant Garde"/>
          <w:sz w:val="16"/>
          <w:szCs w:val="16"/>
        </w:rPr>
        <w:t xml:space="preserve">mil </w:t>
      </w:r>
      <w:r>
        <w:rPr>
          <w:rFonts w:ascii="ITC Avant Garde" w:hAnsi="ITC Avant Garde"/>
          <w:sz w:val="16"/>
          <w:szCs w:val="16"/>
        </w:rPr>
        <w:t>ciento</w:t>
      </w:r>
      <w:proofErr w:type="gramEnd"/>
      <w:r>
        <w:rPr>
          <w:rFonts w:ascii="ITC Avant Garde" w:hAnsi="ITC Avant Garde"/>
          <w:sz w:val="16"/>
          <w:szCs w:val="16"/>
        </w:rPr>
        <w:t xml:space="preserve"> cincuenta y siete</w:t>
      </w:r>
      <w:r w:rsidRPr="009412D3">
        <w:rPr>
          <w:rFonts w:ascii="ITC Avant Garde" w:hAnsi="ITC Avant Garde"/>
          <w:sz w:val="16"/>
          <w:szCs w:val="16"/>
        </w:rPr>
        <w:t>), otorgado ante la fe del licenciado Roberto Núñez y Bandera, titular de la Notaría Pública número 1 (uno) de la Ciudad de México. Fuente: Fojas 6</w:t>
      </w:r>
      <w:r>
        <w:rPr>
          <w:rFonts w:ascii="ITC Avant Garde" w:hAnsi="ITC Avant Garde"/>
          <w:sz w:val="16"/>
          <w:szCs w:val="16"/>
        </w:rPr>
        <w:t>42</w:t>
      </w:r>
      <w:r w:rsidRPr="009412D3">
        <w:rPr>
          <w:rFonts w:ascii="ITC Avant Garde" w:hAnsi="ITC Avant Garde"/>
          <w:sz w:val="16"/>
          <w:szCs w:val="16"/>
        </w:rPr>
        <w:t>-64</w:t>
      </w:r>
      <w:r>
        <w:rPr>
          <w:rFonts w:ascii="ITC Avant Garde" w:hAnsi="ITC Avant Garde"/>
          <w:sz w:val="16"/>
          <w:szCs w:val="16"/>
        </w:rPr>
        <w:t>9</w:t>
      </w:r>
      <w:r w:rsidRPr="009412D3">
        <w:rPr>
          <w:rFonts w:ascii="ITC Avant Garde" w:hAnsi="ITC Avant Garde"/>
          <w:sz w:val="16"/>
          <w:szCs w:val="16"/>
        </w:rPr>
        <w:t xml:space="preserve"> del Expediente</w:t>
      </w:r>
      <w:r>
        <w:rPr>
          <w:rFonts w:ascii="ITC Avant Garde" w:hAnsi="ITC Avant Garde"/>
          <w:sz w:val="16"/>
          <w:szCs w:val="16"/>
        </w:rPr>
        <w:t>.</w:t>
      </w:r>
    </w:p>
  </w:footnote>
  <w:footnote w:id="17">
    <w:p w14:paraId="040267C4"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Fuente: Fojas 10-11 y 1379 del Expediente.</w:t>
      </w:r>
    </w:p>
  </w:footnote>
  <w:footnote w:id="18">
    <w:p w14:paraId="6B538B17"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Fuente: Foja 1379 del Expediente.</w:t>
      </w:r>
    </w:p>
  </w:footnote>
  <w:footnote w:id="19">
    <w:p w14:paraId="7F0BD6BB"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Fuente: Fojas 4 y 9 del Expediente.</w:t>
      </w:r>
    </w:p>
  </w:footnote>
  <w:footnote w:id="20">
    <w:p w14:paraId="0439BB00"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Metro Net solicitó al Instituto la transición de su concesión a concesión única para uso comercial. Dicha solicitud aún se encuentra en trámite. Fuente: Foja 08 del Expediente.</w:t>
      </w:r>
    </w:p>
  </w:footnote>
  <w:footnote w:id="21">
    <w:p w14:paraId="35C7943E"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Fuente: Fojas 1380-1381 del Expediente.</w:t>
      </w:r>
    </w:p>
  </w:footnote>
  <w:footnote w:id="22">
    <w:p w14:paraId="448ECC90"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Fuente: Foja 1544 del Expediente.</w:t>
      </w:r>
    </w:p>
  </w:footnote>
  <w:footnote w:id="23">
    <w:p w14:paraId="354A9970"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Fuente: Fojas 4 y 10 del Expediente.</w:t>
      </w:r>
    </w:p>
  </w:footnote>
  <w:footnote w:id="24">
    <w:p w14:paraId="09ED3176" w14:textId="1C78604E"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En el entendido que la determinación del GIE Grupo KIO en esta Resolución no prejuzga sobre la dimensión e integrantes de tal Agente Económico en otras decisiones o resoluciones emitidas por el Instituto.</w:t>
      </w:r>
      <w:r>
        <w:rPr>
          <w:rFonts w:ascii="ITC Avant Garde" w:hAnsi="ITC Avant Garde"/>
          <w:sz w:val="16"/>
          <w:szCs w:val="16"/>
        </w:rPr>
        <w:t xml:space="preserve"> </w:t>
      </w:r>
    </w:p>
  </w:footnote>
  <w:footnote w:id="25">
    <w:p w14:paraId="6B8F3230"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Fuente: Foja 1551 del Expediente.</w:t>
      </w:r>
    </w:p>
  </w:footnote>
  <w:footnote w:id="26">
    <w:p w14:paraId="6F854FB9"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Escritura pública número 80,712 (ochenta mil setecientos doce), otorgada ante la fe del licenciado Roberto Núñez y Bandera, titular de la Notaría Pública número 1 (uno) de la Ciudad de México. Fuente: Fojas 465-499l Expediente.</w:t>
      </w:r>
    </w:p>
  </w:footnote>
  <w:footnote w:id="27">
    <w:p w14:paraId="685068D0"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Fuente: Fojas 4, 1378-1379 y 1396-1400 del Expediente.</w:t>
      </w:r>
    </w:p>
  </w:footnote>
  <w:footnote w:id="28">
    <w:p w14:paraId="6FD1D019" w14:textId="1C6C1E61"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Publicadas en el DOF el 24 de julio de 2015. Disponibles en: </w:t>
      </w:r>
      <w:r w:rsidRPr="00EB4B7C">
        <w:rPr>
          <w:rFonts w:ascii="ITC Avant Garde" w:hAnsi="ITC Avant Garde"/>
          <w:sz w:val="16"/>
          <w:szCs w:val="16"/>
        </w:rPr>
        <w:t>http://www.dof.gob.mx/nota_detalle.php?codigo=5401777&amp;fecha=24/07/2015</w:t>
      </w:r>
      <w:r w:rsidRPr="009412D3">
        <w:rPr>
          <w:rFonts w:ascii="ITC Avant Garde" w:hAnsi="ITC Avant Garde"/>
          <w:sz w:val="16"/>
          <w:szCs w:val="16"/>
        </w:rPr>
        <w:t>. La Regla 29 establece lo siguiente:</w:t>
      </w:r>
    </w:p>
    <w:p w14:paraId="5F29356F" w14:textId="77777777" w:rsidR="00AF5B84" w:rsidRPr="009412D3" w:rsidRDefault="00AF5B84" w:rsidP="00E4427F">
      <w:pPr>
        <w:pStyle w:val="Textonotapie"/>
        <w:spacing w:before="0"/>
        <w:ind w:left="567"/>
        <w:rPr>
          <w:rFonts w:ascii="ITC Avant Garde" w:hAnsi="ITC Avant Garde"/>
          <w:i/>
          <w:sz w:val="16"/>
          <w:szCs w:val="16"/>
        </w:rPr>
      </w:pPr>
      <w:r w:rsidRPr="009412D3">
        <w:rPr>
          <w:rFonts w:ascii="ITC Avant Garde" w:hAnsi="ITC Avant Garde"/>
          <w:i/>
          <w:sz w:val="16"/>
          <w:szCs w:val="16"/>
        </w:rPr>
        <w:t>“Regla 29. No se requerirá aprobación por parte del Instituto en los casos de transferencia de la Autorización por fusión de empresas, escisiones o reestructuras corporativas, siempre que dichos actos sean dentro del mismo grupo de control o agente económico. A tal efecto, se deberá notificar la operación respectiva al Instituto dentro de los 30 (treinta) días naturales siguientes a su realización para inscripción en el Registro Público de Concesiones, debiendo presentar la documentación que acredite dichos actos.”</w:t>
      </w:r>
    </w:p>
  </w:footnote>
  <w:footnote w:id="29">
    <w:p w14:paraId="4AF3C1F5" w14:textId="713C46D5"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Ver </w:t>
      </w:r>
      <w:r w:rsidRPr="00EB4B7C">
        <w:rPr>
          <w:rFonts w:ascii="ITC Avant Garde" w:hAnsi="ITC Avant Garde"/>
          <w:sz w:val="16"/>
          <w:szCs w:val="16"/>
        </w:rPr>
        <w:t>http://rpc.ift.org.mx/rpc/pdfs/96234_180126192930_3243.pdf</w:t>
      </w:r>
      <w:r w:rsidRPr="009412D3">
        <w:rPr>
          <w:rFonts w:ascii="ITC Avant Garde" w:hAnsi="ITC Avant Garde"/>
          <w:sz w:val="16"/>
          <w:szCs w:val="16"/>
        </w:rPr>
        <w:t>.</w:t>
      </w:r>
    </w:p>
  </w:footnote>
  <w:footnote w:id="30">
    <w:p w14:paraId="357D9C73" w14:textId="77777777" w:rsidR="00AF5B84" w:rsidRPr="009412D3" w:rsidRDefault="00AF5B84" w:rsidP="0067654D">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Fuente: Foja 1381 del Expediente.</w:t>
      </w:r>
    </w:p>
  </w:footnote>
  <w:footnote w:id="31">
    <w:p w14:paraId="2EE7C67D" w14:textId="77777777" w:rsidR="00AF5B84" w:rsidRPr="009412D3" w:rsidRDefault="00AF5B84" w:rsidP="0067654D">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Fuente: Foja 1382 del Expediente.</w:t>
      </w:r>
    </w:p>
  </w:footnote>
  <w:footnote w:id="32">
    <w:p w14:paraId="0CB673AB" w14:textId="77777777" w:rsidR="00AF5B84" w:rsidRPr="009412D3" w:rsidRDefault="00AF5B84" w:rsidP="0067654D">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Fuente: Foja 1381 del Expediente.</w:t>
      </w:r>
    </w:p>
  </w:footnote>
  <w:footnote w:id="33">
    <w:p w14:paraId="4E801AD2" w14:textId="77777777" w:rsidR="00AF5B84" w:rsidRPr="009412D3" w:rsidRDefault="00AF5B84" w:rsidP="0067654D">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Fuente: Fojas 1380 y 1382 del Expediente.</w:t>
      </w:r>
    </w:p>
  </w:footnote>
  <w:footnote w:id="34">
    <w:p w14:paraId="2391D0DE" w14:textId="77777777" w:rsidR="00AF5B84" w:rsidRPr="009412D3" w:rsidRDefault="00AF5B84" w:rsidP="0067654D">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Fuente: Fojas 1</w:t>
      </w:r>
      <w:r>
        <w:rPr>
          <w:rFonts w:ascii="ITC Avant Garde" w:hAnsi="ITC Avant Garde"/>
          <w:sz w:val="16"/>
          <w:szCs w:val="16"/>
        </w:rPr>
        <w:t>595-1599</w:t>
      </w:r>
      <w:r w:rsidRPr="009412D3">
        <w:rPr>
          <w:rFonts w:ascii="ITC Avant Garde" w:hAnsi="ITC Avant Garde"/>
          <w:sz w:val="16"/>
          <w:szCs w:val="16"/>
        </w:rPr>
        <w:t xml:space="preserve"> del Expediente.</w:t>
      </w:r>
    </w:p>
  </w:footnote>
  <w:footnote w:id="35">
    <w:p w14:paraId="0B578B1B"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Escritura pública número 80,213 (ochenta mil doscientos trece), otorgada ante la fe del licenciado Roberto Núñez y Bandera, titular de la Notaría Pública número 1 (uno) de la Ciudad de México. Fuente: Fojas 501-516 del Expediente.</w:t>
      </w:r>
    </w:p>
  </w:footnote>
  <w:footnote w:id="36">
    <w:p w14:paraId="38804CD2" w14:textId="323FC678" w:rsidR="00AF5B84" w:rsidRPr="009412D3" w:rsidRDefault="00AF5B84" w:rsidP="00E4427F">
      <w:pPr>
        <w:pStyle w:val="Textonotapie"/>
        <w:spacing w:before="0"/>
        <w:rPr>
          <w:rFonts w:ascii="ITC Avant Garde" w:hAnsi="ITC Avant Garde"/>
          <w:sz w:val="16"/>
          <w:szCs w:val="16"/>
          <w:lang w:val="es-MX"/>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w:t>
      </w:r>
      <w:r w:rsidRPr="009412D3">
        <w:rPr>
          <w:rFonts w:ascii="ITC Avant Garde" w:hAnsi="ITC Avant Garde"/>
          <w:sz w:val="16"/>
          <w:szCs w:val="16"/>
          <w:lang w:val="es-MX"/>
        </w:rPr>
        <w:t xml:space="preserve">Ver </w:t>
      </w:r>
      <w:r w:rsidRPr="00EB4B7C">
        <w:rPr>
          <w:rFonts w:ascii="ITC Avant Garde" w:hAnsi="ITC Avant Garde"/>
          <w:sz w:val="16"/>
          <w:szCs w:val="16"/>
          <w:lang w:val="es-MX"/>
        </w:rPr>
        <w:t>http://www.ift.org.mx/conocenos/pleno/sesiones/iii-ordinaria-del-pleno-31-de-enero-de-2018</w:t>
      </w:r>
      <w:r w:rsidRPr="009412D3">
        <w:rPr>
          <w:rFonts w:ascii="ITC Avant Garde" w:hAnsi="ITC Avant Garde"/>
          <w:sz w:val="16"/>
          <w:szCs w:val="16"/>
          <w:lang w:val="es-MX"/>
        </w:rPr>
        <w:t>.</w:t>
      </w:r>
    </w:p>
  </w:footnote>
  <w:footnote w:id="37">
    <w:p w14:paraId="2D0FEF1B"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Certificado de Constitución de fecha 01 de enero de 2010. Fuente: Fojas 1402-1416 del Expediente.</w:t>
      </w:r>
    </w:p>
  </w:footnote>
  <w:footnote w:id="38">
    <w:p w14:paraId="575497FA"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Escritura pública número 51,543 (cincuenta y un mil quinientos cuarenta y tres), otorgada ante la fe del licenciado José Luis Villavicencio Castañeda, titular de la Notaría Pública número 218 (doscientos dieciocho) de la Ciudad de México. Fuente: Fojas 437-463 del Expediente.</w:t>
      </w:r>
    </w:p>
  </w:footnote>
  <w:footnote w:id="39">
    <w:p w14:paraId="6357425C" w14:textId="77777777" w:rsidR="00AF5B84" w:rsidRPr="006E78DA" w:rsidRDefault="00AF5B84" w:rsidP="003C1F21">
      <w:pPr>
        <w:pStyle w:val="Textonotapie"/>
        <w:spacing w:before="0"/>
        <w:rPr>
          <w:rFonts w:ascii="ITC Avant Garde" w:hAnsi="ITC Avant Garde"/>
          <w:sz w:val="16"/>
          <w:szCs w:val="16"/>
        </w:rPr>
      </w:pPr>
      <w:r w:rsidRPr="006E78DA">
        <w:rPr>
          <w:rStyle w:val="Refdenotaalpie"/>
          <w:rFonts w:ascii="ITC Avant Garde" w:hAnsi="ITC Avant Garde"/>
          <w:sz w:val="16"/>
          <w:szCs w:val="16"/>
        </w:rPr>
        <w:footnoteRef/>
      </w:r>
      <w:r w:rsidRPr="006E78DA">
        <w:rPr>
          <w:rFonts w:ascii="ITC Avant Garde" w:hAnsi="ITC Avant Garde"/>
          <w:sz w:val="16"/>
          <w:szCs w:val="16"/>
        </w:rPr>
        <w:t xml:space="preserve"> Fuente: Foja 1420 del Expediente.</w:t>
      </w:r>
    </w:p>
  </w:footnote>
  <w:footnote w:id="40">
    <w:p w14:paraId="2599BCE2" w14:textId="77777777" w:rsidR="00AF5B84" w:rsidRPr="006E78DA" w:rsidRDefault="00AF5B84" w:rsidP="006E78DA">
      <w:pPr>
        <w:pStyle w:val="Textonotapie"/>
        <w:spacing w:before="0"/>
        <w:rPr>
          <w:rFonts w:ascii="ITC Avant Garde" w:hAnsi="ITC Avant Garde"/>
          <w:sz w:val="16"/>
          <w:szCs w:val="16"/>
          <w:lang w:eastAsia="es-ES"/>
        </w:rPr>
      </w:pPr>
      <w:r w:rsidRPr="006E78DA">
        <w:rPr>
          <w:rStyle w:val="Refdenotaalpie"/>
          <w:rFonts w:ascii="ITC Avant Garde" w:hAnsi="ITC Avant Garde"/>
          <w:sz w:val="16"/>
          <w:szCs w:val="16"/>
        </w:rPr>
        <w:footnoteRef/>
      </w:r>
      <w:r w:rsidRPr="006E78DA">
        <w:rPr>
          <w:rFonts w:ascii="ITC Avant Garde" w:hAnsi="ITC Avant Garde"/>
          <w:sz w:val="16"/>
          <w:szCs w:val="16"/>
        </w:rPr>
        <w:t xml:space="preserve"> Constituyen hechos notorios para efectos de este cumplimiento: los acontecimientos de dominio público, el contenido de las páginas web de diversos agentes económicos y la documentación contenida en los expedientes que obren en sus archivos. Sirven de base a lo anterior las siguientes tesis.</w:t>
      </w:r>
    </w:p>
    <w:p w14:paraId="15EFEE70" w14:textId="77777777" w:rsidR="00AF5B84" w:rsidRPr="006E78DA" w:rsidRDefault="00AF5B84" w:rsidP="006E78DA">
      <w:pPr>
        <w:spacing w:before="0" w:after="0" w:line="240" w:lineRule="auto"/>
        <w:rPr>
          <w:sz w:val="16"/>
          <w:szCs w:val="16"/>
        </w:rPr>
      </w:pPr>
      <w:r w:rsidRPr="006E78DA">
        <w:rPr>
          <w:b/>
          <w:sz w:val="16"/>
          <w:szCs w:val="16"/>
        </w:rPr>
        <w:t>HECHOS NOTORIOS. CONCEPTOS GENERAL Y JURÍDICO.</w:t>
      </w:r>
      <w:r w:rsidRPr="006E78DA">
        <w:rPr>
          <w:sz w:val="16"/>
          <w:szCs w:val="16"/>
        </w:rPr>
        <w:t xml:space="preserve"> Época: Novena Época. Registro: 174899. Instancia: Pleno. Tipo de Tesis: Jurisprudencia. Fuente: Semanario Judicial de la Federación y su Gaceta, Tomo XXIII, </w:t>
      </w:r>
      <w:proofErr w:type="gramStart"/>
      <w:r w:rsidRPr="006E78DA">
        <w:rPr>
          <w:sz w:val="16"/>
          <w:szCs w:val="16"/>
        </w:rPr>
        <w:t>Junio</w:t>
      </w:r>
      <w:proofErr w:type="gramEnd"/>
      <w:r w:rsidRPr="006E78DA">
        <w:rPr>
          <w:sz w:val="16"/>
          <w:szCs w:val="16"/>
        </w:rPr>
        <w:t xml:space="preserve"> de 2006. Materia(s): Común. Tesis: P./J. 74/2006, página 963.</w:t>
      </w:r>
    </w:p>
    <w:p w14:paraId="309B0B57" w14:textId="77777777" w:rsidR="00AF5B84" w:rsidRPr="006E78DA" w:rsidRDefault="00AF5B84" w:rsidP="006E78DA">
      <w:pPr>
        <w:pStyle w:val="Textonotapie"/>
        <w:spacing w:before="0"/>
        <w:rPr>
          <w:rFonts w:ascii="ITC Avant Garde" w:hAnsi="ITC Avant Garde"/>
          <w:sz w:val="16"/>
          <w:szCs w:val="16"/>
        </w:rPr>
      </w:pPr>
      <w:r w:rsidRPr="006E78DA">
        <w:rPr>
          <w:rFonts w:ascii="ITC Avant Garde" w:hAnsi="ITC Avant Garde"/>
          <w:b/>
          <w:sz w:val="16"/>
          <w:szCs w:val="16"/>
        </w:rPr>
        <w:t>HECHOS NOTORIOS, LOS MAGISTRADOS INTEGRANTES DE LOS TRIBUNALES COLEGIADOS DE CIRCUITO PUEDEN INVOCAR CON ESE CARÁCTER LAS EJECUTORIAS QUE EMITIERON Y LOS DIFERENTES DATOS E INFORMACIÓN CONTENIDOS EN DICHAS RESOLUCIONES Y EN LOS ASUNTOS QUE SE SIGAN ANTE LOS PROPIOS ÓRGANOS.</w:t>
      </w:r>
      <w:r w:rsidRPr="006E78DA">
        <w:rPr>
          <w:rFonts w:ascii="ITC Avant Garde" w:hAnsi="ITC Avant Garde"/>
          <w:sz w:val="16"/>
          <w:szCs w:val="16"/>
        </w:rPr>
        <w:t xml:space="preserve"> Novena Época, Registro número 164049, Primer Tribunal Colegiado en Materias Penal y de Trabajo del Décimo Noveno Circuito, Tesis Jurisprudencia, Semanario Judicial de la Federación y su Gaceta, Tomo XXXII, </w:t>
      </w:r>
      <w:proofErr w:type="gramStart"/>
      <w:r w:rsidRPr="006E78DA">
        <w:rPr>
          <w:rFonts w:ascii="ITC Avant Garde" w:hAnsi="ITC Avant Garde"/>
          <w:sz w:val="16"/>
          <w:szCs w:val="16"/>
        </w:rPr>
        <w:t>Agosto</w:t>
      </w:r>
      <w:proofErr w:type="gramEnd"/>
      <w:r w:rsidRPr="006E78DA">
        <w:rPr>
          <w:rFonts w:ascii="ITC Avant Garde" w:hAnsi="ITC Avant Garde"/>
          <w:sz w:val="16"/>
          <w:szCs w:val="16"/>
        </w:rPr>
        <w:t xml:space="preserve"> de 2010, Materia Común, Tesis: XIX, 1o, PTJ/4, página 2023.</w:t>
      </w:r>
    </w:p>
    <w:p w14:paraId="470EDB7A" w14:textId="77777777" w:rsidR="00AF5B84" w:rsidRPr="006E78DA" w:rsidRDefault="00AF5B84" w:rsidP="006E78DA">
      <w:pPr>
        <w:pStyle w:val="Textonotapie"/>
        <w:spacing w:before="0"/>
        <w:rPr>
          <w:rFonts w:ascii="ITC Avant Garde" w:hAnsi="ITC Avant Garde"/>
          <w:sz w:val="16"/>
          <w:szCs w:val="16"/>
        </w:rPr>
      </w:pPr>
      <w:r w:rsidRPr="006E78DA">
        <w:rPr>
          <w:rFonts w:ascii="ITC Avant Garde" w:hAnsi="ITC Avant Garde"/>
          <w:b/>
          <w:sz w:val="16"/>
          <w:szCs w:val="16"/>
        </w:rPr>
        <w:t>HECHO NOTORIO. LO CONSTITUYEN LAS RESOLUCIONES DE LOS ÓRGANOS DEL CONSEJO DE LA JUDICATURA FEDERAL QUE SE REGISTRAN EN EL SISTEMA INTEGRAL DE SEGUIMIENTO DE EXPEDIENTES.</w:t>
      </w:r>
      <w:r w:rsidRPr="006E78DA">
        <w:rPr>
          <w:rFonts w:ascii="ITC Avant Garde" w:hAnsi="ITC Avant Garde"/>
          <w:sz w:val="16"/>
          <w:szCs w:val="16"/>
        </w:rPr>
        <w:t xml:space="preserve"> Décima Época, Registro 2009054, Décimo Tribunal Colegiado en Materia Civil del Primer Circuito, Tesis Aislada, Gaceta del Semanario Judicial de la Federación, Libro 18, </w:t>
      </w:r>
      <w:proofErr w:type="gramStart"/>
      <w:r w:rsidRPr="006E78DA">
        <w:rPr>
          <w:rFonts w:ascii="ITC Avant Garde" w:hAnsi="ITC Avant Garde"/>
          <w:sz w:val="16"/>
          <w:szCs w:val="16"/>
        </w:rPr>
        <w:t>Mayo</w:t>
      </w:r>
      <w:proofErr w:type="gramEnd"/>
      <w:r w:rsidRPr="006E78DA">
        <w:rPr>
          <w:rFonts w:ascii="ITC Avant Garde" w:hAnsi="ITC Avant Garde"/>
          <w:sz w:val="16"/>
          <w:szCs w:val="16"/>
        </w:rPr>
        <w:t xml:space="preserve"> de 2015, Tomo III, Materia Común, Tesis I.10o.C.2 K (10a.), página: 2187. </w:t>
      </w:r>
    </w:p>
    <w:p w14:paraId="2006AD1E" w14:textId="77777777" w:rsidR="00AF5B84" w:rsidRPr="006E78DA" w:rsidRDefault="00AF5B84" w:rsidP="006E78DA">
      <w:pPr>
        <w:spacing w:before="0" w:after="0" w:line="240" w:lineRule="auto"/>
        <w:rPr>
          <w:sz w:val="16"/>
          <w:szCs w:val="16"/>
        </w:rPr>
      </w:pPr>
      <w:r w:rsidRPr="006E78DA">
        <w:rPr>
          <w:b/>
          <w:sz w:val="16"/>
          <w:szCs w:val="16"/>
        </w:rPr>
        <w:t>PÁGINAS WEB O ELECTRÓNICAS. SU CONTENIDO ES UN HECHO NOTORIO Y SUSCEPTIBLE DE SER VALORADO EN UNA DECISIÓN JUDICIAL.</w:t>
      </w:r>
      <w:r w:rsidRPr="006E78DA">
        <w:rPr>
          <w:sz w:val="16"/>
          <w:szCs w:val="16"/>
        </w:rPr>
        <w:t xml:space="preserve"> Época: Décima Época. Registro: 2004949. Instancia: Tribunales Colegiados de Circuito. Tipo de Tesis: Aislada. Fuente: Semanario Judicial de la Federación y su Gaceta Libro XXVI, </w:t>
      </w:r>
      <w:proofErr w:type="gramStart"/>
      <w:r w:rsidRPr="006E78DA">
        <w:rPr>
          <w:sz w:val="16"/>
          <w:szCs w:val="16"/>
        </w:rPr>
        <w:t>Noviembre</w:t>
      </w:r>
      <w:proofErr w:type="gramEnd"/>
      <w:r w:rsidRPr="006E78DA">
        <w:rPr>
          <w:sz w:val="16"/>
          <w:szCs w:val="16"/>
        </w:rPr>
        <w:t xml:space="preserve"> de 2013, Tomo 2. Materia(s): Civil. Tesis: I.3o.C.35 K (10a.), página 1373.</w:t>
      </w:r>
    </w:p>
  </w:footnote>
  <w:footnote w:id="41">
    <w:p w14:paraId="3B2C0A8D" w14:textId="59554F6D" w:rsidR="00AF5B84" w:rsidRPr="003C1F21" w:rsidRDefault="00AF5B84" w:rsidP="006E78DA">
      <w:pPr>
        <w:pStyle w:val="Textonotapie"/>
        <w:spacing w:before="0"/>
        <w:rPr>
          <w:rFonts w:ascii="ITC Avant Garde" w:hAnsi="ITC Avant Garde"/>
          <w:sz w:val="16"/>
          <w:szCs w:val="16"/>
          <w:lang w:val="es-MX"/>
        </w:rPr>
      </w:pPr>
      <w:r w:rsidRPr="006E78DA">
        <w:rPr>
          <w:rStyle w:val="Refdenotaalpie"/>
          <w:rFonts w:ascii="ITC Avant Garde" w:hAnsi="ITC Avant Garde"/>
          <w:sz w:val="16"/>
          <w:szCs w:val="16"/>
        </w:rPr>
        <w:footnoteRef/>
      </w:r>
      <w:r w:rsidRPr="006E78DA">
        <w:rPr>
          <w:rFonts w:ascii="ITC Avant Garde" w:hAnsi="ITC Avant Garde"/>
          <w:sz w:val="16"/>
          <w:szCs w:val="16"/>
        </w:rPr>
        <w:t xml:space="preserve"> Se identificó que </w:t>
      </w:r>
      <w:proofErr w:type="spellStart"/>
      <w:r w:rsidRPr="006E78DA">
        <w:rPr>
          <w:rFonts w:ascii="ITC Avant Garde" w:hAnsi="ITC Avant Garde"/>
          <w:sz w:val="16"/>
          <w:szCs w:val="16"/>
        </w:rPr>
        <w:t>T</w:t>
      </w:r>
      <w:r w:rsidRPr="006E78DA">
        <w:rPr>
          <w:rFonts w:ascii="ITC Avant Garde" w:eastAsia="Times New Roman" w:hAnsi="ITC Avant Garde"/>
          <w:color w:val="000000"/>
          <w:sz w:val="16"/>
          <w:szCs w:val="16"/>
        </w:rPr>
        <w:t>he</w:t>
      </w:r>
      <w:proofErr w:type="spellEnd"/>
      <w:r w:rsidRPr="006E78DA">
        <w:rPr>
          <w:rFonts w:ascii="ITC Avant Garde" w:eastAsia="Times New Roman" w:hAnsi="ITC Avant Garde"/>
          <w:color w:val="000000"/>
          <w:sz w:val="16"/>
          <w:szCs w:val="16"/>
        </w:rPr>
        <w:t xml:space="preserve"> </w:t>
      </w:r>
      <w:proofErr w:type="spellStart"/>
      <w:r w:rsidRPr="006E78DA">
        <w:rPr>
          <w:rFonts w:ascii="ITC Avant Garde" w:hAnsi="ITC Avant Garde"/>
          <w:sz w:val="16"/>
          <w:szCs w:val="16"/>
        </w:rPr>
        <w:t>Vanguard</w:t>
      </w:r>
      <w:proofErr w:type="spellEnd"/>
      <w:r w:rsidRPr="006E78DA">
        <w:rPr>
          <w:rFonts w:ascii="ITC Avant Garde" w:hAnsi="ITC Avant Garde"/>
          <w:sz w:val="16"/>
          <w:szCs w:val="16"/>
        </w:rPr>
        <w:t xml:space="preserve"> </w:t>
      </w:r>
      <w:proofErr w:type="spellStart"/>
      <w:r w:rsidRPr="006E78DA">
        <w:rPr>
          <w:rFonts w:ascii="ITC Avant Garde" w:hAnsi="ITC Avant Garde"/>
          <w:sz w:val="16"/>
          <w:szCs w:val="16"/>
        </w:rPr>
        <w:t>Group</w:t>
      </w:r>
      <w:proofErr w:type="spellEnd"/>
      <w:r w:rsidRPr="006E78DA">
        <w:rPr>
          <w:rFonts w:ascii="ITC Avant Garde" w:hAnsi="ITC Avant Garde"/>
          <w:sz w:val="16"/>
          <w:szCs w:val="16"/>
        </w:rPr>
        <w:t xml:space="preserve"> tiene participaciones accionarias minoritarios en sociedades que participan directa o indirectamente en la provisión de servicios de telecomunicaciones y/o radiodifusión en México, tales como AT&amp;T </w:t>
      </w:r>
      <w:proofErr w:type="spellStart"/>
      <w:r w:rsidRPr="006E78DA">
        <w:rPr>
          <w:rFonts w:ascii="ITC Avant Garde" w:hAnsi="ITC Avant Garde"/>
          <w:sz w:val="16"/>
          <w:szCs w:val="16"/>
        </w:rPr>
        <w:t>Inc</w:t>
      </w:r>
      <w:proofErr w:type="spellEnd"/>
      <w:r w:rsidRPr="006E78DA">
        <w:rPr>
          <w:rFonts w:ascii="ITC Avant Garde" w:hAnsi="ITC Avant Garde"/>
          <w:sz w:val="16"/>
          <w:szCs w:val="16"/>
        </w:rPr>
        <w:t xml:space="preserve"> (0.76%) y Telefónica, S.A.</w:t>
      </w:r>
      <w:r w:rsidRPr="003C1F21">
        <w:rPr>
          <w:rFonts w:ascii="ITC Avant Garde" w:hAnsi="ITC Avant Garde"/>
          <w:sz w:val="16"/>
          <w:szCs w:val="16"/>
        </w:rPr>
        <w:t xml:space="preserve"> (0.11%); sin embargo, esas participaciones no le otorgan la capacidad de controlar, ni la facultad para nombrar a miembros de órganos de decisión, o a directivos de las sociedades. Fuente: Reporte Anual 2016 de </w:t>
      </w:r>
      <w:proofErr w:type="spellStart"/>
      <w:r w:rsidRPr="003C1F21">
        <w:rPr>
          <w:rFonts w:ascii="ITC Avant Garde" w:hAnsi="ITC Avant Garde"/>
          <w:sz w:val="16"/>
          <w:szCs w:val="16"/>
        </w:rPr>
        <w:t>The</w:t>
      </w:r>
      <w:proofErr w:type="spellEnd"/>
      <w:r w:rsidRPr="003C1F21">
        <w:rPr>
          <w:rFonts w:ascii="ITC Avant Garde" w:hAnsi="ITC Avant Garde"/>
          <w:sz w:val="16"/>
          <w:szCs w:val="16"/>
        </w:rPr>
        <w:t xml:space="preserve"> </w:t>
      </w:r>
      <w:proofErr w:type="spellStart"/>
      <w:r w:rsidRPr="003C1F21">
        <w:rPr>
          <w:rFonts w:ascii="ITC Avant Garde" w:hAnsi="ITC Avant Garde"/>
          <w:sz w:val="16"/>
          <w:szCs w:val="16"/>
        </w:rPr>
        <w:t>Vanguard</w:t>
      </w:r>
      <w:proofErr w:type="spellEnd"/>
      <w:r w:rsidRPr="003C1F21">
        <w:rPr>
          <w:rFonts w:ascii="ITC Avant Garde" w:hAnsi="ITC Avant Garde"/>
          <w:sz w:val="16"/>
          <w:szCs w:val="16"/>
        </w:rPr>
        <w:t xml:space="preserve"> </w:t>
      </w:r>
      <w:proofErr w:type="spellStart"/>
      <w:r w:rsidRPr="003C1F21">
        <w:rPr>
          <w:rFonts w:ascii="ITC Avant Garde" w:hAnsi="ITC Avant Garde"/>
          <w:sz w:val="16"/>
          <w:szCs w:val="16"/>
        </w:rPr>
        <w:t>Group</w:t>
      </w:r>
      <w:proofErr w:type="spellEnd"/>
      <w:r w:rsidRPr="003C1F21">
        <w:rPr>
          <w:rFonts w:ascii="ITC Avant Garde" w:hAnsi="ITC Avant Garde"/>
          <w:sz w:val="16"/>
          <w:szCs w:val="16"/>
        </w:rPr>
        <w:t xml:space="preserve">, disponible en </w:t>
      </w:r>
      <w:r w:rsidRPr="00EB4B7C">
        <w:rPr>
          <w:rFonts w:ascii="ITC Avant Garde" w:hAnsi="ITC Avant Garde"/>
          <w:sz w:val="16"/>
          <w:szCs w:val="16"/>
        </w:rPr>
        <w:t>https://global.vanguard.com/portal/site/loadPDF?country=global&amp;docId=7139</w:t>
      </w:r>
    </w:p>
  </w:footnote>
  <w:footnote w:id="42">
    <w:p w14:paraId="239D94F9"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Fuente: Foja 1547 del Expediente.</w:t>
      </w:r>
    </w:p>
  </w:footnote>
  <w:footnote w:id="43">
    <w:p w14:paraId="6F68CE73"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Fuente: Foja 1551 del Expediente.</w:t>
      </w:r>
    </w:p>
  </w:footnote>
  <w:footnote w:id="44">
    <w:p w14:paraId="22C5023F" w14:textId="26A81E00"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En el entendido que la determinación del GIE Grupo ATC en esta Resolución no prejuzga sobre la dimensión e integrantes de tal Agente Económico en otras decisiones o resoluciones emitidas por el Instituto.</w:t>
      </w:r>
      <w:r>
        <w:rPr>
          <w:rFonts w:ascii="ITC Avant Garde" w:hAnsi="ITC Avant Garde"/>
          <w:sz w:val="16"/>
          <w:szCs w:val="16"/>
        </w:rPr>
        <w:t xml:space="preserve"> </w:t>
      </w:r>
    </w:p>
  </w:footnote>
  <w:footnote w:id="45">
    <w:p w14:paraId="7AF3F716"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Fuente: Foja 4 del Expediente.</w:t>
      </w:r>
    </w:p>
  </w:footnote>
  <w:footnote w:id="46">
    <w:p w14:paraId="7C5AFCC7"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Fuente: Foja 10 del Expediente.</w:t>
      </w:r>
    </w:p>
  </w:footnote>
  <w:footnote w:id="47">
    <w:p w14:paraId="49A04CD0"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Fuente: Foja 1434 del Expediente.</w:t>
      </w:r>
    </w:p>
  </w:footnote>
  <w:footnote w:id="48">
    <w:p w14:paraId="25AF9E68"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Fuente: Fojas 10-11 del Expediente.</w:t>
      </w:r>
    </w:p>
  </w:footnote>
  <w:footnote w:id="49">
    <w:p w14:paraId="5D5CC343" w14:textId="5323BAF6" w:rsidR="00AF5B84" w:rsidRPr="009412D3" w:rsidRDefault="00AF5B84" w:rsidP="00E4427F">
      <w:pPr>
        <w:pStyle w:val="Textonotapie"/>
        <w:spacing w:before="0"/>
        <w:rPr>
          <w:rFonts w:ascii="ITC Avant Garde" w:hAnsi="ITC Avant Garde"/>
          <w:sz w:val="16"/>
          <w:szCs w:val="16"/>
          <w:lang w:val="es-MX"/>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w:t>
      </w:r>
      <w:r w:rsidRPr="009412D3">
        <w:rPr>
          <w:rFonts w:ascii="ITC Avant Garde" w:hAnsi="ITC Avant Garde"/>
          <w:sz w:val="16"/>
          <w:szCs w:val="16"/>
          <w:lang w:val="es-MX"/>
        </w:rPr>
        <w:t xml:space="preserve">Ver </w:t>
      </w:r>
      <w:r w:rsidRPr="009412D3">
        <w:rPr>
          <w:rFonts w:ascii="ITC Avant Garde" w:hAnsi="ITC Avant Garde"/>
          <w:i/>
          <w:sz w:val="16"/>
          <w:szCs w:val="16"/>
          <w:lang w:val="es-MX"/>
        </w:rPr>
        <w:t>Resolución mediante la cual el Pleno del Instituto Federal de Telecomunicaciones otorga a Tecnologías Especializadas en Líneas de Conexión Óptica, S.A.P.I. de C.V., un título de concesión única para uso comercial</w:t>
      </w:r>
      <w:r w:rsidRPr="009412D3">
        <w:rPr>
          <w:rFonts w:ascii="ITC Avant Garde" w:hAnsi="ITC Avant Garde"/>
          <w:sz w:val="16"/>
          <w:szCs w:val="16"/>
          <w:lang w:val="es-MX"/>
        </w:rPr>
        <w:t xml:space="preserve">, disponible en </w:t>
      </w:r>
      <w:r w:rsidRPr="00EB4B7C">
        <w:rPr>
          <w:rFonts w:ascii="ITC Avant Garde" w:hAnsi="ITC Avant Garde"/>
          <w:sz w:val="16"/>
          <w:szCs w:val="16"/>
          <w:lang w:val="es-MX"/>
        </w:rPr>
        <w:t>http://www.ift.org.mx/conocenos/pleno/sesiones/iii-ordinaria-del-pleno-31-de-enero-de-2018</w:t>
      </w:r>
      <w:r w:rsidRPr="009412D3">
        <w:rPr>
          <w:rFonts w:ascii="ITC Avant Garde" w:hAnsi="ITC Avant Garde"/>
          <w:sz w:val="16"/>
          <w:szCs w:val="16"/>
          <w:lang w:val="es-MX"/>
        </w:rPr>
        <w:t>.</w:t>
      </w:r>
    </w:p>
  </w:footnote>
  <w:footnote w:id="50">
    <w:p w14:paraId="4ABBC61E"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Fuente: Foja 27 del Expediente.</w:t>
      </w:r>
    </w:p>
  </w:footnote>
  <w:footnote w:id="51">
    <w:p w14:paraId="20AC5281"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Fuente: Foja 1556 del Expediente.</w:t>
      </w:r>
    </w:p>
  </w:footnote>
  <w:footnote w:id="52">
    <w:p w14:paraId="0DE5DE08"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Fuente: Foja 1556 del Expediente.</w:t>
      </w:r>
    </w:p>
  </w:footnote>
  <w:footnote w:id="53">
    <w:p w14:paraId="4683911A"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Fuente: Foja 1553 del Expediente.</w:t>
      </w:r>
    </w:p>
  </w:footnote>
  <w:footnote w:id="54">
    <w:p w14:paraId="40627520" w14:textId="77777777" w:rsidR="00AF5B84" w:rsidRPr="009412D3" w:rsidRDefault="00AF5B84" w:rsidP="00E4427F">
      <w:pPr>
        <w:pStyle w:val="Textonotapie"/>
        <w:spacing w:before="0"/>
        <w:rPr>
          <w:rFonts w:ascii="ITC Avant Garde" w:hAnsi="ITC Avant Garde"/>
          <w:sz w:val="16"/>
          <w:szCs w:val="16"/>
        </w:rPr>
      </w:pPr>
      <w:r w:rsidRPr="009412D3">
        <w:rPr>
          <w:rStyle w:val="Refdenotaalpie"/>
          <w:rFonts w:ascii="ITC Avant Garde" w:hAnsi="ITC Avant Garde"/>
          <w:sz w:val="16"/>
          <w:szCs w:val="16"/>
        </w:rPr>
        <w:footnoteRef/>
      </w:r>
      <w:r w:rsidRPr="009412D3">
        <w:rPr>
          <w:rFonts w:ascii="ITC Avant Garde" w:hAnsi="ITC Avant Garde"/>
          <w:sz w:val="16"/>
          <w:szCs w:val="16"/>
        </w:rPr>
        <w:t xml:space="preserve"> Fuente: Foja 11 del Expediente.</w:t>
      </w:r>
    </w:p>
  </w:footnote>
  <w:footnote w:id="55">
    <w:p w14:paraId="1C342EEF" w14:textId="42E96F66" w:rsidR="00AF5B84" w:rsidRPr="008068A4" w:rsidRDefault="00AF5B84" w:rsidP="00F80D00">
      <w:pPr>
        <w:pStyle w:val="Textonotapie"/>
        <w:spacing w:before="0"/>
        <w:rPr>
          <w:rFonts w:ascii="ITC Avant Garde" w:hAnsi="ITC Avant Garde"/>
          <w:sz w:val="16"/>
          <w:szCs w:val="16"/>
          <w:lang w:val="es-MX"/>
        </w:rPr>
      </w:pPr>
      <w:r w:rsidRPr="008068A4">
        <w:rPr>
          <w:rStyle w:val="Refdenotaalpie"/>
          <w:rFonts w:ascii="ITC Avant Garde" w:hAnsi="ITC Avant Garde"/>
          <w:sz w:val="16"/>
          <w:szCs w:val="16"/>
        </w:rPr>
        <w:footnoteRef/>
      </w:r>
      <w:r>
        <w:rPr>
          <w:rFonts w:ascii="ITC Avant Garde" w:hAnsi="ITC Avant Garde"/>
          <w:sz w:val="16"/>
          <w:szCs w:val="16"/>
        </w:rPr>
        <w:t xml:space="preserve"> </w:t>
      </w:r>
      <w:r w:rsidRPr="008068A4">
        <w:rPr>
          <w:rFonts w:ascii="ITC Avant Garde" w:hAnsi="ITC Avant Garde"/>
          <w:sz w:val="16"/>
          <w:szCs w:val="16"/>
        </w:rPr>
        <w:t xml:space="preserve">Para mayor referencia véase la versión pública de la Resolución de Preponderancia en Telecomunicaciones, disponible en: </w:t>
      </w:r>
      <w:r w:rsidRPr="00EB4B7C">
        <w:rPr>
          <w:rFonts w:ascii="ITC Avant Garde" w:hAnsi="ITC Avant Garde"/>
          <w:sz w:val="16"/>
          <w:szCs w:val="16"/>
        </w:rPr>
        <w:t>http://apps.ift.org.mx/publicdata/P_IFT_EXT_060314_76_Version_Publica_Hoja.pdf</w:t>
      </w:r>
      <w:r w:rsidRPr="008068A4">
        <w:rPr>
          <w:rFonts w:ascii="ITC Avant Garde" w:hAnsi="ITC Avant Garde"/>
          <w:sz w:val="16"/>
          <w:szCs w:val="16"/>
        </w:rPr>
        <w:t xml:space="preserve">. </w:t>
      </w:r>
    </w:p>
  </w:footnote>
  <w:footnote w:id="56">
    <w:p w14:paraId="18F9464B" w14:textId="4A4F8A74" w:rsidR="00AF5B84" w:rsidRPr="00044D07" w:rsidRDefault="00AF5B84" w:rsidP="00F80D00">
      <w:pPr>
        <w:pStyle w:val="Textonotapie"/>
        <w:rPr>
          <w:rFonts w:ascii="ITC Avant Garde" w:hAnsi="ITC Avant Garde"/>
          <w:sz w:val="16"/>
          <w:szCs w:val="16"/>
          <w:lang w:val="es-MX"/>
        </w:rPr>
      </w:pPr>
      <w:r w:rsidRPr="00044D07">
        <w:rPr>
          <w:rStyle w:val="Refdenotaalpie"/>
          <w:rFonts w:ascii="ITC Avant Garde" w:hAnsi="ITC Avant Garde"/>
          <w:sz w:val="16"/>
          <w:szCs w:val="16"/>
        </w:rPr>
        <w:footnoteRef/>
      </w:r>
      <w:r w:rsidRPr="00044D07">
        <w:rPr>
          <w:rFonts w:ascii="ITC Avant Garde" w:hAnsi="ITC Avant Garde"/>
          <w:sz w:val="16"/>
          <w:szCs w:val="16"/>
        </w:rPr>
        <w:t xml:space="preserve"> Véase Tesis Aislada l. 1 o.A.E.57 A (10a.), Registro No. 2009320, INSTITUTO FEDERAL DE TELECOMUNICACIONES, PUEDE DECLARAR PREPONDERANTE TANTO A UN AGENTE ECONÓMICO, COMO A UN GRUPO DE INTERÉS ECONÓMICO. Disponible en: </w:t>
      </w:r>
      <w:r w:rsidRPr="00EB4B7C">
        <w:rPr>
          <w:rFonts w:ascii="ITC Avant Garde" w:hAnsi="ITC Avant Garde"/>
          <w:sz w:val="16"/>
          <w:szCs w:val="16"/>
        </w:rPr>
        <w:t>http://sjf.scjn.gob.mx/SJFSem/Paginas/DetalleGeneralV2.aspx?ID=2009320&amp;Clase=DetalleSemanarioBL</w:t>
      </w:r>
      <w:r w:rsidRPr="00044D07">
        <w:rPr>
          <w:rFonts w:ascii="ITC Avant Garde" w:hAnsi="ITC Avant Garde"/>
          <w:sz w:val="16"/>
          <w:szCs w:val="16"/>
        </w:rPr>
        <w:t>.</w:t>
      </w:r>
    </w:p>
  </w:footnote>
  <w:footnote w:id="57">
    <w:p w14:paraId="2E0A58F4" w14:textId="77777777" w:rsidR="00AF5B84" w:rsidRPr="00044D07" w:rsidRDefault="00AF5B84" w:rsidP="00F80D00">
      <w:pPr>
        <w:pStyle w:val="Textonotapie"/>
        <w:rPr>
          <w:rFonts w:ascii="ITC Avant Garde" w:hAnsi="ITC Avant Garde"/>
          <w:sz w:val="16"/>
          <w:szCs w:val="16"/>
          <w:lang w:val="es-MX"/>
        </w:rPr>
      </w:pPr>
      <w:r w:rsidRPr="00044D07">
        <w:rPr>
          <w:rStyle w:val="Refdenotaalpie"/>
          <w:rFonts w:ascii="ITC Avant Garde" w:hAnsi="ITC Avant Garde"/>
          <w:sz w:val="16"/>
          <w:szCs w:val="16"/>
        </w:rPr>
        <w:footnoteRef/>
      </w:r>
      <w:r w:rsidRPr="00044D07">
        <w:rPr>
          <w:rFonts w:ascii="ITC Avant Garde" w:hAnsi="ITC Avant Garde"/>
          <w:sz w:val="16"/>
          <w:szCs w:val="16"/>
        </w:rPr>
        <w:t xml:space="preserve"> </w:t>
      </w:r>
      <w:r w:rsidRPr="00044D07">
        <w:rPr>
          <w:rFonts w:ascii="ITC Avant Garde" w:hAnsi="ITC Avant Garde"/>
          <w:sz w:val="16"/>
          <w:szCs w:val="16"/>
          <w:lang w:val="es-MX"/>
        </w:rPr>
        <w:t>Véase, por ejemplo, la Resolución de Preponderancia.</w:t>
      </w:r>
    </w:p>
  </w:footnote>
  <w:footnote w:id="58">
    <w:p w14:paraId="5E035AD6" w14:textId="77777777" w:rsidR="00AF5B84" w:rsidRPr="008068A4" w:rsidRDefault="00AF5B84" w:rsidP="00F80D00">
      <w:pPr>
        <w:pStyle w:val="Textonotapie"/>
        <w:spacing w:before="0"/>
        <w:rPr>
          <w:rFonts w:ascii="ITC Avant Garde" w:hAnsi="ITC Avant Garde"/>
          <w:sz w:val="16"/>
          <w:szCs w:val="16"/>
          <w:lang w:val="es-MX"/>
        </w:rPr>
      </w:pPr>
      <w:r w:rsidRPr="008068A4">
        <w:rPr>
          <w:rStyle w:val="Refdenotaalpie"/>
          <w:rFonts w:ascii="ITC Avant Garde" w:hAnsi="ITC Avant Garde"/>
          <w:sz w:val="16"/>
          <w:szCs w:val="16"/>
        </w:rPr>
        <w:footnoteRef/>
      </w:r>
      <w:r w:rsidRPr="008068A4">
        <w:rPr>
          <w:rFonts w:ascii="ITC Avant Garde" w:hAnsi="ITC Avant Garde"/>
          <w:sz w:val="16"/>
          <w:szCs w:val="16"/>
        </w:rPr>
        <w:t xml:space="preserve"> Publicado en el DOF el 21 de diciembre de 2016 y </w:t>
      </w:r>
      <w:r w:rsidRPr="008068A4">
        <w:rPr>
          <w:rFonts w:ascii="ITC Avant Garde" w:hAnsi="ITC Avant Garde"/>
          <w:sz w:val="16"/>
          <w:szCs w:val="16"/>
          <w:lang w:val="es-MX"/>
        </w:rPr>
        <w:t>disponible en:</w:t>
      </w:r>
    </w:p>
    <w:p w14:paraId="41C0A78C" w14:textId="23AC5B51" w:rsidR="00AF5B84" w:rsidRPr="008068A4" w:rsidRDefault="00AF5B84" w:rsidP="00F80D00">
      <w:pPr>
        <w:pStyle w:val="Textonotapie"/>
        <w:spacing w:before="0"/>
        <w:rPr>
          <w:rFonts w:ascii="ITC Avant Garde" w:hAnsi="ITC Avant Garde"/>
          <w:sz w:val="16"/>
          <w:szCs w:val="16"/>
          <w:lang w:val="es-MX"/>
        </w:rPr>
      </w:pPr>
      <w:r w:rsidRPr="00EB4B7C">
        <w:rPr>
          <w:rFonts w:ascii="ITC Avant Garde" w:hAnsi="ITC Avant Garde"/>
          <w:sz w:val="16"/>
          <w:szCs w:val="16"/>
          <w:lang w:val="es-MX"/>
        </w:rPr>
        <w:t>http://www.dof.gob.mx/nota_detalle.php?codigo=5466360&amp;fecha=21/12/2016</w:t>
      </w:r>
    </w:p>
  </w:footnote>
  <w:footnote w:id="59">
    <w:p w14:paraId="16E87D9A" w14:textId="77777777" w:rsidR="00AF5B84" w:rsidRPr="008068A4" w:rsidRDefault="00AF5B84" w:rsidP="00F80D00">
      <w:pPr>
        <w:spacing w:before="0" w:after="0"/>
        <w:rPr>
          <w:sz w:val="16"/>
          <w:szCs w:val="16"/>
        </w:rPr>
      </w:pPr>
      <w:r w:rsidRPr="008068A4">
        <w:rPr>
          <w:rStyle w:val="Refdenotaalpie"/>
          <w:sz w:val="16"/>
          <w:szCs w:val="16"/>
        </w:rPr>
        <w:footnoteRef/>
      </w:r>
      <w:r w:rsidRPr="008068A4">
        <w:rPr>
          <w:sz w:val="16"/>
          <w:szCs w:val="16"/>
        </w:rPr>
        <w:t xml:space="preserve"> </w:t>
      </w:r>
      <w:r w:rsidRPr="008068A4">
        <w:rPr>
          <w:sz w:val="16"/>
          <w:szCs w:val="16"/>
          <w:lang w:eastAsia="es-ES"/>
        </w:rPr>
        <w:t>Ver, por ejemplo:</w:t>
      </w:r>
    </w:p>
    <w:p w14:paraId="70274B51" w14:textId="5C5CEE87" w:rsidR="00AF5B84" w:rsidRPr="008068A4" w:rsidRDefault="00AF5B84" w:rsidP="00F80D00">
      <w:pPr>
        <w:pStyle w:val="Textonotapie"/>
        <w:numPr>
          <w:ilvl w:val="0"/>
          <w:numId w:val="42"/>
        </w:numPr>
        <w:spacing w:before="0"/>
        <w:ind w:left="567"/>
        <w:rPr>
          <w:rFonts w:ascii="ITC Avant Garde" w:hAnsi="ITC Avant Garde"/>
          <w:sz w:val="16"/>
          <w:szCs w:val="16"/>
        </w:rPr>
      </w:pPr>
      <w:r w:rsidRPr="008068A4">
        <w:rPr>
          <w:rFonts w:ascii="ITC Avant Garde" w:hAnsi="ITC Avant Garde"/>
          <w:i/>
          <w:sz w:val="16"/>
          <w:szCs w:val="16"/>
        </w:rPr>
        <w:t>Resolución mediante la cual el Pleno del Instituto Federal de Telecomunicaciones autoriza que se realice la concentración radicada bajo el expediente No. UCE/CNC-0001-2014</w:t>
      </w:r>
      <w:r w:rsidRPr="008068A4">
        <w:rPr>
          <w:rFonts w:ascii="ITC Avant Garde" w:hAnsi="ITC Avant Garde"/>
          <w:sz w:val="16"/>
          <w:szCs w:val="16"/>
        </w:rPr>
        <w:t xml:space="preserve">. </w:t>
      </w:r>
      <w:r w:rsidRPr="008068A4">
        <w:rPr>
          <w:rFonts w:ascii="ITC Avant Garde" w:hAnsi="ITC Avant Garde"/>
          <w:sz w:val="16"/>
          <w:szCs w:val="16"/>
          <w:lang w:val="es-MX"/>
        </w:rPr>
        <w:t xml:space="preserve">Disponible en </w:t>
      </w:r>
      <w:r w:rsidRPr="00EB4B7C">
        <w:rPr>
          <w:rFonts w:ascii="ITC Avant Garde" w:hAnsi="ITC Avant Garde"/>
          <w:sz w:val="16"/>
          <w:szCs w:val="16"/>
          <w:lang w:val="es-MX"/>
        </w:rPr>
        <w:t>http://apps.ift.org.mx/publicdata/Version_Publica_P_IFT_160414_92.pdf</w:t>
      </w:r>
      <w:r w:rsidRPr="008068A4">
        <w:rPr>
          <w:rFonts w:ascii="ITC Avant Garde" w:hAnsi="ITC Avant Garde"/>
          <w:sz w:val="16"/>
          <w:szCs w:val="16"/>
          <w:lang w:val="es-MX"/>
        </w:rPr>
        <w:t>.</w:t>
      </w:r>
    </w:p>
    <w:p w14:paraId="2E81627B" w14:textId="77777777" w:rsidR="00AF5B84" w:rsidRPr="008068A4" w:rsidRDefault="00AF5B84" w:rsidP="00F80D00">
      <w:pPr>
        <w:pStyle w:val="Textonotapie"/>
        <w:spacing w:after="120"/>
        <w:ind w:left="851"/>
        <w:rPr>
          <w:rFonts w:ascii="ITC Avant Garde" w:hAnsi="ITC Avant Garde"/>
          <w:i/>
          <w:sz w:val="16"/>
          <w:szCs w:val="16"/>
        </w:rPr>
      </w:pPr>
      <w:r w:rsidRPr="008068A4">
        <w:rPr>
          <w:rFonts w:ascii="ITC Avant Garde" w:hAnsi="ITC Avant Garde"/>
          <w:i/>
          <w:sz w:val="16"/>
          <w:szCs w:val="16"/>
        </w:rPr>
        <w:t>“(…) el Instituto está facultado para resolver sobre la Intención de las Partes de llevar a cabo la Concentración notificada, toda vez que el negocio que desarrollan las sociedades adquiridas es el de arrendamiento de sitios para telecomunicaciones móviles, que incluyen espacio en torres de telecomunicaciones y azoteas de edificios, los cuales son considerados por los propios notificantes y por el Instituto como infraestructura pasiva de telecomunicaciones, un insumo esencial para el desarrollo eficiente de dicho sector.”</w:t>
      </w:r>
    </w:p>
    <w:p w14:paraId="34ABCC7F" w14:textId="405D4D22" w:rsidR="00AF5B84" w:rsidRPr="008068A4" w:rsidRDefault="00AF5B84" w:rsidP="00F80D00">
      <w:pPr>
        <w:pStyle w:val="Textonotapie"/>
        <w:numPr>
          <w:ilvl w:val="0"/>
          <w:numId w:val="42"/>
        </w:numPr>
        <w:spacing w:before="0"/>
        <w:ind w:left="567"/>
        <w:rPr>
          <w:rFonts w:ascii="ITC Avant Garde" w:hAnsi="ITC Avant Garde"/>
          <w:sz w:val="16"/>
          <w:szCs w:val="16"/>
        </w:rPr>
      </w:pPr>
      <w:r w:rsidRPr="008068A4">
        <w:rPr>
          <w:rFonts w:ascii="ITC Avant Garde" w:hAnsi="ITC Avant Garde"/>
          <w:i/>
          <w:sz w:val="16"/>
          <w:szCs w:val="16"/>
        </w:rPr>
        <w:t>Resolución mediante la cual el Pleno del Instituto Federal de Telecomunicaciones autoriza que se realice la concentración radicada bajo el expediente No. UCE/CNC-007-2014</w:t>
      </w:r>
      <w:r w:rsidRPr="008068A4">
        <w:rPr>
          <w:rFonts w:ascii="ITC Avant Garde" w:hAnsi="ITC Avant Garde"/>
          <w:sz w:val="16"/>
          <w:szCs w:val="16"/>
        </w:rPr>
        <w:t xml:space="preserve">. Disponible en </w:t>
      </w:r>
      <w:r w:rsidRPr="00EB4B7C">
        <w:rPr>
          <w:rFonts w:ascii="ITC Avant Garde" w:hAnsi="ITC Avant Garde"/>
          <w:sz w:val="16"/>
          <w:szCs w:val="16"/>
        </w:rPr>
        <w:t>http://apps.ift.org.mx/publicdata/vppift18031593.pdf</w:t>
      </w:r>
      <w:r w:rsidRPr="008068A4">
        <w:rPr>
          <w:rFonts w:ascii="ITC Avant Garde" w:hAnsi="ITC Avant Garde"/>
          <w:sz w:val="16"/>
          <w:szCs w:val="16"/>
        </w:rPr>
        <w:t>.</w:t>
      </w:r>
    </w:p>
    <w:p w14:paraId="3DD0E660" w14:textId="3E5C28B6" w:rsidR="00AF5B84" w:rsidRPr="008068A4" w:rsidRDefault="00AF5B84" w:rsidP="00F80D00">
      <w:pPr>
        <w:pStyle w:val="Textonotapie"/>
        <w:spacing w:before="0"/>
        <w:ind w:left="851"/>
        <w:rPr>
          <w:rFonts w:ascii="ITC Avant Garde" w:hAnsi="ITC Avant Garde"/>
          <w:i/>
          <w:sz w:val="16"/>
          <w:szCs w:val="16"/>
          <w:lang w:val="es-MX"/>
        </w:rPr>
      </w:pPr>
      <w:r w:rsidRPr="008068A4">
        <w:rPr>
          <w:rFonts w:ascii="ITC Avant Garde" w:hAnsi="ITC Avant Garde"/>
          <w:i/>
          <w:sz w:val="16"/>
          <w:szCs w:val="16"/>
          <w:lang w:val="es-MX"/>
        </w:rPr>
        <w:t>“(…) el Instituto está facultado para resolver sobre la intención de las Partes de llevar a cabo la Concentración notificada, toda vez que el negocio que desarrollan las Sociedades Adquiridas es el de la provisión y arrendamiento de infraestructura pasiva de telecomunicaciones para servicios móviles, que incluyen espacio en torres de telecomunicaciones y azoteas de edificios, los cuales son considerados, en términos de lo establecido en el artículo 3, fracción XXVII, de la Ley Federal de Telecomunicaciones y Radiodifusión, como</w:t>
      </w:r>
      <w:r>
        <w:rPr>
          <w:rFonts w:ascii="ITC Avant Garde" w:hAnsi="ITC Avant Garde"/>
          <w:i/>
          <w:sz w:val="16"/>
          <w:szCs w:val="16"/>
          <w:lang w:val="es-MX"/>
        </w:rPr>
        <w:t xml:space="preserve"> </w:t>
      </w:r>
      <w:r w:rsidRPr="008068A4">
        <w:rPr>
          <w:rFonts w:ascii="ITC Avant Garde" w:hAnsi="ITC Avant Garde"/>
          <w:i/>
          <w:sz w:val="16"/>
          <w:szCs w:val="16"/>
          <w:lang w:val="es-MX"/>
        </w:rPr>
        <w:t>elementos accesorios que proporcionan soporte a la infraestructura activa, necesarios para la instalación y operación de las redes, así como para la prestación de servicios de telecomunicaciones y radiodifusión.”</w:t>
      </w:r>
    </w:p>
    <w:p w14:paraId="1222BA3C" w14:textId="64459A8F" w:rsidR="00AF5B84" w:rsidRPr="008068A4" w:rsidRDefault="00AF5B84" w:rsidP="00F80D00">
      <w:pPr>
        <w:pStyle w:val="Textonotapie"/>
        <w:numPr>
          <w:ilvl w:val="0"/>
          <w:numId w:val="42"/>
        </w:numPr>
        <w:spacing w:before="0"/>
        <w:ind w:left="567"/>
        <w:rPr>
          <w:rFonts w:ascii="ITC Avant Garde" w:hAnsi="ITC Avant Garde"/>
          <w:sz w:val="16"/>
          <w:szCs w:val="16"/>
          <w:lang w:val="es-MX"/>
        </w:rPr>
      </w:pPr>
      <w:r w:rsidRPr="008068A4">
        <w:rPr>
          <w:rFonts w:ascii="ITC Avant Garde" w:hAnsi="ITC Avant Garde"/>
          <w:i/>
          <w:sz w:val="16"/>
          <w:szCs w:val="16"/>
          <w:lang w:val="es-MX"/>
        </w:rPr>
        <w:t xml:space="preserve">RESOLUCIÓN MEDIANTE LA CUAL EL PLENO DEL INSTITUTO FEDERAL DE TELECOMUNICACIONES AUTORIZA LA CONCENTRACIÓN RADICADA BAJO EL EXPEDIENTE NO. UCE/CNC-002-2017. Disponible en: </w:t>
      </w:r>
      <w:r w:rsidRPr="00EB4B7C">
        <w:rPr>
          <w:rFonts w:ascii="ITC Avant Garde" w:hAnsi="ITC Avant Garde"/>
          <w:sz w:val="16"/>
          <w:szCs w:val="16"/>
          <w:lang w:val="es-MX"/>
        </w:rPr>
        <w:t>http://www.ift.org.mx/sites/default/files/conocenos/pleno/sesiones/acuerdoliga/vppift181017651.pdf</w:t>
      </w:r>
    </w:p>
    <w:p w14:paraId="594F3C9A" w14:textId="77777777" w:rsidR="00AF5B84" w:rsidRPr="008068A4" w:rsidRDefault="00AF5B84" w:rsidP="00F80D00">
      <w:pPr>
        <w:pStyle w:val="Textonotapie"/>
        <w:spacing w:before="0"/>
        <w:ind w:left="851"/>
        <w:rPr>
          <w:rFonts w:ascii="ITC Avant Garde" w:hAnsi="ITC Avant Garde"/>
          <w:i/>
          <w:sz w:val="16"/>
          <w:szCs w:val="16"/>
        </w:rPr>
      </w:pPr>
      <w:r w:rsidRPr="008068A4">
        <w:rPr>
          <w:rFonts w:ascii="ITC Avant Garde" w:hAnsi="ITC Avant Garde"/>
          <w:i/>
          <w:sz w:val="16"/>
          <w:szCs w:val="16"/>
        </w:rPr>
        <w:t>“El Instituto es competente para tramitar, evaluar y resolver la Operación notificada toda vez que involucra:</w:t>
      </w:r>
    </w:p>
    <w:p w14:paraId="4FD4D19C" w14:textId="77777777" w:rsidR="00AF5B84" w:rsidRPr="008068A4" w:rsidRDefault="00AF5B84" w:rsidP="00F80D00">
      <w:pPr>
        <w:pStyle w:val="Textonotapie"/>
        <w:numPr>
          <w:ilvl w:val="0"/>
          <w:numId w:val="46"/>
        </w:numPr>
        <w:spacing w:before="0"/>
        <w:rPr>
          <w:rFonts w:ascii="ITC Avant Garde" w:hAnsi="ITC Avant Garde"/>
          <w:i/>
          <w:sz w:val="16"/>
          <w:szCs w:val="16"/>
        </w:rPr>
      </w:pPr>
      <w:r w:rsidRPr="008068A4">
        <w:rPr>
          <w:rFonts w:ascii="ITC Avant Garde" w:hAnsi="ITC Avant Garde"/>
          <w:i/>
          <w:sz w:val="16"/>
          <w:szCs w:val="16"/>
        </w:rPr>
        <w:t xml:space="preserve">(…) </w:t>
      </w:r>
    </w:p>
    <w:p w14:paraId="327A3C91" w14:textId="77777777" w:rsidR="00AF5B84" w:rsidRPr="008068A4" w:rsidRDefault="00AF5B84" w:rsidP="00F80D00">
      <w:pPr>
        <w:pStyle w:val="Textonotapie"/>
        <w:numPr>
          <w:ilvl w:val="0"/>
          <w:numId w:val="46"/>
        </w:numPr>
        <w:spacing w:before="0"/>
        <w:rPr>
          <w:rFonts w:ascii="ITC Avant Garde" w:hAnsi="ITC Avant Garde"/>
          <w:i/>
          <w:sz w:val="16"/>
          <w:szCs w:val="16"/>
        </w:rPr>
      </w:pPr>
      <w:r w:rsidRPr="008068A4">
        <w:rPr>
          <w:rFonts w:ascii="ITC Avant Garde" w:hAnsi="ITC Avant Garde"/>
          <w:i/>
          <w:sz w:val="16"/>
          <w:szCs w:val="16"/>
        </w:rPr>
        <w:t xml:space="preserve">Como Comprador a MATC Digital, un agente económico que arrienda sitios (i.e. espacios físicos) en torres de telecomunicaciones e infraestructura auxiliar, los cuales son elementos de Infraestructura pasiva utilizados por concesionarios de telecomunicaciones, y </w:t>
      </w:r>
    </w:p>
    <w:p w14:paraId="167259ED" w14:textId="77777777" w:rsidR="00AF5B84" w:rsidRPr="008068A4" w:rsidRDefault="00AF5B84" w:rsidP="00F80D00">
      <w:pPr>
        <w:pStyle w:val="Textonotapie"/>
        <w:spacing w:before="0"/>
        <w:ind w:left="851"/>
        <w:rPr>
          <w:rFonts w:ascii="ITC Avant Garde" w:hAnsi="ITC Avant Garde"/>
          <w:i/>
          <w:sz w:val="16"/>
          <w:szCs w:val="16"/>
        </w:rPr>
      </w:pPr>
      <w:r w:rsidRPr="008068A4">
        <w:rPr>
          <w:rFonts w:ascii="ITC Avant Garde" w:hAnsi="ITC Avant Garde"/>
          <w:i/>
          <w:sz w:val="16"/>
          <w:szCs w:val="16"/>
        </w:rPr>
        <w:t>El objeto es que MATC Digital adquiera 142 (ciento cuarenta y dos) torres de telecomunicaciones propiedad de AXTEL.”</w:t>
      </w:r>
    </w:p>
  </w:footnote>
  <w:footnote w:id="60">
    <w:p w14:paraId="3BF08502" w14:textId="77777777" w:rsidR="00AF5B84" w:rsidRPr="008068A4" w:rsidRDefault="00AF5B84" w:rsidP="00F80D00">
      <w:pPr>
        <w:pStyle w:val="Textonotapie"/>
        <w:spacing w:before="0"/>
        <w:rPr>
          <w:rFonts w:ascii="ITC Avant Garde" w:hAnsi="ITC Avant Garde"/>
          <w:sz w:val="16"/>
          <w:szCs w:val="16"/>
        </w:rPr>
      </w:pPr>
      <w:r w:rsidRPr="008068A4">
        <w:rPr>
          <w:rStyle w:val="Refdenotaalpie"/>
          <w:rFonts w:ascii="ITC Avant Garde" w:hAnsi="ITC Avant Garde"/>
          <w:sz w:val="16"/>
          <w:szCs w:val="16"/>
        </w:rPr>
        <w:footnoteRef/>
      </w:r>
      <w:r w:rsidRPr="008068A4">
        <w:rPr>
          <w:rFonts w:ascii="ITC Avant Garde" w:hAnsi="ITC Avant Garde"/>
          <w:sz w:val="16"/>
          <w:szCs w:val="16"/>
        </w:rPr>
        <w:t xml:space="preserve"> Fuente: Foja 1556 del Expediente.</w:t>
      </w:r>
    </w:p>
  </w:footnote>
  <w:footnote w:id="61">
    <w:p w14:paraId="152B6224" w14:textId="77777777" w:rsidR="00AF5B84" w:rsidRPr="008068A4" w:rsidRDefault="00AF5B84" w:rsidP="00F80D00">
      <w:pPr>
        <w:pStyle w:val="Textonotapie"/>
        <w:spacing w:before="0"/>
        <w:rPr>
          <w:rFonts w:ascii="ITC Avant Garde" w:hAnsi="ITC Avant Garde"/>
          <w:i/>
          <w:sz w:val="16"/>
          <w:szCs w:val="16"/>
        </w:rPr>
      </w:pPr>
      <w:r w:rsidRPr="008068A4">
        <w:rPr>
          <w:rStyle w:val="Refdenotaalpie"/>
          <w:rFonts w:ascii="ITC Avant Garde" w:hAnsi="ITC Avant Garde"/>
          <w:sz w:val="16"/>
          <w:szCs w:val="16"/>
        </w:rPr>
        <w:footnoteRef/>
      </w:r>
      <w:r w:rsidRPr="008068A4">
        <w:rPr>
          <w:rFonts w:ascii="ITC Avant Garde" w:hAnsi="ITC Avant Garde"/>
          <w:sz w:val="16"/>
          <w:szCs w:val="16"/>
        </w:rPr>
        <w:t xml:space="preserve"> </w:t>
      </w:r>
      <w:r w:rsidRPr="008068A4">
        <w:rPr>
          <w:rFonts w:ascii="ITC Avant Garde" w:hAnsi="ITC Avant Garde"/>
          <w:i/>
          <w:sz w:val="16"/>
          <w:szCs w:val="16"/>
        </w:rPr>
        <w:t xml:space="preserve">“Por Índice </w:t>
      </w:r>
      <w:proofErr w:type="spellStart"/>
      <w:r w:rsidRPr="008068A4">
        <w:rPr>
          <w:rFonts w:ascii="ITC Avant Garde" w:hAnsi="ITC Avant Garde"/>
          <w:i/>
          <w:sz w:val="16"/>
          <w:szCs w:val="16"/>
        </w:rPr>
        <w:t>Hirschman-Herfindahl</w:t>
      </w:r>
      <w:proofErr w:type="spellEnd"/>
      <w:r w:rsidRPr="008068A4">
        <w:rPr>
          <w:rFonts w:ascii="ITC Avant Garde" w:hAnsi="ITC Avant Garde"/>
          <w:i/>
          <w:sz w:val="16"/>
          <w:szCs w:val="16"/>
        </w:rPr>
        <w:t xml:space="preserve"> “IHH” se entiende la suma de los cuadrados de las participaciones de cada agente económico (IHH=</w:t>
      </w:r>
      <w:r w:rsidRPr="008068A4">
        <w:rPr>
          <w:rFonts w:ascii="ITC Avant Garde" w:hAnsi="ITC Avant Garde" w:cs="Arial"/>
          <w:i/>
          <w:sz w:val="16"/>
          <w:szCs w:val="16"/>
        </w:rPr>
        <w:t>∑</w:t>
      </w:r>
      <w:r w:rsidRPr="008068A4">
        <w:rPr>
          <w:rFonts w:ascii="ITC Avant Garde" w:hAnsi="ITC Avant Garde"/>
          <w:i/>
          <w:sz w:val="16"/>
          <w:szCs w:val="16"/>
        </w:rPr>
        <w:t>i qi2), en el sector que corresponda, medida para el caso del sector de las telecomunicaciones con base en el indicador de número de suscriptores y usuarios de servicios de telecomunicaciones, y para el sector de la radiodifusión con base en audiencia. Este índice puede tomar valores entre cero y diez mil.</w:t>
      </w:r>
    </w:p>
    <w:p w14:paraId="3C60AC56" w14:textId="77777777" w:rsidR="00AF5B84" w:rsidRPr="008068A4" w:rsidRDefault="00AF5B84" w:rsidP="00F80D00">
      <w:pPr>
        <w:pStyle w:val="Textonotapie"/>
        <w:spacing w:before="0"/>
        <w:rPr>
          <w:rFonts w:ascii="ITC Avant Garde" w:hAnsi="ITC Avant Garde"/>
          <w:sz w:val="16"/>
          <w:szCs w:val="16"/>
        </w:rPr>
      </w:pPr>
      <w:r w:rsidRPr="008068A4">
        <w:rPr>
          <w:rFonts w:ascii="ITC Avant Garde" w:hAnsi="ITC Avant Garde"/>
          <w:i/>
          <w:sz w:val="16"/>
          <w:szCs w:val="16"/>
        </w:rPr>
        <w:t xml:space="preserve">Para calcular el Índice de Dominancia “ID”, se determinará primero la contribución porcentual hi de cada agente económico al índice IHH definido en el párrafo anterior (hi = 100xqi2/IHH). Después se calculará el valor de ID aplicando la fórmula del </w:t>
      </w:r>
      <w:proofErr w:type="spellStart"/>
      <w:r w:rsidRPr="008068A4">
        <w:rPr>
          <w:rFonts w:ascii="ITC Avant Garde" w:hAnsi="ITC Avant Garde"/>
          <w:i/>
          <w:sz w:val="16"/>
          <w:szCs w:val="16"/>
        </w:rPr>
        <w:t>Hirschman-Herfindahl</w:t>
      </w:r>
      <w:proofErr w:type="spellEnd"/>
      <w:r w:rsidRPr="008068A4">
        <w:rPr>
          <w:rFonts w:ascii="ITC Avant Garde" w:hAnsi="ITC Avant Garde"/>
          <w:i/>
          <w:sz w:val="16"/>
          <w:szCs w:val="16"/>
        </w:rPr>
        <w:t xml:space="preserve">, pero utilizando ahora las contribuciones hi en vez de las participaciones </w:t>
      </w:r>
      <w:proofErr w:type="spellStart"/>
      <w:r w:rsidRPr="008068A4">
        <w:rPr>
          <w:rFonts w:ascii="ITC Avant Garde" w:hAnsi="ITC Avant Garde"/>
          <w:i/>
          <w:sz w:val="16"/>
          <w:szCs w:val="16"/>
        </w:rPr>
        <w:t>qi</w:t>
      </w:r>
      <w:proofErr w:type="spellEnd"/>
      <w:r w:rsidRPr="008068A4">
        <w:rPr>
          <w:rFonts w:ascii="ITC Avant Garde" w:hAnsi="ITC Avant Garde"/>
          <w:i/>
          <w:sz w:val="16"/>
          <w:szCs w:val="16"/>
        </w:rPr>
        <w:t xml:space="preserve"> (es decir, ID=</w:t>
      </w:r>
      <w:r w:rsidRPr="008068A4">
        <w:rPr>
          <w:rFonts w:ascii="ITC Avant Garde" w:hAnsi="ITC Avant Garde" w:cs="Arial"/>
          <w:i/>
          <w:sz w:val="16"/>
          <w:szCs w:val="16"/>
        </w:rPr>
        <w:t>∑</w:t>
      </w:r>
      <w:r w:rsidRPr="008068A4">
        <w:rPr>
          <w:rFonts w:ascii="ITC Avant Garde" w:hAnsi="ITC Avant Garde"/>
          <w:i/>
          <w:sz w:val="16"/>
          <w:szCs w:val="16"/>
        </w:rPr>
        <w:t>i hi2). Este índice también varía entre cero y diez mil.”</w:t>
      </w:r>
    </w:p>
  </w:footnote>
  <w:footnote w:id="62">
    <w:p w14:paraId="63C02DFD" w14:textId="77777777" w:rsidR="00AF5B84" w:rsidRPr="008068A4" w:rsidRDefault="00AF5B84" w:rsidP="00F80D00">
      <w:pPr>
        <w:pStyle w:val="Textonotapie"/>
        <w:spacing w:before="0"/>
        <w:rPr>
          <w:rFonts w:ascii="ITC Avant Garde" w:hAnsi="ITC Avant Garde"/>
          <w:sz w:val="16"/>
          <w:szCs w:val="16"/>
        </w:rPr>
      </w:pPr>
      <w:r w:rsidRPr="008068A4">
        <w:rPr>
          <w:rStyle w:val="Refdenotaalpie"/>
          <w:rFonts w:ascii="ITC Avant Garde" w:hAnsi="ITC Avant Garde"/>
          <w:sz w:val="16"/>
          <w:szCs w:val="16"/>
        </w:rPr>
        <w:footnoteRef/>
      </w:r>
      <w:r w:rsidRPr="008068A4">
        <w:rPr>
          <w:rFonts w:ascii="ITC Avant Garde" w:hAnsi="ITC Avant Garde"/>
          <w:sz w:val="16"/>
          <w:szCs w:val="16"/>
        </w:rPr>
        <w:t xml:space="preserve"> Fuente: Foja 1386 del Expediente.</w:t>
      </w:r>
    </w:p>
  </w:footnote>
  <w:footnote w:id="63">
    <w:p w14:paraId="5EB13F70" w14:textId="77777777" w:rsidR="00AF5B84" w:rsidRPr="008068A4" w:rsidRDefault="00AF5B84" w:rsidP="00F80D00">
      <w:pPr>
        <w:pStyle w:val="Textonotapie"/>
        <w:spacing w:before="0"/>
        <w:rPr>
          <w:rFonts w:ascii="ITC Avant Garde" w:hAnsi="ITC Avant Garde"/>
          <w:sz w:val="16"/>
          <w:szCs w:val="16"/>
          <w:lang w:val="es-MX"/>
        </w:rPr>
      </w:pPr>
      <w:r w:rsidRPr="008068A4">
        <w:rPr>
          <w:rStyle w:val="Refdenotaalpie"/>
          <w:rFonts w:ascii="ITC Avant Garde" w:hAnsi="ITC Avant Garde"/>
          <w:sz w:val="16"/>
          <w:szCs w:val="16"/>
        </w:rPr>
        <w:footnoteRef/>
      </w:r>
      <w:r w:rsidRPr="008068A4">
        <w:rPr>
          <w:rFonts w:ascii="ITC Avant Garde" w:hAnsi="ITC Avant Garde"/>
          <w:sz w:val="16"/>
          <w:szCs w:val="16"/>
        </w:rPr>
        <w:t xml:space="preserve"> </w:t>
      </w:r>
      <w:r w:rsidRPr="008068A4">
        <w:rPr>
          <w:rFonts w:ascii="ITC Avant Garde" w:hAnsi="ITC Avant Garde"/>
          <w:sz w:val="16"/>
          <w:szCs w:val="16"/>
          <w:lang w:val="es-MX"/>
        </w:rPr>
        <w:t>Si bien el GIE Grupo ATC obtuvo una concesión única a través de MATC el 08 de septiembre de 2017, no se identifica que para la fecha del cierre de la Operación (17 de noviembre de 2017) tuviese suscriptores de servicios de Enlaces dedicados y/o Acceso a Internet Fijo, en los que participan las Sociedades Adquiridas.</w:t>
      </w:r>
    </w:p>
  </w:footnote>
  <w:footnote w:id="64">
    <w:p w14:paraId="50DBA78B" w14:textId="77777777" w:rsidR="00AF5B84" w:rsidRPr="008068A4" w:rsidRDefault="00AF5B84" w:rsidP="00F80D00">
      <w:pPr>
        <w:pStyle w:val="Textonotapie"/>
        <w:spacing w:before="0"/>
        <w:rPr>
          <w:rFonts w:ascii="ITC Avant Garde" w:hAnsi="ITC Avant Garde"/>
          <w:sz w:val="16"/>
          <w:szCs w:val="16"/>
          <w:lang w:val="es-MX"/>
        </w:rPr>
      </w:pPr>
      <w:r w:rsidRPr="008068A4">
        <w:rPr>
          <w:rStyle w:val="Refdenotaalpie"/>
          <w:rFonts w:ascii="ITC Avant Garde" w:hAnsi="ITC Avant Garde"/>
          <w:sz w:val="16"/>
          <w:szCs w:val="16"/>
        </w:rPr>
        <w:footnoteRef/>
      </w:r>
      <w:r w:rsidRPr="008068A4">
        <w:rPr>
          <w:rFonts w:ascii="ITC Avant Garde" w:hAnsi="ITC Avant Garde"/>
          <w:sz w:val="16"/>
          <w:szCs w:val="16"/>
        </w:rPr>
        <w:t xml:space="preserve"> </w:t>
      </w:r>
      <w:r w:rsidRPr="008068A4">
        <w:rPr>
          <w:rFonts w:ascii="ITC Avant Garde" w:hAnsi="ITC Avant Garde"/>
          <w:sz w:val="16"/>
          <w:szCs w:val="16"/>
          <w:lang w:val="es-MX"/>
        </w:rPr>
        <w:t>Fuente: Foja 11 del Expediente.</w:t>
      </w:r>
    </w:p>
  </w:footnote>
  <w:footnote w:id="65">
    <w:p w14:paraId="15B76301" w14:textId="77777777" w:rsidR="00AF5B84" w:rsidRPr="008068A4" w:rsidRDefault="00AF5B84" w:rsidP="00F80D00">
      <w:pPr>
        <w:pStyle w:val="Textonotapie"/>
        <w:spacing w:before="0"/>
        <w:rPr>
          <w:rFonts w:ascii="ITC Avant Garde" w:hAnsi="ITC Avant Garde"/>
          <w:sz w:val="16"/>
          <w:szCs w:val="16"/>
          <w:lang w:val="es-MX"/>
        </w:rPr>
      </w:pPr>
      <w:r w:rsidRPr="008068A4">
        <w:rPr>
          <w:rStyle w:val="Refdenotaalpie"/>
          <w:rFonts w:ascii="ITC Avant Garde" w:hAnsi="ITC Avant Garde"/>
          <w:sz w:val="16"/>
          <w:szCs w:val="16"/>
        </w:rPr>
        <w:footnoteRef/>
      </w:r>
      <w:r w:rsidRPr="008068A4">
        <w:rPr>
          <w:rFonts w:ascii="ITC Avant Garde" w:hAnsi="ITC Avant Garde"/>
          <w:sz w:val="16"/>
          <w:szCs w:val="16"/>
        </w:rPr>
        <w:t xml:space="preserve"> </w:t>
      </w:r>
      <w:r w:rsidRPr="008068A4">
        <w:rPr>
          <w:rFonts w:ascii="ITC Avant Garde" w:hAnsi="ITC Avant Garde"/>
          <w:sz w:val="16"/>
          <w:szCs w:val="16"/>
          <w:lang w:val="es-MX"/>
        </w:rPr>
        <w:t>Fuente: Foja 12 del Expediente.</w:t>
      </w:r>
    </w:p>
  </w:footnote>
  <w:footnote w:id="66">
    <w:p w14:paraId="375DD93B" w14:textId="77777777" w:rsidR="00AF5B84" w:rsidRPr="008068A4" w:rsidRDefault="00AF5B84" w:rsidP="00F80D00">
      <w:pPr>
        <w:pStyle w:val="Textonotapie"/>
        <w:spacing w:before="0"/>
        <w:rPr>
          <w:rFonts w:ascii="ITC Avant Garde" w:hAnsi="ITC Avant Garde"/>
          <w:sz w:val="16"/>
          <w:szCs w:val="16"/>
          <w:lang w:val="es-MX"/>
        </w:rPr>
      </w:pPr>
      <w:r w:rsidRPr="008068A4">
        <w:rPr>
          <w:rStyle w:val="Refdenotaalpie"/>
          <w:rFonts w:ascii="ITC Avant Garde" w:hAnsi="ITC Avant Garde"/>
          <w:sz w:val="16"/>
          <w:szCs w:val="16"/>
        </w:rPr>
        <w:footnoteRef/>
      </w:r>
      <w:r w:rsidRPr="008068A4">
        <w:rPr>
          <w:rFonts w:ascii="ITC Avant Garde" w:hAnsi="ITC Avant Garde"/>
          <w:sz w:val="16"/>
          <w:szCs w:val="16"/>
        </w:rPr>
        <w:t xml:space="preserve"> </w:t>
      </w:r>
      <w:r w:rsidRPr="008068A4">
        <w:rPr>
          <w:rFonts w:ascii="ITC Avant Garde" w:hAnsi="ITC Avant Garde"/>
          <w:sz w:val="16"/>
          <w:szCs w:val="16"/>
          <w:lang w:val="es-MX"/>
        </w:rPr>
        <w:t>Fuente: Foja 15 del Expediente.</w:t>
      </w:r>
    </w:p>
  </w:footnote>
  <w:footnote w:id="67">
    <w:p w14:paraId="26638B4B" w14:textId="77777777" w:rsidR="00AF5B84" w:rsidRPr="008068A4" w:rsidRDefault="00AF5B84" w:rsidP="00F80D00">
      <w:pPr>
        <w:pStyle w:val="Textonotapie"/>
        <w:spacing w:before="0"/>
        <w:rPr>
          <w:rFonts w:ascii="ITC Avant Garde" w:hAnsi="ITC Avant Garde"/>
          <w:sz w:val="16"/>
          <w:szCs w:val="16"/>
          <w:lang w:val="es-MX"/>
        </w:rPr>
      </w:pPr>
      <w:r w:rsidRPr="008068A4">
        <w:rPr>
          <w:rStyle w:val="Refdenotaalpie"/>
          <w:rFonts w:ascii="ITC Avant Garde" w:hAnsi="ITC Avant Garde"/>
          <w:sz w:val="16"/>
          <w:szCs w:val="16"/>
        </w:rPr>
        <w:footnoteRef/>
      </w:r>
      <w:r w:rsidRPr="008068A4">
        <w:rPr>
          <w:rFonts w:ascii="ITC Avant Garde" w:hAnsi="ITC Avant Garde"/>
          <w:sz w:val="16"/>
          <w:szCs w:val="16"/>
        </w:rPr>
        <w:t xml:space="preserve"> </w:t>
      </w:r>
      <w:r w:rsidRPr="008068A4">
        <w:rPr>
          <w:rFonts w:ascii="ITC Avant Garde" w:hAnsi="ITC Avant Garde"/>
          <w:sz w:val="16"/>
          <w:szCs w:val="16"/>
          <w:lang w:val="es-MX"/>
        </w:rPr>
        <w:t>Fuente: Fojas 24-25 del Expediente.</w:t>
      </w:r>
    </w:p>
  </w:footnote>
  <w:footnote w:id="68">
    <w:p w14:paraId="53E39470" w14:textId="77777777" w:rsidR="00AF5B84" w:rsidRPr="008068A4" w:rsidRDefault="00AF5B84" w:rsidP="00F80D00">
      <w:pPr>
        <w:pStyle w:val="Textonotapie"/>
        <w:spacing w:before="0"/>
        <w:rPr>
          <w:rFonts w:ascii="ITC Avant Garde" w:hAnsi="ITC Avant Garde"/>
          <w:sz w:val="16"/>
          <w:szCs w:val="16"/>
          <w:lang w:val="es-MX"/>
        </w:rPr>
      </w:pPr>
      <w:r w:rsidRPr="008068A4">
        <w:rPr>
          <w:rStyle w:val="Refdenotaalpie"/>
          <w:rFonts w:ascii="ITC Avant Garde" w:hAnsi="ITC Avant Garde"/>
          <w:sz w:val="16"/>
          <w:szCs w:val="16"/>
        </w:rPr>
        <w:footnoteRef/>
      </w:r>
      <w:r w:rsidRPr="008068A4">
        <w:rPr>
          <w:rFonts w:ascii="ITC Avant Garde" w:hAnsi="ITC Avant Garde"/>
          <w:sz w:val="16"/>
          <w:szCs w:val="16"/>
        </w:rPr>
        <w:t xml:space="preserve"> </w:t>
      </w:r>
      <w:r w:rsidRPr="008068A4">
        <w:rPr>
          <w:rFonts w:ascii="ITC Avant Garde" w:hAnsi="ITC Avant Garde"/>
          <w:sz w:val="16"/>
          <w:szCs w:val="16"/>
          <w:lang w:val="es-MX"/>
        </w:rPr>
        <w:t>Fuente: Fojas 232-233 del Expediente.</w:t>
      </w:r>
    </w:p>
  </w:footnote>
  <w:footnote w:id="69">
    <w:p w14:paraId="5CC25E82" w14:textId="77777777" w:rsidR="00AF5B84" w:rsidRPr="008068A4" w:rsidRDefault="00AF5B84" w:rsidP="00F80D00">
      <w:pPr>
        <w:pStyle w:val="Textonotapie"/>
        <w:spacing w:before="0"/>
        <w:rPr>
          <w:rFonts w:ascii="ITC Avant Garde" w:hAnsi="ITC Avant Garde"/>
          <w:sz w:val="16"/>
          <w:szCs w:val="16"/>
        </w:rPr>
      </w:pPr>
      <w:r w:rsidRPr="008068A4">
        <w:rPr>
          <w:rStyle w:val="Refdenotaalpie"/>
          <w:rFonts w:ascii="ITC Avant Garde" w:hAnsi="ITC Avant Garde"/>
          <w:sz w:val="16"/>
          <w:szCs w:val="16"/>
        </w:rPr>
        <w:footnoteRef/>
      </w:r>
      <w:r w:rsidRPr="008068A4">
        <w:rPr>
          <w:rFonts w:ascii="ITC Avant Garde" w:hAnsi="ITC Avant Garde"/>
          <w:sz w:val="16"/>
          <w:szCs w:val="16"/>
        </w:rPr>
        <w:t xml:space="preserve"> Fuente: Foja 228 del Expediente.</w:t>
      </w:r>
    </w:p>
  </w:footnote>
  <w:footnote w:id="70">
    <w:p w14:paraId="27B0888E" w14:textId="77777777" w:rsidR="00AF5B84" w:rsidRPr="008068A4" w:rsidRDefault="00AF5B84" w:rsidP="00F80D00">
      <w:pPr>
        <w:pStyle w:val="Textonotapie"/>
        <w:spacing w:before="0"/>
        <w:rPr>
          <w:rFonts w:ascii="ITC Avant Garde" w:hAnsi="ITC Avant Garde"/>
          <w:sz w:val="16"/>
          <w:szCs w:val="16"/>
        </w:rPr>
      </w:pPr>
      <w:r w:rsidRPr="008068A4">
        <w:rPr>
          <w:rStyle w:val="Refdenotaalpie"/>
          <w:rFonts w:ascii="ITC Avant Garde" w:hAnsi="ITC Avant Garde"/>
          <w:sz w:val="16"/>
          <w:szCs w:val="16"/>
        </w:rPr>
        <w:footnoteRef/>
      </w:r>
      <w:r w:rsidRPr="008068A4">
        <w:rPr>
          <w:rFonts w:ascii="ITC Avant Garde" w:hAnsi="ITC Avant Garde"/>
          <w:sz w:val="16"/>
          <w:szCs w:val="16"/>
        </w:rPr>
        <w:t xml:space="preserve"> Fuente: Fojas 5-6 del Expediente.</w:t>
      </w:r>
    </w:p>
  </w:footnote>
  <w:footnote w:id="71">
    <w:p w14:paraId="62493226" w14:textId="58D8A560" w:rsidR="00AF5B84" w:rsidRPr="00FB6422" w:rsidRDefault="00AF5B84">
      <w:pPr>
        <w:pStyle w:val="Textonotapie"/>
        <w:rPr>
          <w:rFonts w:ascii="ITC Avant Garde" w:hAnsi="ITC Avant Garde"/>
          <w:sz w:val="16"/>
          <w:lang w:val="es-MX"/>
        </w:rPr>
      </w:pPr>
      <w:r w:rsidRPr="00FB6422">
        <w:rPr>
          <w:rStyle w:val="Refdenotaalpie"/>
          <w:rFonts w:ascii="ITC Avant Garde" w:hAnsi="ITC Avant Garde"/>
          <w:sz w:val="16"/>
        </w:rPr>
        <w:footnoteRef/>
      </w:r>
      <w:r w:rsidRPr="00FB6422">
        <w:rPr>
          <w:rFonts w:ascii="ITC Avant Garde" w:hAnsi="ITC Avant Garde"/>
          <w:sz w:val="16"/>
        </w:rPr>
        <w:t xml:space="preserve"> </w:t>
      </w:r>
      <w:r w:rsidRPr="00FB6422">
        <w:rPr>
          <w:rFonts w:ascii="ITC Avant Garde" w:hAnsi="ITC Avant Garde"/>
          <w:sz w:val="16"/>
          <w:lang w:val="es-MX"/>
        </w:rPr>
        <w:t xml:space="preserve">Ver, por ejemplo, resoluciones dentro de los expedientes UCE/CNC-004-2014, disponible en </w:t>
      </w:r>
      <w:r w:rsidRPr="00EB4B7C">
        <w:rPr>
          <w:rFonts w:ascii="ITC Avant Garde" w:hAnsi="ITC Avant Garde"/>
          <w:sz w:val="16"/>
          <w:lang w:val="es-MX"/>
        </w:rPr>
        <w:t>http://apps.ift.org.mx/publicdata/P_IFT_011014_332_Version_Publica_UCE.pdf</w:t>
      </w:r>
      <w:r w:rsidRPr="00FB6422">
        <w:rPr>
          <w:rFonts w:ascii="ITC Avant Garde" w:hAnsi="ITC Avant Garde"/>
          <w:sz w:val="16"/>
          <w:lang w:val="es-MX"/>
        </w:rPr>
        <w:t xml:space="preserve">; y UCE/CNC-003-2015, disponible en </w:t>
      </w:r>
      <w:r w:rsidRPr="00EB4B7C">
        <w:rPr>
          <w:rFonts w:ascii="ITC Avant Garde" w:hAnsi="ITC Avant Garde"/>
          <w:sz w:val="16"/>
          <w:lang w:val="es-MX"/>
        </w:rPr>
        <w:t>http://www.ift.org.mx/sites/default/files/conocenos/pleno/sesiones/acuerdoliga/versionpublicapiftext1902167_1.pdf</w:t>
      </w:r>
    </w:p>
  </w:footnote>
  <w:footnote w:id="72">
    <w:p w14:paraId="3A737592" w14:textId="77777777" w:rsidR="00AF5B84" w:rsidRPr="008068A4" w:rsidRDefault="00AF5B84" w:rsidP="00F80D00">
      <w:pPr>
        <w:pStyle w:val="Textonotapie"/>
        <w:spacing w:before="0"/>
        <w:rPr>
          <w:rFonts w:ascii="ITC Avant Garde" w:hAnsi="ITC Avant Garde"/>
          <w:sz w:val="16"/>
          <w:szCs w:val="16"/>
          <w:lang w:val="es-MX"/>
        </w:rPr>
      </w:pPr>
      <w:r w:rsidRPr="008068A4">
        <w:rPr>
          <w:rStyle w:val="Refdenotaalpie"/>
          <w:rFonts w:ascii="ITC Avant Garde" w:hAnsi="ITC Avant Garde"/>
          <w:sz w:val="16"/>
          <w:szCs w:val="16"/>
        </w:rPr>
        <w:footnoteRef/>
      </w:r>
      <w:r w:rsidRPr="008068A4">
        <w:rPr>
          <w:rFonts w:ascii="ITC Avant Garde" w:hAnsi="ITC Avant Garde"/>
          <w:sz w:val="16"/>
          <w:szCs w:val="16"/>
        </w:rPr>
        <w:t xml:space="preserve"> </w:t>
      </w:r>
      <w:r w:rsidRPr="008068A4">
        <w:rPr>
          <w:rFonts w:ascii="ITC Avant Garde" w:hAnsi="ITC Avant Garde"/>
          <w:sz w:val="16"/>
          <w:szCs w:val="16"/>
          <w:lang w:val="es-MX"/>
        </w:rPr>
        <w:t>Fuente: Fojas 15 y 25 del Expediente.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EE14" w14:textId="5FCEB513" w:rsidR="00AF5B84" w:rsidRPr="00F82408" w:rsidRDefault="00AF5B84" w:rsidP="00F82408">
    <w:pPr>
      <w:spacing w:before="0" w:after="0" w:line="240" w:lineRule="auto"/>
      <w:rPr>
        <w:rFonts w:ascii="ITC Avant Garde Demi" w:hAnsi="ITC Avant Garde Demi"/>
        <w:b/>
        <w:color w:val="0000FF"/>
        <w:sz w:val="20"/>
        <w:szCs w:val="20"/>
        <w:lang w:val="es-MX" w:eastAsia="en-US"/>
      </w:rPr>
    </w:pPr>
    <w:r w:rsidRPr="006E7A37">
      <w:rPr>
        <w:rFonts w:ascii="ITC Avant Garde Demi" w:hAnsi="ITC Avant Garde Demi"/>
        <w:b/>
        <w:color w:val="0000FF"/>
        <w:sz w:val="20"/>
        <w:szCs w:val="20"/>
        <w:lang w:val="es-MX" w:eastAsia="en-US"/>
      </w:rPr>
      <w:t>Los textos que aparecen testados con negro corresponden a información considerada como confidencial, de conformidad con los artículos 113 de la Ley Federal de Transparencia y Acceso a la Información Pública; el artículo 116 de la Ley General de Transparencia y Acceso a la Información Pública; así como los lineamientos Trigésimo Octavo y Cuadragésimo de los Lineamientos generales en materia de clasificación y desclasificación de la información, así como para la ela</w:t>
    </w:r>
    <w:r>
      <w:rPr>
        <w:rFonts w:ascii="ITC Avant Garde Demi" w:hAnsi="ITC Avant Garde Demi"/>
        <w:b/>
        <w:color w:val="0000FF"/>
        <w:sz w:val="20"/>
        <w:szCs w:val="20"/>
        <w:lang w:val="es-MX" w:eastAsia="en-US"/>
      </w:rPr>
      <w:t>boración de versiones públicas.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25E9AE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AF345F"/>
    <w:multiLevelType w:val="hybridMultilevel"/>
    <w:tmpl w:val="D8FE3E4C"/>
    <w:lvl w:ilvl="0" w:tplc="E0B640EA">
      <w:start w:val="1"/>
      <w:numFmt w:val="lowerRoman"/>
      <w:suff w:val="space"/>
      <w:lvlText w:val="(%1)"/>
      <w:lvlJc w:val="left"/>
      <w:pPr>
        <w:ind w:left="2780" w:hanging="720"/>
      </w:pPr>
      <w:rPr>
        <w:rFonts w:hint="default"/>
      </w:rPr>
    </w:lvl>
    <w:lvl w:ilvl="1" w:tplc="080A0019" w:tentative="1">
      <w:start w:val="1"/>
      <w:numFmt w:val="lowerLetter"/>
      <w:lvlText w:val="%2."/>
      <w:lvlJc w:val="left"/>
      <w:pPr>
        <w:ind w:left="3140" w:hanging="360"/>
      </w:pPr>
    </w:lvl>
    <w:lvl w:ilvl="2" w:tplc="080A001B" w:tentative="1">
      <w:start w:val="1"/>
      <w:numFmt w:val="lowerRoman"/>
      <w:lvlText w:val="%3."/>
      <w:lvlJc w:val="right"/>
      <w:pPr>
        <w:ind w:left="3860" w:hanging="180"/>
      </w:pPr>
    </w:lvl>
    <w:lvl w:ilvl="3" w:tplc="080A000F" w:tentative="1">
      <w:start w:val="1"/>
      <w:numFmt w:val="decimal"/>
      <w:lvlText w:val="%4."/>
      <w:lvlJc w:val="left"/>
      <w:pPr>
        <w:ind w:left="4580" w:hanging="360"/>
      </w:pPr>
    </w:lvl>
    <w:lvl w:ilvl="4" w:tplc="080A0019" w:tentative="1">
      <w:start w:val="1"/>
      <w:numFmt w:val="lowerLetter"/>
      <w:lvlText w:val="%5."/>
      <w:lvlJc w:val="left"/>
      <w:pPr>
        <w:ind w:left="5300" w:hanging="360"/>
      </w:pPr>
    </w:lvl>
    <w:lvl w:ilvl="5" w:tplc="080A001B" w:tentative="1">
      <w:start w:val="1"/>
      <w:numFmt w:val="lowerRoman"/>
      <w:lvlText w:val="%6."/>
      <w:lvlJc w:val="right"/>
      <w:pPr>
        <w:ind w:left="6020" w:hanging="180"/>
      </w:pPr>
    </w:lvl>
    <w:lvl w:ilvl="6" w:tplc="080A000F" w:tentative="1">
      <w:start w:val="1"/>
      <w:numFmt w:val="decimal"/>
      <w:lvlText w:val="%7."/>
      <w:lvlJc w:val="left"/>
      <w:pPr>
        <w:ind w:left="6740" w:hanging="360"/>
      </w:pPr>
    </w:lvl>
    <w:lvl w:ilvl="7" w:tplc="080A0019" w:tentative="1">
      <w:start w:val="1"/>
      <w:numFmt w:val="lowerLetter"/>
      <w:lvlText w:val="%8."/>
      <w:lvlJc w:val="left"/>
      <w:pPr>
        <w:ind w:left="7460" w:hanging="360"/>
      </w:pPr>
    </w:lvl>
    <w:lvl w:ilvl="8" w:tplc="080A001B" w:tentative="1">
      <w:start w:val="1"/>
      <w:numFmt w:val="lowerRoman"/>
      <w:lvlText w:val="%9."/>
      <w:lvlJc w:val="right"/>
      <w:pPr>
        <w:ind w:left="8180" w:hanging="180"/>
      </w:pPr>
    </w:lvl>
  </w:abstractNum>
  <w:abstractNum w:abstractNumId="2" w15:restartNumberingAfterBreak="0">
    <w:nsid w:val="060B0D40"/>
    <w:multiLevelType w:val="hybridMultilevel"/>
    <w:tmpl w:val="B7D6333A"/>
    <w:lvl w:ilvl="0" w:tplc="AE00CACA">
      <w:start w:val="1"/>
      <w:numFmt w:val="lowerRoman"/>
      <w:pStyle w:val="Prraforproyecto"/>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5038DF"/>
    <w:multiLevelType w:val="hybridMultilevel"/>
    <w:tmpl w:val="F020922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512A49"/>
    <w:multiLevelType w:val="hybridMultilevel"/>
    <w:tmpl w:val="D0341464"/>
    <w:lvl w:ilvl="0" w:tplc="E34091FA">
      <w:start w:val="1"/>
      <w:numFmt w:val="low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0A5F7D58"/>
    <w:multiLevelType w:val="hybridMultilevel"/>
    <w:tmpl w:val="7E1C97F2"/>
    <w:lvl w:ilvl="0" w:tplc="D5D60664">
      <w:start w:val="1"/>
      <w:numFmt w:val="lowerRoman"/>
      <w:lvlText w:val="%1."/>
      <w:lvlJc w:val="left"/>
      <w:pPr>
        <w:ind w:left="1713" w:hanging="72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6" w15:restartNumberingAfterBreak="0">
    <w:nsid w:val="0B7E0230"/>
    <w:multiLevelType w:val="multilevel"/>
    <w:tmpl w:val="F600EF3E"/>
    <w:lvl w:ilvl="0">
      <w:start w:val="1"/>
      <w:numFmt w:val="decimal"/>
      <w:lvlText w:val="Cuadro %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C0678EB"/>
    <w:multiLevelType w:val="hybridMultilevel"/>
    <w:tmpl w:val="D2BE6924"/>
    <w:lvl w:ilvl="0" w:tplc="742E62F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F60403"/>
    <w:multiLevelType w:val="hybridMultilevel"/>
    <w:tmpl w:val="1B82CBA2"/>
    <w:lvl w:ilvl="0" w:tplc="AA82DDE4">
      <w:start w:val="5"/>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6D17A7"/>
    <w:multiLevelType w:val="hybridMultilevel"/>
    <w:tmpl w:val="351A967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19806656"/>
    <w:multiLevelType w:val="multilevel"/>
    <w:tmpl w:val="8216FBD4"/>
    <w:lvl w:ilvl="0">
      <w:start w:val="5"/>
      <w:numFmt w:val="decimal"/>
      <w:lvlText w:val="%1."/>
      <w:lvlJc w:val="left"/>
      <w:pPr>
        <w:ind w:left="600" w:hanging="600"/>
      </w:pPr>
      <w:rPr>
        <w:rFonts w:hint="default"/>
      </w:rPr>
    </w:lvl>
    <w:lvl w:ilvl="1">
      <w:start w:val="3"/>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1B26346A"/>
    <w:multiLevelType w:val="hybridMultilevel"/>
    <w:tmpl w:val="2DD82F7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642CE9"/>
    <w:multiLevelType w:val="hybridMultilevel"/>
    <w:tmpl w:val="67E42E7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876AB0"/>
    <w:multiLevelType w:val="hybridMultilevel"/>
    <w:tmpl w:val="820EC09E"/>
    <w:lvl w:ilvl="0" w:tplc="EC84102A">
      <w:start w:val="1"/>
      <w:numFmt w:val="decimal"/>
      <w:lvlText w:val="%1."/>
      <w:lvlJc w:val="left"/>
      <w:pPr>
        <w:ind w:left="720" w:hanging="360"/>
      </w:pPr>
      <w:rPr>
        <w:rFonts w:cs="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C429FA"/>
    <w:multiLevelType w:val="hybridMultilevel"/>
    <w:tmpl w:val="AAE0C052"/>
    <w:lvl w:ilvl="0" w:tplc="5C3E4C3A">
      <w:start w:val="1"/>
      <w:numFmt w:val="lowerLetter"/>
      <w:lvlText w:val="%1."/>
      <w:lvlJc w:val="left"/>
      <w:pPr>
        <w:ind w:left="927" w:hanging="360"/>
      </w:pPr>
      <w:rPr>
        <w:rFonts w:hint="default"/>
        <w:i/>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2A012C12"/>
    <w:multiLevelType w:val="hybridMultilevel"/>
    <w:tmpl w:val="C226BCE4"/>
    <w:lvl w:ilvl="0" w:tplc="000E5B7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F34FDD"/>
    <w:multiLevelType w:val="hybridMultilevel"/>
    <w:tmpl w:val="5644EEE0"/>
    <w:lvl w:ilvl="0" w:tplc="F9BA0BCE">
      <w:start w:val="1"/>
      <w:numFmt w:val="decimal"/>
      <w:lvlText w:val="Cuadro %1."/>
      <w:lvlJc w:val="left"/>
      <w:pPr>
        <w:ind w:left="2138" w:hanging="360"/>
      </w:pPr>
      <w:rPr>
        <w:rFonts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7" w15:restartNumberingAfterBreak="0">
    <w:nsid w:val="2DE72DA8"/>
    <w:multiLevelType w:val="hybridMultilevel"/>
    <w:tmpl w:val="67E42E7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317DE3"/>
    <w:multiLevelType w:val="hybridMultilevel"/>
    <w:tmpl w:val="80DE3CD4"/>
    <w:lvl w:ilvl="0" w:tplc="1E865336">
      <w:start w:val="1"/>
      <w:numFmt w:val="decimal"/>
      <w:pStyle w:val="Figura"/>
      <w:suff w:val="space"/>
      <w:lvlText w:val="Figura %1. "/>
      <w:lvlJc w:val="left"/>
      <w:pPr>
        <w:ind w:left="7808" w:hanging="1854"/>
      </w:pPr>
      <w:rPr>
        <w:rFonts w:ascii="ITC Avant Garde" w:hAnsi="ITC Avant Garde" w:cs="Times New Roman"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A0019" w:tentative="1">
      <w:start w:val="1"/>
      <w:numFmt w:val="lowerLetter"/>
      <w:lvlText w:val="%2."/>
      <w:lvlJc w:val="left"/>
      <w:pPr>
        <w:ind w:left="8528" w:hanging="360"/>
      </w:pPr>
    </w:lvl>
    <w:lvl w:ilvl="2" w:tplc="080A001B" w:tentative="1">
      <w:start w:val="1"/>
      <w:numFmt w:val="lowerRoman"/>
      <w:lvlText w:val="%3."/>
      <w:lvlJc w:val="right"/>
      <w:pPr>
        <w:ind w:left="9248" w:hanging="180"/>
      </w:pPr>
    </w:lvl>
    <w:lvl w:ilvl="3" w:tplc="080A000F" w:tentative="1">
      <w:start w:val="1"/>
      <w:numFmt w:val="decimal"/>
      <w:lvlText w:val="%4."/>
      <w:lvlJc w:val="left"/>
      <w:pPr>
        <w:ind w:left="9968" w:hanging="360"/>
      </w:pPr>
    </w:lvl>
    <w:lvl w:ilvl="4" w:tplc="080A0019" w:tentative="1">
      <w:start w:val="1"/>
      <w:numFmt w:val="lowerLetter"/>
      <w:lvlText w:val="%5."/>
      <w:lvlJc w:val="left"/>
      <w:pPr>
        <w:ind w:left="10688" w:hanging="360"/>
      </w:pPr>
    </w:lvl>
    <w:lvl w:ilvl="5" w:tplc="080A001B" w:tentative="1">
      <w:start w:val="1"/>
      <w:numFmt w:val="lowerRoman"/>
      <w:lvlText w:val="%6."/>
      <w:lvlJc w:val="right"/>
      <w:pPr>
        <w:ind w:left="11408" w:hanging="180"/>
      </w:pPr>
    </w:lvl>
    <w:lvl w:ilvl="6" w:tplc="080A000F" w:tentative="1">
      <w:start w:val="1"/>
      <w:numFmt w:val="decimal"/>
      <w:lvlText w:val="%7."/>
      <w:lvlJc w:val="left"/>
      <w:pPr>
        <w:ind w:left="12128" w:hanging="360"/>
      </w:pPr>
    </w:lvl>
    <w:lvl w:ilvl="7" w:tplc="080A0019" w:tentative="1">
      <w:start w:val="1"/>
      <w:numFmt w:val="lowerLetter"/>
      <w:lvlText w:val="%8."/>
      <w:lvlJc w:val="left"/>
      <w:pPr>
        <w:ind w:left="12848" w:hanging="360"/>
      </w:pPr>
    </w:lvl>
    <w:lvl w:ilvl="8" w:tplc="080A001B" w:tentative="1">
      <w:start w:val="1"/>
      <w:numFmt w:val="lowerRoman"/>
      <w:lvlText w:val="%9."/>
      <w:lvlJc w:val="right"/>
      <w:pPr>
        <w:ind w:left="13568" w:hanging="180"/>
      </w:pPr>
    </w:lvl>
  </w:abstractNum>
  <w:abstractNum w:abstractNumId="19" w15:restartNumberingAfterBreak="0">
    <w:nsid w:val="3BD778D0"/>
    <w:multiLevelType w:val="hybridMultilevel"/>
    <w:tmpl w:val="2B8AAB42"/>
    <w:lvl w:ilvl="0" w:tplc="9AA8CDA8">
      <w:start w:val="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5779E8"/>
    <w:multiLevelType w:val="hybridMultilevel"/>
    <w:tmpl w:val="4A18D902"/>
    <w:lvl w:ilvl="0" w:tplc="D08E8A8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3F2528"/>
    <w:multiLevelType w:val="hybridMultilevel"/>
    <w:tmpl w:val="13BA22AE"/>
    <w:lvl w:ilvl="0" w:tplc="BB38E804">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FA7D98"/>
    <w:multiLevelType w:val="multilevel"/>
    <w:tmpl w:val="F600EF3E"/>
    <w:lvl w:ilvl="0">
      <w:start w:val="1"/>
      <w:numFmt w:val="decimal"/>
      <w:lvlText w:val="Cuadro %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60D1F6A"/>
    <w:multiLevelType w:val="hybridMultilevel"/>
    <w:tmpl w:val="BD947B96"/>
    <w:lvl w:ilvl="0" w:tplc="E9E6A522">
      <w:start w:val="100"/>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6125B45"/>
    <w:multiLevelType w:val="hybridMultilevel"/>
    <w:tmpl w:val="EF22B41A"/>
    <w:lvl w:ilvl="0" w:tplc="D7FC9D38">
      <w:start w:val="1"/>
      <w:numFmt w:val="ordinalText"/>
      <w:suff w:val="space"/>
      <w:lvlText w:val="%1.-"/>
      <w:lvlJc w:val="left"/>
      <w:pPr>
        <w:ind w:left="-420" w:firstLine="0"/>
      </w:pPr>
      <w:rPr>
        <w:rFonts w:ascii="ITC Avant Garde" w:hAnsi="ITC Avant Garde" w:hint="default"/>
        <w:b/>
        <w:i w:val="0"/>
        <w:sz w:val="22"/>
      </w:rPr>
    </w:lvl>
    <w:lvl w:ilvl="1" w:tplc="080A0019" w:tentative="1">
      <w:start w:val="1"/>
      <w:numFmt w:val="lowerLetter"/>
      <w:lvlText w:val="%2."/>
      <w:lvlJc w:val="left"/>
      <w:pPr>
        <w:ind w:left="600" w:hanging="360"/>
      </w:pPr>
    </w:lvl>
    <w:lvl w:ilvl="2" w:tplc="080A001B" w:tentative="1">
      <w:start w:val="1"/>
      <w:numFmt w:val="lowerRoman"/>
      <w:lvlText w:val="%3."/>
      <w:lvlJc w:val="right"/>
      <w:pPr>
        <w:ind w:left="1320" w:hanging="180"/>
      </w:pPr>
    </w:lvl>
    <w:lvl w:ilvl="3" w:tplc="080A000F" w:tentative="1">
      <w:start w:val="1"/>
      <w:numFmt w:val="decimal"/>
      <w:lvlText w:val="%4."/>
      <w:lvlJc w:val="left"/>
      <w:pPr>
        <w:ind w:left="2040" w:hanging="360"/>
      </w:pPr>
    </w:lvl>
    <w:lvl w:ilvl="4" w:tplc="080A0019" w:tentative="1">
      <w:start w:val="1"/>
      <w:numFmt w:val="lowerLetter"/>
      <w:lvlText w:val="%5."/>
      <w:lvlJc w:val="left"/>
      <w:pPr>
        <w:ind w:left="2760" w:hanging="360"/>
      </w:pPr>
    </w:lvl>
    <w:lvl w:ilvl="5" w:tplc="080A001B" w:tentative="1">
      <w:start w:val="1"/>
      <w:numFmt w:val="lowerRoman"/>
      <w:lvlText w:val="%6."/>
      <w:lvlJc w:val="right"/>
      <w:pPr>
        <w:ind w:left="3480" w:hanging="180"/>
      </w:pPr>
    </w:lvl>
    <w:lvl w:ilvl="6" w:tplc="080A000F" w:tentative="1">
      <w:start w:val="1"/>
      <w:numFmt w:val="decimal"/>
      <w:lvlText w:val="%7."/>
      <w:lvlJc w:val="left"/>
      <w:pPr>
        <w:ind w:left="4200" w:hanging="360"/>
      </w:pPr>
    </w:lvl>
    <w:lvl w:ilvl="7" w:tplc="080A0019" w:tentative="1">
      <w:start w:val="1"/>
      <w:numFmt w:val="lowerLetter"/>
      <w:lvlText w:val="%8."/>
      <w:lvlJc w:val="left"/>
      <w:pPr>
        <w:ind w:left="4920" w:hanging="360"/>
      </w:pPr>
    </w:lvl>
    <w:lvl w:ilvl="8" w:tplc="080A001B" w:tentative="1">
      <w:start w:val="1"/>
      <w:numFmt w:val="lowerRoman"/>
      <w:lvlText w:val="%9."/>
      <w:lvlJc w:val="right"/>
      <w:pPr>
        <w:ind w:left="5640" w:hanging="180"/>
      </w:pPr>
    </w:lvl>
  </w:abstractNum>
  <w:abstractNum w:abstractNumId="25" w15:restartNumberingAfterBreak="0">
    <w:nsid w:val="475C6201"/>
    <w:multiLevelType w:val="multilevel"/>
    <w:tmpl w:val="F678EDB4"/>
    <w:lvl w:ilvl="0">
      <w:start w:val="1"/>
      <w:numFmt w:val="upperRoman"/>
      <w:pStyle w:val="Ttulo1"/>
      <w:suff w:val="space"/>
      <w:lvlText w:val="%1."/>
      <w:lvlJc w:val="right"/>
      <w:pPr>
        <w:ind w:left="357" w:hanging="357"/>
      </w:pPr>
      <w:rPr>
        <w:rFonts w:hint="default"/>
      </w:rPr>
    </w:lvl>
    <w:lvl w:ilvl="1">
      <w:start w:val="4"/>
      <w:numFmt w:val="decimal"/>
      <w:isLgl/>
      <w:lvlText w:val="%1.%2"/>
      <w:lvlJc w:val="left"/>
      <w:pPr>
        <w:ind w:left="703" w:hanging="357"/>
      </w:pPr>
      <w:rPr>
        <w:rFonts w:hint="default"/>
        <w:b/>
        <w:i/>
      </w:rPr>
    </w:lvl>
    <w:lvl w:ilvl="2">
      <w:start w:val="1"/>
      <w:numFmt w:val="decimal"/>
      <w:isLgl/>
      <w:lvlText w:val="%1.%2.%3"/>
      <w:lvlJc w:val="left"/>
      <w:pPr>
        <w:ind w:left="1049" w:hanging="357"/>
      </w:pPr>
      <w:rPr>
        <w:rFonts w:hint="default"/>
      </w:rPr>
    </w:lvl>
    <w:lvl w:ilvl="3">
      <w:start w:val="1"/>
      <w:numFmt w:val="decimal"/>
      <w:isLgl/>
      <w:lvlText w:val="%1.%2.%3.%4"/>
      <w:lvlJc w:val="left"/>
      <w:pPr>
        <w:ind w:left="1395" w:hanging="357"/>
      </w:pPr>
      <w:rPr>
        <w:rFonts w:hint="default"/>
      </w:rPr>
    </w:lvl>
    <w:lvl w:ilvl="4">
      <w:start w:val="1"/>
      <w:numFmt w:val="decimal"/>
      <w:isLgl/>
      <w:lvlText w:val="%1.%2.%3.%4.%5"/>
      <w:lvlJc w:val="left"/>
      <w:pPr>
        <w:ind w:left="1741" w:hanging="357"/>
      </w:pPr>
      <w:rPr>
        <w:rFonts w:hint="default"/>
      </w:rPr>
    </w:lvl>
    <w:lvl w:ilvl="5">
      <w:start w:val="1"/>
      <w:numFmt w:val="decimal"/>
      <w:isLgl/>
      <w:lvlText w:val="%1.%2.%3.%4.%5.%6"/>
      <w:lvlJc w:val="left"/>
      <w:pPr>
        <w:ind w:left="2087" w:hanging="357"/>
      </w:pPr>
      <w:rPr>
        <w:rFonts w:hint="default"/>
      </w:rPr>
    </w:lvl>
    <w:lvl w:ilvl="6">
      <w:start w:val="1"/>
      <w:numFmt w:val="decimal"/>
      <w:isLgl/>
      <w:lvlText w:val="%1.%2.%3.%4.%5.%6.%7"/>
      <w:lvlJc w:val="left"/>
      <w:pPr>
        <w:ind w:left="2433" w:hanging="357"/>
      </w:pPr>
      <w:rPr>
        <w:rFonts w:hint="default"/>
      </w:rPr>
    </w:lvl>
    <w:lvl w:ilvl="7">
      <w:start w:val="1"/>
      <w:numFmt w:val="decimal"/>
      <w:isLgl/>
      <w:lvlText w:val="%1.%2.%3.%4.%5.%6.%7.%8"/>
      <w:lvlJc w:val="left"/>
      <w:pPr>
        <w:ind w:left="2779" w:hanging="357"/>
      </w:pPr>
      <w:rPr>
        <w:rFonts w:hint="default"/>
      </w:rPr>
    </w:lvl>
    <w:lvl w:ilvl="8">
      <w:start w:val="1"/>
      <w:numFmt w:val="decimal"/>
      <w:isLgl/>
      <w:lvlText w:val="%1.%2.%3.%4.%5.%6.%7.%8.%9"/>
      <w:lvlJc w:val="left"/>
      <w:pPr>
        <w:ind w:left="3125" w:hanging="357"/>
      </w:pPr>
      <w:rPr>
        <w:rFonts w:hint="default"/>
      </w:rPr>
    </w:lvl>
  </w:abstractNum>
  <w:abstractNum w:abstractNumId="26" w15:restartNumberingAfterBreak="0">
    <w:nsid w:val="498A6734"/>
    <w:multiLevelType w:val="multilevel"/>
    <w:tmpl w:val="13CA964C"/>
    <w:lvl w:ilvl="0">
      <w:start w:val="5"/>
      <w:numFmt w:val="decimal"/>
      <w:lvlText w:val="%1."/>
      <w:lvlJc w:val="left"/>
      <w:pPr>
        <w:ind w:left="780" w:hanging="780"/>
      </w:pPr>
      <w:rPr>
        <w:rFonts w:hint="default"/>
      </w:rPr>
    </w:lvl>
    <w:lvl w:ilvl="1">
      <w:start w:val="3"/>
      <w:numFmt w:val="decimal"/>
      <w:lvlText w:val="%1.%2."/>
      <w:lvlJc w:val="left"/>
      <w:pPr>
        <w:ind w:left="1498" w:hanging="780"/>
      </w:pPr>
      <w:rPr>
        <w:rFonts w:hint="default"/>
      </w:rPr>
    </w:lvl>
    <w:lvl w:ilvl="2">
      <w:start w:val="4"/>
      <w:numFmt w:val="decimal"/>
      <w:lvlText w:val="%1.%2.%3."/>
      <w:lvlJc w:val="left"/>
      <w:pPr>
        <w:ind w:left="2216" w:hanging="780"/>
      </w:pPr>
      <w:rPr>
        <w:rFonts w:hint="default"/>
      </w:rPr>
    </w:lvl>
    <w:lvl w:ilvl="3">
      <w:start w:val="1"/>
      <w:numFmt w:val="decimal"/>
      <w:lvlText w:val="%1.%2.%3.%4."/>
      <w:lvlJc w:val="left"/>
      <w:pPr>
        <w:ind w:left="3234" w:hanging="108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5030" w:hanging="144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826" w:hanging="1800"/>
      </w:pPr>
      <w:rPr>
        <w:rFonts w:hint="default"/>
      </w:rPr>
    </w:lvl>
    <w:lvl w:ilvl="8">
      <w:start w:val="1"/>
      <w:numFmt w:val="decimal"/>
      <w:lvlText w:val="%1.%2.%3.%4.%5.%6.%7.%8.%9."/>
      <w:lvlJc w:val="left"/>
      <w:pPr>
        <w:ind w:left="7544" w:hanging="1800"/>
      </w:pPr>
      <w:rPr>
        <w:rFonts w:hint="default"/>
      </w:rPr>
    </w:lvl>
  </w:abstractNum>
  <w:abstractNum w:abstractNumId="27" w15:restartNumberingAfterBreak="0">
    <w:nsid w:val="49F456B0"/>
    <w:multiLevelType w:val="hybridMultilevel"/>
    <w:tmpl w:val="C236053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8" w15:restartNumberingAfterBreak="0">
    <w:nsid w:val="4A0572B2"/>
    <w:multiLevelType w:val="hybridMultilevel"/>
    <w:tmpl w:val="7AE2CD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AF03003"/>
    <w:multiLevelType w:val="hybridMultilevel"/>
    <w:tmpl w:val="55CAB6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4B024E86"/>
    <w:multiLevelType w:val="hybridMultilevel"/>
    <w:tmpl w:val="56380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BEC713D"/>
    <w:multiLevelType w:val="hybridMultilevel"/>
    <w:tmpl w:val="1A92C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E085630"/>
    <w:multiLevelType w:val="hybridMultilevel"/>
    <w:tmpl w:val="D8826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2816D04"/>
    <w:multiLevelType w:val="hybridMultilevel"/>
    <w:tmpl w:val="36BC3292"/>
    <w:lvl w:ilvl="0" w:tplc="F9BA0BCE">
      <w:start w:val="1"/>
      <w:numFmt w:val="decimal"/>
      <w:lvlText w:val="Cuadro %1."/>
      <w:lvlJc w:val="left"/>
      <w:pPr>
        <w:ind w:left="2138" w:hanging="360"/>
      </w:pPr>
      <w:rPr>
        <w:rFonts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4" w15:restartNumberingAfterBreak="0">
    <w:nsid w:val="53A76CBF"/>
    <w:multiLevelType w:val="hybridMultilevel"/>
    <w:tmpl w:val="5E0C4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5E44A08"/>
    <w:multiLevelType w:val="hybridMultilevel"/>
    <w:tmpl w:val="9AA2C9D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96B1E79"/>
    <w:multiLevelType w:val="hybridMultilevel"/>
    <w:tmpl w:val="69704F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97105A8"/>
    <w:multiLevelType w:val="hybridMultilevel"/>
    <w:tmpl w:val="64BC0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A792112"/>
    <w:multiLevelType w:val="hybridMultilevel"/>
    <w:tmpl w:val="36BC3292"/>
    <w:lvl w:ilvl="0" w:tplc="F9BA0BCE">
      <w:start w:val="1"/>
      <w:numFmt w:val="decimal"/>
      <w:lvlText w:val="Cuadro %1."/>
      <w:lvlJc w:val="left"/>
      <w:pPr>
        <w:ind w:left="2138" w:hanging="360"/>
      </w:pPr>
      <w:rPr>
        <w:rFonts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9" w15:restartNumberingAfterBreak="0">
    <w:nsid w:val="5A9B4408"/>
    <w:multiLevelType w:val="multilevel"/>
    <w:tmpl w:val="F600EF3E"/>
    <w:lvl w:ilvl="0">
      <w:start w:val="1"/>
      <w:numFmt w:val="decimal"/>
      <w:lvlText w:val="Cuadro %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C3C2142"/>
    <w:multiLevelType w:val="hybridMultilevel"/>
    <w:tmpl w:val="3C9EEB7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5C4E557D"/>
    <w:multiLevelType w:val="hybridMultilevel"/>
    <w:tmpl w:val="B50E67A8"/>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42" w15:restartNumberingAfterBreak="0">
    <w:nsid w:val="5DC102E6"/>
    <w:multiLevelType w:val="multilevel"/>
    <w:tmpl w:val="DB5AB51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FDE0969"/>
    <w:multiLevelType w:val="hybridMultilevel"/>
    <w:tmpl w:val="613CD6F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62FD59DB"/>
    <w:multiLevelType w:val="hybridMultilevel"/>
    <w:tmpl w:val="BC6AB0E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55C3EDB"/>
    <w:multiLevelType w:val="hybridMultilevel"/>
    <w:tmpl w:val="478052B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83F770E"/>
    <w:multiLevelType w:val="hybridMultilevel"/>
    <w:tmpl w:val="693CABFA"/>
    <w:lvl w:ilvl="0" w:tplc="F9BA0BCE">
      <w:start w:val="1"/>
      <w:numFmt w:val="decimal"/>
      <w:lvlText w:val="Cuadro %1."/>
      <w:lvlJc w:val="left"/>
      <w:pPr>
        <w:ind w:left="2138" w:hanging="360"/>
      </w:pPr>
      <w:rPr>
        <w:rFonts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7" w15:restartNumberingAfterBreak="0">
    <w:nsid w:val="6B950990"/>
    <w:multiLevelType w:val="hybridMultilevel"/>
    <w:tmpl w:val="334C30FA"/>
    <w:lvl w:ilvl="0" w:tplc="946A40D8">
      <w:start w:val="1"/>
      <w:numFmt w:val="decimal"/>
      <w:suff w:val="space"/>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C6F2911"/>
    <w:multiLevelType w:val="hybridMultilevel"/>
    <w:tmpl w:val="38E89A02"/>
    <w:lvl w:ilvl="0" w:tplc="B9A2158E">
      <w:start w:val="1"/>
      <w:numFmt w:val="decimal"/>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49" w15:restartNumberingAfterBreak="0">
    <w:nsid w:val="708566A2"/>
    <w:multiLevelType w:val="hybridMultilevel"/>
    <w:tmpl w:val="CDC0D3EA"/>
    <w:lvl w:ilvl="0" w:tplc="F9BA0BCE">
      <w:start w:val="1"/>
      <w:numFmt w:val="decimal"/>
      <w:lvlText w:val="Cuadro %1."/>
      <w:lvlJc w:val="left"/>
      <w:pPr>
        <w:ind w:left="2138" w:hanging="360"/>
      </w:pPr>
      <w:rPr>
        <w:rFonts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50" w15:restartNumberingAfterBreak="0">
    <w:nsid w:val="73793CE3"/>
    <w:multiLevelType w:val="hybridMultilevel"/>
    <w:tmpl w:val="192AB5A0"/>
    <w:lvl w:ilvl="0" w:tplc="E9E6A522">
      <w:start w:val="100"/>
      <w:numFmt w:val="bullet"/>
      <w:lvlText w:val="-"/>
      <w:lvlJc w:val="left"/>
      <w:pPr>
        <w:ind w:left="927" w:hanging="360"/>
      </w:pPr>
      <w:rPr>
        <w:rFonts w:ascii="ITC Avant Garde" w:eastAsia="Times New Roman" w:hAnsi="ITC Avant Garde" w:cs="Times New Roman"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51" w15:restartNumberingAfterBreak="0">
    <w:nsid w:val="75A1056C"/>
    <w:multiLevelType w:val="hybridMultilevel"/>
    <w:tmpl w:val="50AA22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793071AF"/>
    <w:multiLevelType w:val="hybridMultilevel"/>
    <w:tmpl w:val="2640DB82"/>
    <w:lvl w:ilvl="0" w:tplc="49EE85DE">
      <w:start w:val="1"/>
      <w:numFmt w:val="low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3" w15:restartNumberingAfterBreak="0">
    <w:nsid w:val="7A850321"/>
    <w:multiLevelType w:val="hybridMultilevel"/>
    <w:tmpl w:val="4D6A2B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4" w15:restartNumberingAfterBreak="0">
    <w:nsid w:val="7B165E24"/>
    <w:multiLevelType w:val="hybridMultilevel"/>
    <w:tmpl w:val="CEBA3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7E6B19BC"/>
    <w:multiLevelType w:val="hybridMultilevel"/>
    <w:tmpl w:val="B300B0CE"/>
    <w:lvl w:ilvl="0" w:tplc="F9BA0BCE">
      <w:start w:val="1"/>
      <w:numFmt w:val="decimal"/>
      <w:lvlText w:val="Cuadro %1."/>
      <w:lvlJc w:val="left"/>
      <w:pPr>
        <w:ind w:left="2138" w:hanging="360"/>
      </w:pPr>
      <w:rPr>
        <w:rFonts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num w:numId="1">
    <w:abstractNumId w:val="11"/>
  </w:num>
  <w:num w:numId="2">
    <w:abstractNumId w:val="35"/>
  </w:num>
  <w:num w:numId="3">
    <w:abstractNumId w:val="25"/>
  </w:num>
  <w:num w:numId="4">
    <w:abstractNumId w:val="45"/>
  </w:num>
  <w:num w:numId="5">
    <w:abstractNumId w:val="3"/>
  </w:num>
  <w:num w:numId="6">
    <w:abstractNumId w:val="0"/>
  </w:num>
  <w:num w:numId="7">
    <w:abstractNumId w:val="30"/>
  </w:num>
  <w:num w:numId="8">
    <w:abstractNumId w:val="28"/>
  </w:num>
  <w:num w:numId="9">
    <w:abstractNumId w:val="40"/>
  </w:num>
  <w:num w:numId="10">
    <w:abstractNumId w:val="5"/>
  </w:num>
  <w:num w:numId="11">
    <w:abstractNumId w:val="6"/>
  </w:num>
  <w:num w:numId="12">
    <w:abstractNumId w:val="37"/>
  </w:num>
  <w:num w:numId="13">
    <w:abstractNumId w:val="34"/>
  </w:num>
  <w:num w:numId="14">
    <w:abstractNumId w:val="44"/>
  </w:num>
  <w:num w:numId="15">
    <w:abstractNumId w:val="43"/>
  </w:num>
  <w:num w:numId="16">
    <w:abstractNumId w:val="53"/>
  </w:num>
  <w:num w:numId="17">
    <w:abstractNumId w:val="15"/>
  </w:num>
  <w:num w:numId="18">
    <w:abstractNumId w:val="48"/>
  </w:num>
  <w:num w:numId="19">
    <w:abstractNumId w:val="24"/>
  </w:num>
  <w:num w:numId="20">
    <w:abstractNumId w:val="1"/>
  </w:num>
  <w:num w:numId="21">
    <w:abstractNumId w:val="18"/>
  </w:num>
  <w:num w:numId="22">
    <w:abstractNumId w:val="42"/>
  </w:num>
  <w:num w:numId="23">
    <w:abstractNumId w:val="14"/>
  </w:num>
  <w:num w:numId="24">
    <w:abstractNumId w:val="33"/>
  </w:num>
  <w:num w:numId="25">
    <w:abstractNumId w:val="39"/>
  </w:num>
  <w:num w:numId="26">
    <w:abstractNumId w:val="17"/>
  </w:num>
  <w:num w:numId="27">
    <w:abstractNumId w:val="27"/>
  </w:num>
  <w:num w:numId="28">
    <w:abstractNumId w:val="9"/>
  </w:num>
  <w:num w:numId="29">
    <w:abstractNumId w:val="21"/>
  </w:num>
  <w:num w:numId="30">
    <w:abstractNumId w:val="36"/>
  </w:num>
  <w:num w:numId="31">
    <w:abstractNumId w:val="23"/>
  </w:num>
  <w:num w:numId="32">
    <w:abstractNumId w:val="50"/>
  </w:num>
  <w:num w:numId="33">
    <w:abstractNumId w:val="41"/>
  </w:num>
  <w:num w:numId="34">
    <w:abstractNumId w:val="31"/>
  </w:num>
  <w:num w:numId="35">
    <w:abstractNumId w:val="49"/>
  </w:num>
  <w:num w:numId="36">
    <w:abstractNumId w:val="55"/>
  </w:num>
  <w:num w:numId="37">
    <w:abstractNumId w:val="46"/>
  </w:num>
  <w:num w:numId="38">
    <w:abstractNumId w:val="16"/>
  </w:num>
  <w:num w:numId="39">
    <w:abstractNumId w:val="22"/>
  </w:num>
  <w:num w:numId="40">
    <w:abstractNumId w:val="13"/>
  </w:num>
  <w:num w:numId="41">
    <w:abstractNumId w:val="38"/>
  </w:num>
  <w:num w:numId="42">
    <w:abstractNumId w:val="47"/>
  </w:num>
  <w:num w:numId="43">
    <w:abstractNumId w:val="7"/>
  </w:num>
  <w:num w:numId="44">
    <w:abstractNumId w:val="2"/>
  </w:num>
  <w:num w:numId="45">
    <w:abstractNumId w:val="2"/>
    <w:lvlOverride w:ilvl="0">
      <w:startOverride w:val="1"/>
    </w:lvlOverride>
  </w:num>
  <w:num w:numId="46">
    <w:abstractNumId w:val="4"/>
  </w:num>
  <w:num w:numId="47">
    <w:abstractNumId w:val="52"/>
  </w:num>
  <w:num w:numId="48">
    <w:abstractNumId w:val="54"/>
  </w:num>
  <w:num w:numId="49">
    <w:abstractNumId w:val="32"/>
  </w:num>
  <w:num w:numId="50">
    <w:abstractNumId w:val="51"/>
  </w:num>
  <w:num w:numId="51">
    <w:abstractNumId w:val="29"/>
  </w:num>
  <w:num w:numId="52">
    <w:abstractNumId w:val="20"/>
  </w:num>
  <w:num w:numId="53">
    <w:abstractNumId w:val="19"/>
  </w:num>
  <w:num w:numId="54">
    <w:abstractNumId w:val="8"/>
  </w:num>
  <w:num w:numId="55">
    <w:abstractNumId w:val="10"/>
  </w:num>
  <w:num w:numId="56">
    <w:abstractNumId w:val="12"/>
  </w:num>
  <w:num w:numId="57">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FB"/>
    <w:rsid w:val="000000EE"/>
    <w:rsid w:val="00002877"/>
    <w:rsid w:val="00002CC5"/>
    <w:rsid w:val="000037B5"/>
    <w:rsid w:val="00003D31"/>
    <w:rsid w:val="00005CA2"/>
    <w:rsid w:val="00007F34"/>
    <w:rsid w:val="00011327"/>
    <w:rsid w:val="0001449E"/>
    <w:rsid w:val="00014D8D"/>
    <w:rsid w:val="00014EAD"/>
    <w:rsid w:val="00015861"/>
    <w:rsid w:val="00020747"/>
    <w:rsid w:val="00020D44"/>
    <w:rsid w:val="000279C5"/>
    <w:rsid w:val="00027E85"/>
    <w:rsid w:val="0003004F"/>
    <w:rsid w:val="00031BD6"/>
    <w:rsid w:val="00031C62"/>
    <w:rsid w:val="00033161"/>
    <w:rsid w:val="0003329D"/>
    <w:rsid w:val="00033624"/>
    <w:rsid w:val="00035F78"/>
    <w:rsid w:val="0003619D"/>
    <w:rsid w:val="000371D2"/>
    <w:rsid w:val="00040A58"/>
    <w:rsid w:val="000420C6"/>
    <w:rsid w:val="000424C9"/>
    <w:rsid w:val="000432AD"/>
    <w:rsid w:val="00046FF3"/>
    <w:rsid w:val="00047240"/>
    <w:rsid w:val="00050B83"/>
    <w:rsid w:val="000510F2"/>
    <w:rsid w:val="00053180"/>
    <w:rsid w:val="000540F3"/>
    <w:rsid w:val="0005601C"/>
    <w:rsid w:val="00062596"/>
    <w:rsid w:val="000629DF"/>
    <w:rsid w:val="000653CB"/>
    <w:rsid w:val="00065C8F"/>
    <w:rsid w:val="000672AC"/>
    <w:rsid w:val="0007192F"/>
    <w:rsid w:val="00071BBB"/>
    <w:rsid w:val="000741C8"/>
    <w:rsid w:val="000743F0"/>
    <w:rsid w:val="000763D4"/>
    <w:rsid w:val="00076C50"/>
    <w:rsid w:val="000818B2"/>
    <w:rsid w:val="00081BAF"/>
    <w:rsid w:val="00084048"/>
    <w:rsid w:val="000918F9"/>
    <w:rsid w:val="00091A8E"/>
    <w:rsid w:val="000A0428"/>
    <w:rsid w:val="000B0FF4"/>
    <w:rsid w:val="000B32AA"/>
    <w:rsid w:val="000B39F6"/>
    <w:rsid w:val="000C29C2"/>
    <w:rsid w:val="000C35B2"/>
    <w:rsid w:val="000C4B77"/>
    <w:rsid w:val="000C6B7D"/>
    <w:rsid w:val="000D0962"/>
    <w:rsid w:val="000D109B"/>
    <w:rsid w:val="000D14ED"/>
    <w:rsid w:val="000D1E81"/>
    <w:rsid w:val="000D2E44"/>
    <w:rsid w:val="000D3162"/>
    <w:rsid w:val="000D4B60"/>
    <w:rsid w:val="000D4CA0"/>
    <w:rsid w:val="000D5436"/>
    <w:rsid w:val="000D684E"/>
    <w:rsid w:val="000D76B6"/>
    <w:rsid w:val="000D7836"/>
    <w:rsid w:val="000E3DC8"/>
    <w:rsid w:val="000E4061"/>
    <w:rsid w:val="000E6261"/>
    <w:rsid w:val="000F04B5"/>
    <w:rsid w:val="000F20F6"/>
    <w:rsid w:val="000F6197"/>
    <w:rsid w:val="000F6A33"/>
    <w:rsid w:val="0010051F"/>
    <w:rsid w:val="00100DD8"/>
    <w:rsid w:val="0010136E"/>
    <w:rsid w:val="00102280"/>
    <w:rsid w:val="0010273F"/>
    <w:rsid w:val="0010520C"/>
    <w:rsid w:val="0010603B"/>
    <w:rsid w:val="00106F7D"/>
    <w:rsid w:val="001106DD"/>
    <w:rsid w:val="00110F6F"/>
    <w:rsid w:val="001117D9"/>
    <w:rsid w:val="00114B76"/>
    <w:rsid w:val="0011522E"/>
    <w:rsid w:val="00116022"/>
    <w:rsid w:val="0012118E"/>
    <w:rsid w:val="0012234C"/>
    <w:rsid w:val="00123EC0"/>
    <w:rsid w:val="00125707"/>
    <w:rsid w:val="00125966"/>
    <w:rsid w:val="00126FEE"/>
    <w:rsid w:val="00132A1A"/>
    <w:rsid w:val="00133294"/>
    <w:rsid w:val="0013452F"/>
    <w:rsid w:val="0013504D"/>
    <w:rsid w:val="001355F8"/>
    <w:rsid w:val="00140276"/>
    <w:rsid w:val="0014072C"/>
    <w:rsid w:val="0014141B"/>
    <w:rsid w:val="0014400A"/>
    <w:rsid w:val="0014520F"/>
    <w:rsid w:val="0015042D"/>
    <w:rsid w:val="00151572"/>
    <w:rsid w:val="00154BE1"/>
    <w:rsid w:val="00160888"/>
    <w:rsid w:val="00161216"/>
    <w:rsid w:val="00165198"/>
    <w:rsid w:val="001700E5"/>
    <w:rsid w:val="001713C6"/>
    <w:rsid w:val="00175370"/>
    <w:rsid w:val="001769E3"/>
    <w:rsid w:val="001847CF"/>
    <w:rsid w:val="00184C23"/>
    <w:rsid w:val="00184CD5"/>
    <w:rsid w:val="00187194"/>
    <w:rsid w:val="0019279D"/>
    <w:rsid w:val="00192BE5"/>
    <w:rsid w:val="00193C21"/>
    <w:rsid w:val="00195032"/>
    <w:rsid w:val="001958BA"/>
    <w:rsid w:val="00196109"/>
    <w:rsid w:val="0019650A"/>
    <w:rsid w:val="00196AB4"/>
    <w:rsid w:val="001971F2"/>
    <w:rsid w:val="001A049C"/>
    <w:rsid w:val="001A2928"/>
    <w:rsid w:val="001A2FFB"/>
    <w:rsid w:val="001A343E"/>
    <w:rsid w:val="001A3D72"/>
    <w:rsid w:val="001A475C"/>
    <w:rsid w:val="001A7EFE"/>
    <w:rsid w:val="001B0FAA"/>
    <w:rsid w:val="001B3903"/>
    <w:rsid w:val="001B6F22"/>
    <w:rsid w:val="001C2121"/>
    <w:rsid w:val="001C56A9"/>
    <w:rsid w:val="001C6B1E"/>
    <w:rsid w:val="001D171F"/>
    <w:rsid w:val="001D22A6"/>
    <w:rsid w:val="001D4AB0"/>
    <w:rsid w:val="001D512B"/>
    <w:rsid w:val="001D5A58"/>
    <w:rsid w:val="001E37EE"/>
    <w:rsid w:val="001E537A"/>
    <w:rsid w:val="001E5466"/>
    <w:rsid w:val="001E592A"/>
    <w:rsid w:val="001E6865"/>
    <w:rsid w:val="001E7A6C"/>
    <w:rsid w:val="001F1A87"/>
    <w:rsid w:val="001F2877"/>
    <w:rsid w:val="001F28B1"/>
    <w:rsid w:val="001F2EA3"/>
    <w:rsid w:val="002074CC"/>
    <w:rsid w:val="00211F76"/>
    <w:rsid w:val="00213E12"/>
    <w:rsid w:val="00215E84"/>
    <w:rsid w:val="00215FA8"/>
    <w:rsid w:val="00217B47"/>
    <w:rsid w:val="00222F1D"/>
    <w:rsid w:val="0022370D"/>
    <w:rsid w:val="00224139"/>
    <w:rsid w:val="002249CA"/>
    <w:rsid w:val="002315A4"/>
    <w:rsid w:val="0023218E"/>
    <w:rsid w:val="0023224A"/>
    <w:rsid w:val="00232A7B"/>
    <w:rsid w:val="00232C48"/>
    <w:rsid w:val="002331D5"/>
    <w:rsid w:val="002360A8"/>
    <w:rsid w:val="002370BE"/>
    <w:rsid w:val="00241D9A"/>
    <w:rsid w:val="00242777"/>
    <w:rsid w:val="00242B45"/>
    <w:rsid w:val="00243E0A"/>
    <w:rsid w:val="00247877"/>
    <w:rsid w:val="002501DE"/>
    <w:rsid w:val="00250A4E"/>
    <w:rsid w:val="00252208"/>
    <w:rsid w:val="0025540C"/>
    <w:rsid w:val="00257798"/>
    <w:rsid w:val="00260383"/>
    <w:rsid w:val="002702E8"/>
    <w:rsid w:val="0027047F"/>
    <w:rsid w:val="0027363F"/>
    <w:rsid w:val="0027513F"/>
    <w:rsid w:val="0027654A"/>
    <w:rsid w:val="00277FD8"/>
    <w:rsid w:val="002806C6"/>
    <w:rsid w:val="00281521"/>
    <w:rsid w:val="002817A5"/>
    <w:rsid w:val="00282826"/>
    <w:rsid w:val="0028474D"/>
    <w:rsid w:val="00290645"/>
    <w:rsid w:val="00294DCC"/>
    <w:rsid w:val="00295F40"/>
    <w:rsid w:val="002A0096"/>
    <w:rsid w:val="002A046D"/>
    <w:rsid w:val="002A1AA6"/>
    <w:rsid w:val="002A21F2"/>
    <w:rsid w:val="002A2A2B"/>
    <w:rsid w:val="002A3261"/>
    <w:rsid w:val="002A4623"/>
    <w:rsid w:val="002A538A"/>
    <w:rsid w:val="002A6996"/>
    <w:rsid w:val="002A6E04"/>
    <w:rsid w:val="002B0BEE"/>
    <w:rsid w:val="002B1F75"/>
    <w:rsid w:val="002B22FD"/>
    <w:rsid w:val="002B2E70"/>
    <w:rsid w:val="002B378B"/>
    <w:rsid w:val="002B378D"/>
    <w:rsid w:val="002B3F26"/>
    <w:rsid w:val="002B58F4"/>
    <w:rsid w:val="002C0279"/>
    <w:rsid w:val="002C17D4"/>
    <w:rsid w:val="002C309A"/>
    <w:rsid w:val="002C3A6E"/>
    <w:rsid w:val="002D5A63"/>
    <w:rsid w:val="002E1727"/>
    <w:rsid w:val="002E20CE"/>
    <w:rsid w:val="002E32A3"/>
    <w:rsid w:val="002E749A"/>
    <w:rsid w:val="002F1D68"/>
    <w:rsid w:val="002F1F9C"/>
    <w:rsid w:val="002F3305"/>
    <w:rsid w:val="002F401E"/>
    <w:rsid w:val="002F4699"/>
    <w:rsid w:val="002F71C5"/>
    <w:rsid w:val="003033A0"/>
    <w:rsid w:val="00303CB8"/>
    <w:rsid w:val="00303D82"/>
    <w:rsid w:val="00304C3B"/>
    <w:rsid w:val="0030526C"/>
    <w:rsid w:val="0031074B"/>
    <w:rsid w:val="00313B2E"/>
    <w:rsid w:val="003146C1"/>
    <w:rsid w:val="00315C1D"/>
    <w:rsid w:val="00315E0D"/>
    <w:rsid w:val="0031772C"/>
    <w:rsid w:val="00320899"/>
    <w:rsid w:val="00323549"/>
    <w:rsid w:val="00327869"/>
    <w:rsid w:val="00327CBE"/>
    <w:rsid w:val="003302D5"/>
    <w:rsid w:val="00332D32"/>
    <w:rsid w:val="00333A64"/>
    <w:rsid w:val="00335846"/>
    <w:rsid w:val="00340342"/>
    <w:rsid w:val="003403A6"/>
    <w:rsid w:val="00342899"/>
    <w:rsid w:val="00342D36"/>
    <w:rsid w:val="00342F64"/>
    <w:rsid w:val="00346309"/>
    <w:rsid w:val="00351A2A"/>
    <w:rsid w:val="00354172"/>
    <w:rsid w:val="0035475C"/>
    <w:rsid w:val="00354ECA"/>
    <w:rsid w:val="00357382"/>
    <w:rsid w:val="003626E6"/>
    <w:rsid w:val="00365E69"/>
    <w:rsid w:val="00367467"/>
    <w:rsid w:val="00370254"/>
    <w:rsid w:val="00376450"/>
    <w:rsid w:val="00376813"/>
    <w:rsid w:val="00377AFB"/>
    <w:rsid w:val="003817F9"/>
    <w:rsid w:val="00383106"/>
    <w:rsid w:val="00383201"/>
    <w:rsid w:val="00383A0C"/>
    <w:rsid w:val="003848A6"/>
    <w:rsid w:val="0038578B"/>
    <w:rsid w:val="00385AB1"/>
    <w:rsid w:val="00385C58"/>
    <w:rsid w:val="00390F9F"/>
    <w:rsid w:val="00391D09"/>
    <w:rsid w:val="00393A29"/>
    <w:rsid w:val="00393FB9"/>
    <w:rsid w:val="003943D0"/>
    <w:rsid w:val="003A0DA1"/>
    <w:rsid w:val="003A20A1"/>
    <w:rsid w:val="003A76DA"/>
    <w:rsid w:val="003B07B4"/>
    <w:rsid w:val="003B0B17"/>
    <w:rsid w:val="003B1926"/>
    <w:rsid w:val="003B4DD0"/>
    <w:rsid w:val="003B5BFF"/>
    <w:rsid w:val="003B71DE"/>
    <w:rsid w:val="003C0135"/>
    <w:rsid w:val="003C04A3"/>
    <w:rsid w:val="003C0BD9"/>
    <w:rsid w:val="003C1F21"/>
    <w:rsid w:val="003C27FC"/>
    <w:rsid w:val="003C3075"/>
    <w:rsid w:val="003C52CA"/>
    <w:rsid w:val="003C595A"/>
    <w:rsid w:val="003C631F"/>
    <w:rsid w:val="003C684D"/>
    <w:rsid w:val="003C6FC3"/>
    <w:rsid w:val="003C739E"/>
    <w:rsid w:val="003D067E"/>
    <w:rsid w:val="003D219F"/>
    <w:rsid w:val="003D33E7"/>
    <w:rsid w:val="003D400E"/>
    <w:rsid w:val="003D51FB"/>
    <w:rsid w:val="003D5EB4"/>
    <w:rsid w:val="003D72B3"/>
    <w:rsid w:val="003E2F07"/>
    <w:rsid w:val="003E4B61"/>
    <w:rsid w:val="003E5F2D"/>
    <w:rsid w:val="003E7F74"/>
    <w:rsid w:val="003F1983"/>
    <w:rsid w:val="003F1C25"/>
    <w:rsid w:val="003F277C"/>
    <w:rsid w:val="003F2BCB"/>
    <w:rsid w:val="003F2CAB"/>
    <w:rsid w:val="003F4383"/>
    <w:rsid w:val="00400EBD"/>
    <w:rsid w:val="0040133C"/>
    <w:rsid w:val="00405461"/>
    <w:rsid w:val="00407096"/>
    <w:rsid w:val="00407556"/>
    <w:rsid w:val="0041020C"/>
    <w:rsid w:val="00410BAF"/>
    <w:rsid w:val="004114DC"/>
    <w:rsid w:val="004117C2"/>
    <w:rsid w:val="00414683"/>
    <w:rsid w:val="00422A2B"/>
    <w:rsid w:val="00424CCF"/>
    <w:rsid w:val="00424F7B"/>
    <w:rsid w:val="00424FC0"/>
    <w:rsid w:val="00425765"/>
    <w:rsid w:val="004264BB"/>
    <w:rsid w:val="00426B0D"/>
    <w:rsid w:val="00430C8D"/>
    <w:rsid w:val="00432170"/>
    <w:rsid w:val="00432F64"/>
    <w:rsid w:val="00433348"/>
    <w:rsid w:val="0043619C"/>
    <w:rsid w:val="0043778B"/>
    <w:rsid w:val="00443CBD"/>
    <w:rsid w:val="00444F18"/>
    <w:rsid w:val="004463F5"/>
    <w:rsid w:val="0044733D"/>
    <w:rsid w:val="00450F41"/>
    <w:rsid w:val="004574A7"/>
    <w:rsid w:val="00461DC4"/>
    <w:rsid w:val="004627C5"/>
    <w:rsid w:val="00464FE7"/>
    <w:rsid w:val="00467A97"/>
    <w:rsid w:val="0047243C"/>
    <w:rsid w:val="00474F98"/>
    <w:rsid w:val="00476462"/>
    <w:rsid w:val="0047665E"/>
    <w:rsid w:val="00476BFF"/>
    <w:rsid w:val="004770F6"/>
    <w:rsid w:val="00482F70"/>
    <w:rsid w:val="00483A07"/>
    <w:rsid w:val="0048483D"/>
    <w:rsid w:val="00484BF8"/>
    <w:rsid w:val="00484E0F"/>
    <w:rsid w:val="004918F9"/>
    <w:rsid w:val="0049403F"/>
    <w:rsid w:val="00494B6F"/>
    <w:rsid w:val="0049518E"/>
    <w:rsid w:val="00497AF8"/>
    <w:rsid w:val="00497B22"/>
    <w:rsid w:val="004A14D8"/>
    <w:rsid w:val="004A1823"/>
    <w:rsid w:val="004A2067"/>
    <w:rsid w:val="004A456E"/>
    <w:rsid w:val="004A6104"/>
    <w:rsid w:val="004A6AA1"/>
    <w:rsid w:val="004B1A3C"/>
    <w:rsid w:val="004B1E7C"/>
    <w:rsid w:val="004B52E2"/>
    <w:rsid w:val="004B7873"/>
    <w:rsid w:val="004C004E"/>
    <w:rsid w:val="004C189C"/>
    <w:rsid w:val="004C1ADD"/>
    <w:rsid w:val="004C1EEA"/>
    <w:rsid w:val="004C26F0"/>
    <w:rsid w:val="004C3544"/>
    <w:rsid w:val="004C373F"/>
    <w:rsid w:val="004C5037"/>
    <w:rsid w:val="004C5AD0"/>
    <w:rsid w:val="004D0E87"/>
    <w:rsid w:val="004D114E"/>
    <w:rsid w:val="004D2FFF"/>
    <w:rsid w:val="004D34A3"/>
    <w:rsid w:val="004D419E"/>
    <w:rsid w:val="004D632B"/>
    <w:rsid w:val="004D7A95"/>
    <w:rsid w:val="004E06E4"/>
    <w:rsid w:val="004E1DAA"/>
    <w:rsid w:val="004E257E"/>
    <w:rsid w:val="004E3ADD"/>
    <w:rsid w:val="004E6DDD"/>
    <w:rsid w:val="004E70E6"/>
    <w:rsid w:val="004E7C80"/>
    <w:rsid w:val="004F0111"/>
    <w:rsid w:val="004F0B50"/>
    <w:rsid w:val="004F5014"/>
    <w:rsid w:val="004F635A"/>
    <w:rsid w:val="005051FA"/>
    <w:rsid w:val="005108C5"/>
    <w:rsid w:val="005164A9"/>
    <w:rsid w:val="005203AB"/>
    <w:rsid w:val="00520CEC"/>
    <w:rsid w:val="0052179C"/>
    <w:rsid w:val="00523B4E"/>
    <w:rsid w:val="00524B59"/>
    <w:rsid w:val="00526914"/>
    <w:rsid w:val="00527774"/>
    <w:rsid w:val="00531BC5"/>
    <w:rsid w:val="005326AF"/>
    <w:rsid w:val="00534530"/>
    <w:rsid w:val="0053494A"/>
    <w:rsid w:val="0053621E"/>
    <w:rsid w:val="00537D7B"/>
    <w:rsid w:val="00542C4F"/>
    <w:rsid w:val="00543C88"/>
    <w:rsid w:val="0054587A"/>
    <w:rsid w:val="0055321F"/>
    <w:rsid w:val="0055412C"/>
    <w:rsid w:val="00556E40"/>
    <w:rsid w:val="0056008D"/>
    <w:rsid w:val="00560794"/>
    <w:rsid w:val="00563EDB"/>
    <w:rsid w:val="00570DD8"/>
    <w:rsid w:val="0057151D"/>
    <w:rsid w:val="005754BE"/>
    <w:rsid w:val="0057559D"/>
    <w:rsid w:val="005820CA"/>
    <w:rsid w:val="0058242B"/>
    <w:rsid w:val="00582686"/>
    <w:rsid w:val="005830E4"/>
    <w:rsid w:val="0058453D"/>
    <w:rsid w:val="005847F5"/>
    <w:rsid w:val="00585D13"/>
    <w:rsid w:val="005862AB"/>
    <w:rsid w:val="005871FB"/>
    <w:rsid w:val="005874AB"/>
    <w:rsid w:val="0059046D"/>
    <w:rsid w:val="00596064"/>
    <w:rsid w:val="00596FBE"/>
    <w:rsid w:val="005A1B61"/>
    <w:rsid w:val="005A391B"/>
    <w:rsid w:val="005A615C"/>
    <w:rsid w:val="005B2852"/>
    <w:rsid w:val="005B30DE"/>
    <w:rsid w:val="005B397C"/>
    <w:rsid w:val="005B67BE"/>
    <w:rsid w:val="005C1330"/>
    <w:rsid w:val="005C1C21"/>
    <w:rsid w:val="005C39E3"/>
    <w:rsid w:val="005C3CA6"/>
    <w:rsid w:val="005C40B1"/>
    <w:rsid w:val="005C4DDA"/>
    <w:rsid w:val="005D1DA9"/>
    <w:rsid w:val="005D30ED"/>
    <w:rsid w:val="005D7565"/>
    <w:rsid w:val="005E0F77"/>
    <w:rsid w:val="005E1DFE"/>
    <w:rsid w:val="005E4056"/>
    <w:rsid w:val="005E40C0"/>
    <w:rsid w:val="005E6BDD"/>
    <w:rsid w:val="005F2C5A"/>
    <w:rsid w:val="005F2FB5"/>
    <w:rsid w:val="005F482A"/>
    <w:rsid w:val="005F4EC6"/>
    <w:rsid w:val="005F6001"/>
    <w:rsid w:val="005F6CA2"/>
    <w:rsid w:val="005F7F9E"/>
    <w:rsid w:val="006008CC"/>
    <w:rsid w:val="00600D55"/>
    <w:rsid w:val="006018EA"/>
    <w:rsid w:val="00607297"/>
    <w:rsid w:val="0061093C"/>
    <w:rsid w:val="00611183"/>
    <w:rsid w:val="006123DE"/>
    <w:rsid w:val="00614489"/>
    <w:rsid w:val="0061604D"/>
    <w:rsid w:val="006161FB"/>
    <w:rsid w:val="00616556"/>
    <w:rsid w:val="00620C05"/>
    <w:rsid w:val="00622DDF"/>
    <w:rsid w:val="00624496"/>
    <w:rsid w:val="00627208"/>
    <w:rsid w:val="00634BC2"/>
    <w:rsid w:val="006364DA"/>
    <w:rsid w:val="00636B11"/>
    <w:rsid w:val="00636F34"/>
    <w:rsid w:val="00637BA7"/>
    <w:rsid w:val="00641F0F"/>
    <w:rsid w:val="00643774"/>
    <w:rsid w:val="006462D1"/>
    <w:rsid w:val="0064641A"/>
    <w:rsid w:val="00655A96"/>
    <w:rsid w:val="0065679E"/>
    <w:rsid w:val="00656B53"/>
    <w:rsid w:val="00656F48"/>
    <w:rsid w:val="00657D34"/>
    <w:rsid w:val="00660523"/>
    <w:rsid w:val="006667D6"/>
    <w:rsid w:val="0067107A"/>
    <w:rsid w:val="00672093"/>
    <w:rsid w:val="00672502"/>
    <w:rsid w:val="00674864"/>
    <w:rsid w:val="00674AFE"/>
    <w:rsid w:val="0067654D"/>
    <w:rsid w:val="00676BF7"/>
    <w:rsid w:val="00677379"/>
    <w:rsid w:val="00677651"/>
    <w:rsid w:val="006801D8"/>
    <w:rsid w:val="00680369"/>
    <w:rsid w:val="0068147C"/>
    <w:rsid w:val="00682173"/>
    <w:rsid w:val="00684E34"/>
    <w:rsid w:val="006854D0"/>
    <w:rsid w:val="006857BB"/>
    <w:rsid w:val="00687E53"/>
    <w:rsid w:val="006925BD"/>
    <w:rsid w:val="006934E0"/>
    <w:rsid w:val="00695384"/>
    <w:rsid w:val="0069607B"/>
    <w:rsid w:val="006960EB"/>
    <w:rsid w:val="00696953"/>
    <w:rsid w:val="00696CCB"/>
    <w:rsid w:val="006A0222"/>
    <w:rsid w:val="006A0F06"/>
    <w:rsid w:val="006A22D2"/>
    <w:rsid w:val="006A2701"/>
    <w:rsid w:val="006A2F94"/>
    <w:rsid w:val="006A504E"/>
    <w:rsid w:val="006A522E"/>
    <w:rsid w:val="006A6952"/>
    <w:rsid w:val="006A6C6D"/>
    <w:rsid w:val="006B150E"/>
    <w:rsid w:val="006B1708"/>
    <w:rsid w:val="006B1912"/>
    <w:rsid w:val="006B25E8"/>
    <w:rsid w:val="006B3208"/>
    <w:rsid w:val="006B3D4F"/>
    <w:rsid w:val="006B3F54"/>
    <w:rsid w:val="006B6AC9"/>
    <w:rsid w:val="006B763A"/>
    <w:rsid w:val="006B789A"/>
    <w:rsid w:val="006C1E9C"/>
    <w:rsid w:val="006C2277"/>
    <w:rsid w:val="006C507A"/>
    <w:rsid w:val="006C5E1A"/>
    <w:rsid w:val="006C6A35"/>
    <w:rsid w:val="006C6FF2"/>
    <w:rsid w:val="006D2407"/>
    <w:rsid w:val="006D2CA7"/>
    <w:rsid w:val="006D35D4"/>
    <w:rsid w:val="006D411F"/>
    <w:rsid w:val="006D70A7"/>
    <w:rsid w:val="006D7C6F"/>
    <w:rsid w:val="006E079C"/>
    <w:rsid w:val="006E084A"/>
    <w:rsid w:val="006E1739"/>
    <w:rsid w:val="006E2045"/>
    <w:rsid w:val="006E5AED"/>
    <w:rsid w:val="006E7067"/>
    <w:rsid w:val="006E78DA"/>
    <w:rsid w:val="006E7A37"/>
    <w:rsid w:val="007008B8"/>
    <w:rsid w:val="00701069"/>
    <w:rsid w:val="00701D98"/>
    <w:rsid w:val="00702DB3"/>
    <w:rsid w:val="00704FB5"/>
    <w:rsid w:val="0070565E"/>
    <w:rsid w:val="00706EEB"/>
    <w:rsid w:val="0070740D"/>
    <w:rsid w:val="00713C69"/>
    <w:rsid w:val="00715D2A"/>
    <w:rsid w:val="00715EB5"/>
    <w:rsid w:val="0072095D"/>
    <w:rsid w:val="00721CCE"/>
    <w:rsid w:val="0073016D"/>
    <w:rsid w:val="00730787"/>
    <w:rsid w:val="00731D26"/>
    <w:rsid w:val="00733B69"/>
    <w:rsid w:val="00736884"/>
    <w:rsid w:val="00736C4E"/>
    <w:rsid w:val="00740E2C"/>
    <w:rsid w:val="00741CCE"/>
    <w:rsid w:val="00741FF1"/>
    <w:rsid w:val="007447C7"/>
    <w:rsid w:val="00747410"/>
    <w:rsid w:val="00747A8A"/>
    <w:rsid w:val="00750C70"/>
    <w:rsid w:val="00751C32"/>
    <w:rsid w:val="00753570"/>
    <w:rsid w:val="00753BFF"/>
    <w:rsid w:val="00755B23"/>
    <w:rsid w:val="00760DFA"/>
    <w:rsid w:val="00763B69"/>
    <w:rsid w:val="00765E95"/>
    <w:rsid w:val="0076690D"/>
    <w:rsid w:val="00767465"/>
    <w:rsid w:val="00767E5E"/>
    <w:rsid w:val="0077004F"/>
    <w:rsid w:val="00771097"/>
    <w:rsid w:val="00771432"/>
    <w:rsid w:val="00771764"/>
    <w:rsid w:val="00771D72"/>
    <w:rsid w:val="007725FD"/>
    <w:rsid w:val="0077366E"/>
    <w:rsid w:val="00773F67"/>
    <w:rsid w:val="0077590A"/>
    <w:rsid w:val="00777A43"/>
    <w:rsid w:val="00780DB8"/>
    <w:rsid w:val="00782B21"/>
    <w:rsid w:val="00783AA2"/>
    <w:rsid w:val="00783F4F"/>
    <w:rsid w:val="00784806"/>
    <w:rsid w:val="0078640E"/>
    <w:rsid w:val="007875F4"/>
    <w:rsid w:val="00791DED"/>
    <w:rsid w:val="00792026"/>
    <w:rsid w:val="007922BB"/>
    <w:rsid w:val="007963F2"/>
    <w:rsid w:val="007971E8"/>
    <w:rsid w:val="00797538"/>
    <w:rsid w:val="007A0A40"/>
    <w:rsid w:val="007A731B"/>
    <w:rsid w:val="007A7CED"/>
    <w:rsid w:val="007A7EF0"/>
    <w:rsid w:val="007B1AAB"/>
    <w:rsid w:val="007B3D1E"/>
    <w:rsid w:val="007B485A"/>
    <w:rsid w:val="007B52A3"/>
    <w:rsid w:val="007B58DD"/>
    <w:rsid w:val="007B6804"/>
    <w:rsid w:val="007C13C4"/>
    <w:rsid w:val="007C13F8"/>
    <w:rsid w:val="007C25CB"/>
    <w:rsid w:val="007C33E4"/>
    <w:rsid w:val="007C467F"/>
    <w:rsid w:val="007C7BA9"/>
    <w:rsid w:val="007D0577"/>
    <w:rsid w:val="007D061C"/>
    <w:rsid w:val="007D26EB"/>
    <w:rsid w:val="007D2744"/>
    <w:rsid w:val="007D3F1E"/>
    <w:rsid w:val="007D7655"/>
    <w:rsid w:val="007E0379"/>
    <w:rsid w:val="007E0D49"/>
    <w:rsid w:val="007E0E33"/>
    <w:rsid w:val="007E0F8D"/>
    <w:rsid w:val="007E278F"/>
    <w:rsid w:val="007E299E"/>
    <w:rsid w:val="007E4B37"/>
    <w:rsid w:val="007E547D"/>
    <w:rsid w:val="007E5635"/>
    <w:rsid w:val="007E7583"/>
    <w:rsid w:val="007E7BD3"/>
    <w:rsid w:val="007E7EB0"/>
    <w:rsid w:val="007F0EF9"/>
    <w:rsid w:val="007F1526"/>
    <w:rsid w:val="007F19F9"/>
    <w:rsid w:val="007F33B0"/>
    <w:rsid w:val="007F4A59"/>
    <w:rsid w:val="007F4ED8"/>
    <w:rsid w:val="007F5936"/>
    <w:rsid w:val="008013FE"/>
    <w:rsid w:val="00805043"/>
    <w:rsid w:val="00807707"/>
    <w:rsid w:val="0081097B"/>
    <w:rsid w:val="00810B90"/>
    <w:rsid w:val="0081102D"/>
    <w:rsid w:val="0081352B"/>
    <w:rsid w:val="008142B9"/>
    <w:rsid w:val="00816019"/>
    <w:rsid w:val="0081659F"/>
    <w:rsid w:val="00817576"/>
    <w:rsid w:val="00817707"/>
    <w:rsid w:val="008205AE"/>
    <w:rsid w:val="008227ED"/>
    <w:rsid w:val="00827A13"/>
    <w:rsid w:val="00831174"/>
    <w:rsid w:val="0084201A"/>
    <w:rsid w:val="00842AA1"/>
    <w:rsid w:val="0084365C"/>
    <w:rsid w:val="00846975"/>
    <w:rsid w:val="00847AB2"/>
    <w:rsid w:val="00851F1A"/>
    <w:rsid w:val="008523DB"/>
    <w:rsid w:val="00852404"/>
    <w:rsid w:val="00853B03"/>
    <w:rsid w:val="00853F19"/>
    <w:rsid w:val="00856CAF"/>
    <w:rsid w:val="00860889"/>
    <w:rsid w:val="00871249"/>
    <w:rsid w:val="00872502"/>
    <w:rsid w:val="008725D0"/>
    <w:rsid w:val="00874FA4"/>
    <w:rsid w:val="0087524E"/>
    <w:rsid w:val="00876DAA"/>
    <w:rsid w:val="00877097"/>
    <w:rsid w:val="00877372"/>
    <w:rsid w:val="00883D6B"/>
    <w:rsid w:val="00885E40"/>
    <w:rsid w:val="0088660A"/>
    <w:rsid w:val="00891F81"/>
    <w:rsid w:val="00897BFE"/>
    <w:rsid w:val="008A4A10"/>
    <w:rsid w:val="008A5415"/>
    <w:rsid w:val="008A5450"/>
    <w:rsid w:val="008B0B64"/>
    <w:rsid w:val="008C34EA"/>
    <w:rsid w:val="008C49E8"/>
    <w:rsid w:val="008D42B6"/>
    <w:rsid w:val="008D449C"/>
    <w:rsid w:val="008D5C4D"/>
    <w:rsid w:val="008D7500"/>
    <w:rsid w:val="008E2FDB"/>
    <w:rsid w:val="008E368F"/>
    <w:rsid w:val="008E454B"/>
    <w:rsid w:val="008E683D"/>
    <w:rsid w:val="008F050A"/>
    <w:rsid w:val="008F0774"/>
    <w:rsid w:val="008F1341"/>
    <w:rsid w:val="008F3035"/>
    <w:rsid w:val="008F40F3"/>
    <w:rsid w:val="008F4335"/>
    <w:rsid w:val="008F4AF9"/>
    <w:rsid w:val="008F5021"/>
    <w:rsid w:val="008F545F"/>
    <w:rsid w:val="00901465"/>
    <w:rsid w:val="009017CA"/>
    <w:rsid w:val="009038B1"/>
    <w:rsid w:val="00904721"/>
    <w:rsid w:val="00905011"/>
    <w:rsid w:val="009111D7"/>
    <w:rsid w:val="009127A8"/>
    <w:rsid w:val="009134B8"/>
    <w:rsid w:val="009138C8"/>
    <w:rsid w:val="00913F69"/>
    <w:rsid w:val="00914663"/>
    <w:rsid w:val="00920D4E"/>
    <w:rsid w:val="00920D51"/>
    <w:rsid w:val="009211F6"/>
    <w:rsid w:val="00921B19"/>
    <w:rsid w:val="009220D5"/>
    <w:rsid w:val="0092261F"/>
    <w:rsid w:val="00922E0B"/>
    <w:rsid w:val="00925510"/>
    <w:rsid w:val="00927109"/>
    <w:rsid w:val="009273D5"/>
    <w:rsid w:val="009277DC"/>
    <w:rsid w:val="00927DA6"/>
    <w:rsid w:val="0093190F"/>
    <w:rsid w:val="00931AA9"/>
    <w:rsid w:val="0093306E"/>
    <w:rsid w:val="00934B4F"/>
    <w:rsid w:val="009357B0"/>
    <w:rsid w:val="00935BC0"/>
    <w:rsid w:val="00936F2B"/>
    <w:rsid w:val="0093732D"/>
    <w:rsid w:val="00937574"/>
    <w:rsid w:val="00937DC5"/>
    <w:rsid w:val="00940734"/>
    <w:rsid w:val="009412D3"/>
    <w:rsid w:val="00945FB6"/>
    <w:rsid w:val="00946422"/>
    <w:rsid w:val="00952B55"/>
    <w:rsid w:val="0095348A"/>
    <w:rsid w:val="0095420A"/>
    <w:rsid w:val="00955BA9"/>
    <w:rsid w:val="009565D1"/>
    <w:rsid w:val="00962465"/>
    <w:rsid w:val="0096264F"/>
    <w:rsid w:val="009643DA"/>
    <w:rsid w:val="00965131"/>
    <w:rsid w:val="00966F91"/>
    <w:rsid w:val="00967AA1"/>
    <w:rsid w:val="00967F70"/>
    <w:rsid w:val="00973EC3"/>
    <w:rsid w:val="00974B8E"/>
    <w:rsid w:val="009776DC"/>
    <w:rsid w:val="009806ED"/>
    <w:rsid w:val="00984DDA"/>
    <w:rsid w:val="00992E05"/>
    <w:rsid w:val="00993C19"/>
    <w:rsid w:val="0099437F"/>
    <w:rsid w:val="00994BA1"/>
    <w:rsid w:val="0099530F"/>
    <w:rsid w:val="009962C2"/>
    <w:rsid w:val="00996E0C"/>
    <w:rsid w:val="00996EE2"/>
    <w:rsid w:val="009A31D6"/>
    <w:rsid w:val="009A4378"/>
    <w:rsid w:val="009A4D45"/>
    <w:rsid w:val="009A5797"/>
    <w:rsid w:val="009A5A02"/>
    <w:rsid w:val="009A752E"/>
    <w:rsid w:val="009B0705"/>
    <w:rsid w:val="009B2719"/>
    <w:rsid w:val="009B5CAE"/>
    <w:rsid w:val="009B613A"/>
    <w:rsid w:val="009C14B2"/>
    <w:rsid w:val="009C2B25"/>
    <w:rsid w:val="009C3A35"/>
    <w:rsid w:val="009C4529"/>
    <w:rsid w:val="009C4EFC"/>
    <w:rsid w:val="009C6AAA"/>
    <w:rsid w:val="009D0F45"/>
    <w:rsid w:val="009D26EE"/>
    <w:rsid w:val="009D3CF5"/>
    <w:rsid w:val="009D704B"/>
    <w:rsid w:val="009E1301"/>
    <w:rsid w:val="009E181B"/>
    <w:rsid w:val="009E2A89"/>
    <w:rsid w:val="009E3841"/>
    <w:rsid w:val="009E3B21"/>
    <w:rsid w:val="009E4624"/>
    <w:rsid w:val="009E7663"/>
    <w:rsid w:val="009F3746"/>
    <w:rsid w:val="009F4AB5"/>
    <w:rsid w:val="009F5456"/>
    <w:rsid w:val="009F54A4"/>
    <w:rsid w:val="00A010A6"/>
    <w:rsid w:val="00A017D7"/>
    <w:rsid w:val="00A01EDF"/>
    <w:rsid w:val="00A02181"/>
    <w:rsid w:val="00A041A9"/>
    <w:rsid w:val="00A049DB"/>
    <w:rsid w:val="00A04F1C"/>
    <w:rsid w:val="00A04F8F"/>
    <w:rsid w:val="00A0784F"/>
    <w:rsid w:val="00A07FF2"/>
    <w:rsid w:val="00A133D0"/>
    <w:rsid w:val="00A15B90"/>
    <w:rsid w:val="00A161A8"/>
    <w:rsid w:val="00A171C2"/>
    <w:rsid w:val="00A20187"/>
    <w:rsid w:val="00A206E7"/>
    <w:rsid w:val="00A23CE3"/>
    <w:rsid w:val="00A240A8"/>
    <w:rsid w:val="00A246E9"/>
    <w:rsid w:val="00A3202E"/>
    <w:rsid w:val="00A322E0"/>
    <w:rsid w:val="00A333CB"/>
    <w:rsid w:val="00A3591C"/>
    <w:rsid w:val="00A35AEE"/>
    <w:rsid w:val="00A37429"/>
    <w:rsid w:val="00A40733"/>
    <w:rsid w:val="00A40785"/>
    <w:rsid w:val="00A41166"/>
    <w:rsid w:val="00A430A5"/>
    <w:rsid w:val="00A432ED"/>
    <w:rsid w:val="00A44B72"/>
    <w:rsid w:val="00A44FFA"/>
    <w:rsid w:val="00A4574F"/>
    <w:rsid w:val="00A45A40"/>
    <w:rsid w:val="00A46877"/>
    <w:rsid w:val="00A47DAD"/>
    <w:rsid w:val="00A50FA6"/>
    <w:rsid w:val="00A5299B"/>
    <w:rsid w:val="00A542D4"/>
    <w:rsid w:val="00A545B5"/>
    <w:rsid w:val="00A55B42"/>
    <w:rsid w:val="00A55BB0"/>
    <w:rsid w:val="00A56454"/>
    <w:rsid w:val="00A564FF"/>
    <w:rsid w:val="00A57A1E"/>
    <w:rsid w:val="00A613B6"/>
    <w:rsid w:val="00A61FF1"/>
    <w:rsid w:val="00A6330C"/>
    <w:rsid w:val="00A65F0A"/>
    <w:rsid w:val="00A6623C"/>
    <w:rsid w:val="00A663FB"/>
    <w:rsid w:val="00A6645A"/>
    <w:rsid w:val="00A66F6C"/>
    <w:rsid w:val="00A6762B"/>
    <w:rsid w:val="00A71FC1"/>
    <w:rsid w:val="00A7294C"/>
    <w:rsid w:val="00A7445C"/>
    <w:rsid w:val="00A80C29"/>
    <w:rsid w:val="00A81133"/>
    <w:rsid w:val="00A8162F"/>
    <w:rsid w:val="00A826CC"/>
    <w:rsid w:val="00A849AE"/>
    <w:rsid w:val="00A84A46"/>
    <w:rsid w:val="00A91685"/>
    <w:rsid w:val="00A9212C"/>
    <w:rsid w:val="00A940B9"/>
    <w:rsid w:val="00A945DE"/>
    <w:rsid w:val="00A96815"/>
    <w:rsid w:val="00A977B5"/>
    <w:rsid w:val="00AA05F6"/>
    <w:rsid w:val="00AA06CA"/>
    <w:rsid w:val="00AA0F4A"/>
    <w:rsid w:val="00AA2E31"/>
    <w:rsid w:val="00AA529D"/>
    <w:rsid w:val="00AA62C4"/>
    <w:rsid w:val="00AB17AE"/>
    <w:rsid w:val="00AB206D"/>
    <w:rsid w:val="00AB2285"/>
    <w:rsid w:val="00AB39D7"/>
    <w:rsid w:val="00AB48D5"/>
    <w:rsid w:val="00AB5345"/>
    <w:rsid w:val="00AB551F"/>
    <w:rsid w:val="00AB6F83"/>
    <w:rsid w:val="00AB7752"/>
    <w:rsid w:val="00AC13C6"/>
    <w:rsid w:val="00AC2675"/>
    <w:rsid w:val="00AC5D7C"/>
    <w:rsid w:val="00AC6E22"/>
    <w:rsid w:val="00AD0262"/>
    <w:rsid w:val="00AD2313"/>
    <w:rsid w:val="00AD43D7"/>
    <w:rsid w:val="00AD4AFE"/>
    <w:rsid w:val="00AD4F8E"/>
    <w:rsid w:val="00AD560B"/>
    <w:rsid w:val="00AE2689"/>
    <w:rsid w:val="00AE2806"/>
    <w:rsid w:val="00AE2BC6"/>
    <w:rsid w:val="00AE34A7"/>
    <w:rsid w:val="00AE3750"/>
    <w:rsid w:val="00AE39DE"/>
    <w:rsid w:val="00AE5BE4"/>
    <w:rsid w:val="00AE6045"/>
    <w:rsid w:val="00AF14C3"/>
    <w:rsid w:val="00AF2EC0"/>
    <w:rsid w:val="00AF52F3"/>
    <w:rsid w:val="00AF5A1D"/>
    <w:rsid w:val="00AF5B84"/>
    <w:rsid w:val="00AF6B44"/>
    <w:rsid w:val="00AF77C5"/>
    <w:rsid w:val="00AF7AEF"/>
    <w:rsid w:val="00B00542"/>
    <w:rsid w:val="00B032BE"/>
    <w:rsid w:val="00B04B6D"/>
    <w:rsid w:val="00B07F93"/>
    <w:rsid w:val="00B10971"/>
    <w:rsid w:val="00B15176"/>
    <w:rsid w:val="00B17419"/>
    <w:rsid w:val="00B17E8B"/>
    <w:rsid w:val="00B212AD"/>
    <w:rsid w:val="00B2263F"/>
    <w:rsid w:val="00B249E4"/>
    <w:rsid w:val="00B25610"/>
    <w:rsid w:val="00B26A1F"/>
    <w:rsid w:val="00B32A72"/>
    <w:rsid w:val="00B33BA0"/>
    <w:rsid w:val="00B34736"/>
    <w:rsid w:val="00B35CB9"/>
    <w:rsid w:val="00B40059"/>
    <w:rsid w:val="00B43FD3"/>
    <w:rsid w:val="00B44C81"/>
    <w:rsid w:val="00B502B5"/>
    <w:rsid w:val="00B63280"/>
    <w:rsid w:val="00B63E4B"/>
    <w:rsid w:val="00B648E5"/>
    <w:rsid w:val="00B648EE"/>
    <w:rsid w:val="00B649D3"/>
    <w:rsid w:val="00B65609"/>
    <w:rsid w:val="00B676E8"/>
    <w:rsid w:val="00B7100D"/>
    <w:rsid w:val="00B717DE"/>
    <w:rsid w:val="00B7485F"/>
    <w:rsid w:val="00B813D5"/>
    <w:rsid w:val="00B84B0F"/>
    <w:rsid w:val="00B856D2"/>
    <w:rsid w:val="00B85848"/>
    <w:rsid w:val="00B858FC"/>
    <w:rsid w:val="00B87BA9"/>
    <w:rsid w:val="00B87C5B"/>
    <w:rsid w:val="00B92CA8"/>
    <w:rsid w:val="00B9524A"/>
    <w:rsid w:val="00B97036"/>
    <w:rsid w:val="00B97255"/>
    <w:rsid w:val="00B97523"/>
    <w:rsid w:val="00B977BD"/>
    <w:rsid w:val="00BA239A"/>
    <w:rsid w:val="00BA73D7"/>
    <w:rsid w:val="00BB0F97"/>
    <w:rsid w:val="00BB6DC4"/>
    <w:rsid w:val="00BB7CDC"/>
    <w:rsid w:val="00BC39ED"/>
    <w:rsid w:val="00BC5E5A"/>
    <w:rsid w:val="00BC71E5"/>
    <w:rsid w:val="00BD3005"/>
    <w:rsid w:val="00BD4C1D"/>
    <w:rsid w:val="00BD646A"/>
    <w:rsid w:val="00BE0007"/>
    <w:rsid w:val="00BE037C"/>
    <w:rsid w:val="00BE19A7"/>
    <w:rsid w:val="00BE3306"/>
    <w:rsid w:val="00BE6232"/>
    <w:rsid w:val="00BF1837"/>
    <w:rsid w:val="00BF28CD"/>
    <w:rsid w:val="00BF3345"/>
    <w:rsid w:val="00BF5CCF"/>
    <w:rsid w:val="00C047E5"/>
    <w:rsid w:val="00C05229"/>
    <w:rsid w:val="00C06EE8"/>
    <w:rsid w:val="00C1349E"/>
    <w:rsid w:val="00C15601"/>
    <w:rsid w:val="00C16E22"/>
    <w:rsid w:val="00C17B89"/>
    <w:rsid w:val="00C21EBF"/>
    <w:rsid w:val="00C25366"/>
    <w:rsid w:val="00C257A9"/>
    <w:rsid w:val="00C25822"/>
    <w:rsid w:val="00C25F67"/>
    <w:rsid w:val="00C25FA8"/>
    <w:rsid w:val="00C26AE9"/>
    <w:rsid w:val="00C32B9D"/>
    <w:rsid w:val="00C32F1C"/>
    <w:rsid w:val="00C334AE"/>
    <w:rsid w:val="00C34C6F"/>
    <w:rsid w:val="00C36FBF"/>
    <w:rsid w:val="00C37F35"/>
    <w:rsid w:val="00C41857"/>
    <w:rsid w:val="00C422D8"/>
    <w:rsid w:val="00C4247F"/>
    <w:rsid w:val="00C42903"/>
    <w:rsid w:val="00C46BD4"/>
    <w:rsid w:val="00C476FD"/>
    <w:rsid w:val="00C47BBA"/>
    <w:rsid w:val="00C51490"/>
    <w:rsid w:val="00C52DC0"/>
    <w:rsid w:val="00C53BED"/>
    <w:rsid w:val="00C5417C"/>
    <w:rsid w:val="00C54F84"/>
    <w:rsid w:val="00C5532F"/>
    <w:rsid w:val="00C55990"/>
    <w:rsid w:val="00C566B7"/>
    <w:rsid w:val="00C57135"/>
    <w:rsid w:val="00C5794D"/>
    <w:rsid w:val="00C6084D"/>
    <w:rsid w:val="00C61583"/>
    <w:rsid w:val="00C62E1F"/>
    <w:rsid w:val="00C63729"/>
    <w:rsid w:val="00C6390E"/>
    <w:rsid w:val="00C6633B"/>
    <w:rsid w:val="00C70BAA"/>
    <w:rsid w:val="00C7110A"/>
    <w:rsid w:val="00C71FB5"/>
    <w:rsid w:val="00C73D67"/>
    <w:rsid w:val="00C77A6C"/>
    <w:rsid w:val="00C77F40"/>
    <w:rsid w:val="00C83193"/>
    <w:rsid w:val="00C835CB"/>
    <w:rsid w:val="00C85EBC"/>
    <w:rsid w:val="00C92E2B"/>
    <w:rsid w:val="00C939EA"/>
    <w:rsid w:val="00C93CF0"/>
    <w:rsid w:val="00C958CC"/>
    <w:rsid w:val="00C96C27"/>
    <w:rsid w:val="00C977C8"/>
    <w:rsid w:val="00CA3580"/>
    <w:rsid w:val="00CA4E87"/>
    <w:rsid w:val="00CA4E8C"/>
    <w:rsid w:val="00CA58B7"/>
    <w:rsid w:val="00CA6FC5"/>
    <w:rsid w:val="00CA7BC9"/>
    <w:rsid w:val="00CB087C"/>
    <w:rsid w:val="00CB2223"/>
    <w:rsid w:val="00CB3B16"/>
    <w:rsid w:val="00CB3E2B"/>
    <w:rsid w:val="00CB4E41"/>
    <w:rsid w:val="00CB7013"/>
    <w:rsid w:val="00CB7D1C"/>
    <w:rsid w:val="00CC06A8"/>
    <w:rsid w:val="00CC1933"/>
    <w:rsid w:val="00CC22DE"/>
    <w:rsid w:val="00CC2755"/>
    <w:rsid w:val="00CC4161"/>
    <w:rsid w:val="00CC6FE4"/>
    <w:rsid w:val="00CD1106"/>
    <w:rsid w:val="00CD40EF"/>
    <w:rsid w:val="00CD5A60"/>
    <w:rsid w:val="00CD73B3"/>
    <w:rsid w:val="00CD7BCF"/>
    <w:rsid w:val="00CE03E8"/>
    <w:rsid w:val="00CE0839"/>
    <w:rsid w:val="00CE11A2"/>
    <w:rsid w:val="00CE1E0A"/>
    <w:rsid w:val="00CE2B2E"/>
    <w:rsid w:val="00CE56D0"/>
    <w:rsid w:val="00CE58E3"/>
    <w:rsid w:val="00CE6FAC"/>
    <w:rsid w:val="00CE70F2"/>
    <w:rsid w:val="00CF1A47"/>
    <w:rsid w:val="00CF2A92"/>
    <w:rsid w:val="00CF2F14"/>
    <w:rsid w:val="00CF4AED"/>
    <w:rsid w:val="00CF6749"/>
    <w:rsid w:val="00CF6D5E"/>
    <w:rsid w:val="00CF6FDA"/>
    <w:rsid w:val="00CF7754"/>
    <w:rsid w:val="00D02EA4"/>
    <w:rsid w:val="00D02EE3"/>
    <w:rsid w:val="00D061B3"/>
    <w:rsid w:val="00D06515"/>
    <w:rsid w:val="00D10091"/>
    <w:rsid w:val="00D10193"/>
    <w:rsid w:val="00D10FE3"/>
    <w:rsid w:val="00D115B5"/>
    <w:rsid w:val="00D12845"/>
    <w:rsid w:val="00D12CCE"/>
    <w:rsid w:val="00D13999"/>
    <w:rsid w:val="00D26F32"/>
    <w:rsid w:val="00D30BB2"/>
    <w:rsid w:val="00D351DE"/>
    <w:rsid w:val="00D36A18"/>
    <w:rsid w:val="00D36A51"/>
    <w:rsid w:val="00D415B5"/>
    <w:rsid w:val="00D42735"/>
    <w:rsid w:val="00D4381E"/>
    <w:rsid w:val="00D479A0"/>
    <w:rsid w:val="00D50C2E"/>
    <w:rsid w:val="00D51A33"/>
    <w:rsid w:val="00D51BDA"/>
    <w:rsid w:val="00D525CC"/>
    <w:rsid w:val="00D5283B"/>
    <w:rsid w:val="00D52D4F"/>
    <w:rsid w:val="00D53EFA"/>
    <w:rsid w:val="00D540AC"/>
    <w:rsid w:val="00D55F64"/>
    <w:rsid w:val="00D56B1B"/>
    <w:rsid w:val="00D5712D"/>
    <w:rsid w:val="00D60A76"/>
    <w:rsid w:val="00D63333"/>
    <w:rsid w:val="00D6405C"/>
    <w:rsid w:val="00D66901"/>
    <w:rsid w:val="00D70622"/>
    <w:rsid w:val="00D7109F"/>
    <w:rsid w:val="00D7412C"/>
    <w:rsid w:val="00D7429E"/>
    <w:rsid w:val="00D7623D"/>
    <w:rsid w:val="00D776E1"/>
    <w:rsid w:val="00D82BB6"/>
    <w:rsid w:val="00D84B8F"/>
    <w:rsid w:val="00D85CAD"/>
    <w:rsid w:val="00D871F8"/>
    <w:rsid w:val="00D87E01"/>
    <w:rsid w:val="00D87FA8"/>
    <w:rsid w:val="00D9045C"/>
    <w:rsid w:val="00D917EC"/>
    <w:rsid w:val="00D91E6A"/>
    <w:rsid w:val="00D924DE"/>
    <w:rsid w:val="00D94CE2"/>
    <w:rsid w:val="00D950BE"/>
    <w:rsid w:val="00D9675F"/>
    <w:rsid w:val="00D97E20"/>
    <w:rsid w:val="00DA0592"/>
    <w:rsid w:val="00DA11A9"/>
    <w:rsid w:val="00DA3712"/>
    <w:rsid w:val="00DA3825"/>
    <w:rsid w:val="00DA4A9A"/>
    <w:rsid w:val="00DA4C4C"/>
    <w:rsid w:val="00DB2173"/>
    <w:rsid w:val="00DB2953"/>
    <w:rsid w:val="00DB4CFA"/>
    <w:rsid w:val="00DB5166"/>
    <w:rsid w:val="00DB6FD5"/>
    <w:rsid w:val="00DB7BD4"/>
    <w:rsid w:val="00DC11D8"/>
    <w:rsid w:val="00DC227D"/>
    <w:rsid w:val="00DC28E7"/>
    <w:rsid w:val="00DC3293"/>
    <w:rsid w:val="00DC4610"/>
    <w:rsid w:val="00DC599D"/>
    <w:rsid w:val="00DD15FE"/>
    <w:rsid w:val="00DD187D"/>
    <w:rsid w:val="00DD28F8"/>
    <w:rsid w:val="00DD4426"/>
    <w:rsid w:val="00DE1BB8"/>
    <w:rsid w:val="00DE3EB7"/>
    <w:rsid w:val="00DE54C5"/>
    <w:rsid w:val="00DE68A0"/>
    <w:rsid w:val="00DE6D0E"/>
    <w:rsid w:val="00DF0460"/>
    <w:rsid w:val="00DF0E9D"/>
    <w:rsid w:val="00DF28D5"/>
    <w:rsid w:val="00DF2911"/>
    <w:rsid w:val="00DF5D45"/>
    <w:rsid w:val="00DF5FFB"/>
    <w:rsid w:val="00E0027D"/>
    <w:rsid w:val="00E00843"/>
    <w:rsid w:val="00E01A22"/>
    <w:rsid w:val="00E02DAB"/>
    <w:rsid w:val="00E03413"/>
    <w:rsid w:val="00E04A5D"/>
    <w:rsid w:val="00E069C1"/>
    <w:rsid w:val="00E0714A"/>
    <w:rsid w:val="00E11678"/>
    <w:rsid w:val="00E11A54"/>
    <w:rsid w:val="00E11C3B"/>
    <w:rsid w:val="00E128CA"/>
    <w:rsid w:val="00E13C9F"/>
    <w:rsid w:val="00E14FD4"/>
    <w:rsid w:val="00E1564A"/>
    <w:rsid w:val="00E15D75"/>
    <w:rsid w:val="00E20B02"/>
    <w:rsid w:val="00E221C8"/>
    <w:rsid w:val="00E224A3"/>
    <w:rsid w:val="00E22558"/>
    <w:rsid w:val="00E226EA"/>
    <w:rsid w:val="00E233B4"/>
    <w:rsid w:val="00E25CC5"/>
    <w:rsid w:val="00E26470"/>
    <w:rsid w:val="00E2705A"/>
    <w:rsid w:val="00E322E2"/>
    <w:rsid w:val="00E33BEA"/>
    <w:rsid w:val="00E36142"/>
    <w:rsid w:val="00E379E3"/>
    <w:rsid w:val="00E41B1B"/>
    <w:rsid w:val="00E43F36"/>
    <w:rsid w:val="00E4427F"/>
    <w:rsid w:val="00E4520C"/>
    <w:rsid w:val="00E46D58"/>
    <w:rsid w:val="00E47812"/>
    <w:rsid w:val="00E52620"/>
    <w:rsid w:val="00E5316B"/>
    <w:rsid w:val="00E533E6"/>
    <w:rsid w:val="00E575D0"/>
    <w:rsid w:val="00E60446"/>
    <w:rsid w:val="00E60457"/>
    <w:rsid w:val="00E609BF"/>
    <w:rsid w:val="00E6125F"/>
    <w:rsid w:val="00E622B7"/>
    <w:rsid w:val="00E62C2F"/>
    <w:rsid w:val="00E638AD"/>
    <w:rsid w:val="00E642D2"/>
    <w:rsid w:val="00E643A6"/>
    <w:rsid w:val="00E64FA6"/>
    <w:rsid w:val="00E66B4E"/>
    <w:rsid w:val="00E67372"/>
    <w:rsid w:val="00E6751D"/>
    <w:rsid w:val="00E70056"/>
    <w:rsid w:val="00E705B9"/>
    <w:rsid w:val="00E71651"/>
    <w:rsid w:val="00E720E7"/>
    <w:rsid w:val="00E72658"/>
    <w:rsid w:val="00E73D5B"/>
    <w:rsid w:val="00E74DD8"/>
    <w:rsid w:val="00E74FBA"/>
    <w:rsid w:val="00E80024"/>
    <w:rsid w:val="00E84977"/>
    <w:rsid w:val="00E859A7"/>
    <w:rsid w:val="00E86751"/>
    <w:rsid w:val="00E87023"/>
    <w:rsid w:val="00E8720F"/>
    <w:rsid w:val="00E92285"/>
    <w:rsid w:val="00E9299D"/>
    <w:rsid w:val="00E94A59"/>
    <w:rsid w:val="00E9770A"/>
    <w:rsid w:val="00E97B52"/>
    <w:rsid w:val="00EA0CD1"/>
    <w:rsid w:val="00EA10ED"/>
    <w:rsid w:val="00EA2E71"/>
    <w:rsid w:val="00EA6661"/>
    <w:rsid w:val="00EB162F"/>
    <w:rsid w:val="00EB2FE9"/>
    <w:rsid w:val="00EB370E"/>
    <w:rsid w:val="00EB3A4F"/>
    <w:rsid w:val="00EB3BFE"/>
    <w:rsid w:val="00EB42A3"/>
    <w:rsid w:val="00EB4B7C"/>
    <w:rsid w:val="00EB5ABD"/>
    <w:rsid w:val="00EB6C0A"/>
    <w:rsid w:val="00EB776A"/>
    <w:rsid w:val="00EC49B7"/>
    <w:rsid w:val="00ED06D4"/>
    <w:rsid w:val="00ED11D5"/>
    <w:rsid w:val="00ED1206"/>
    <w:rsid w:val="00ED1E76"/>
    <w:rsid w:val="00ED206D"/>
    <w:rsid w:val="00ED3241"/>
    <w:rsid w:val="00ED4CE5"/>
    <w:rsid w:val="00ED4E8C"/>
    <w:rsid w:val="00EE1CBA"/>
    <w:rsid w:val="00EE34BA"/>
    <w:rsid w:val="00EE3F00"/>
    <w:rsid w:val="00EE4D5E"/>
    <w:rsid w:val="00EE529A"/>
    <w:rsid w:val="00EE63EB"/>
    <w:rsid w:val="00EE6CB6"/>
    <w:rsid w:val="00EF1525"/>
    <w:rsid w:val="00EF1F11"/>
    <w:rsid w:val="00EF1F71"/>
    <w:rsid w:val="00EF2225"/>
    <w:rsid w:val="00EF35E7"/>
    <w:rsid w:val="00EF3C6C"/>
    <w:rsid w:val="00EF4D6C"/>
    <w:rsid w:val="00EF532A"/>
    <w:rsid w:val="00EF5FDB"/>
    <w:rsid w:val="00F02E49"/>
    <w:rsid w:val="00F03FA1"/>
    <w:rsid w:val="00F04ED2"/>
    <w:rsid w:val="00F12351"/>
    <w:rsid w:val="00F12C6F"/>
    <w:rsid w:val="00F208B5"/>
    <w:rsid w:val="00F20CF6"/>
    <w:rsid w:val="00F22415"/>
    <w:rsid w:val="00F24504"/>
    <w:rsid w:val="00F31EC9"/>
    <w:rsid w:val="00F32175"/>
    <w:rsid w:val="00F3225E"/>
    <w:rsid w:val="00F363BE"/>
    <w:rsid w:val="00F36E02"/>
    <w:rsid w:val="00F37E90"/>
    <w:rsid w:val="00F43349"/>
    <w:rsid w:val="00F437FF"/>
    <w:rsid w:val="00F4758D"/>
    <w:rsid w:val="00F53950"/>
    <w:rsid w:val="00F541BA"/>
    <w:rsid w:val="00F5535D"/>
    <w:rsid w:val="00F56277"/>
    <w:rsid w:val="00F6336F"/>
    <w:rsid w:val="00F63A10"/>
    <w:rsid w:val="00F6406F"/>
    <w:rsid w:val="00F64202"/>
    <w:rsid w:val="00F65A45"/>
    <w:rsid w:val="00F67946"/>
    <w:rsid w:val="00F70FA7"/>
    <w:rsid w:val="00F713FF"/>
    <w:rsid w:val="00F71714"/>
    <w:rsid w:val="00F7403E"/>
    <w:rsid w:val="00F755A6"/>
    <w:rsid w:val="00F77FC4"/>
    <w:rsid w:val="00F80D00"/>
    <w:rsid w:val="00F82408"/>
    <w:rsid w:val="00F82EB1"/>
    <w:rsid w:val="00F83B79"/>
    <w:rsid w:val="00F85E4A"/>
    <w:rsid w:val="00F87729"/>
    <w:rsid w:val="00F91773"/>
    <w:rsid w:val="00F91F1A"/>
    <w:rsid w:val="00F9372E"/>
    <w:rsid w:val="00F93B62"/>
    <w:rsid w:val="00F94D37"/>
    <w:rsid w:val="00F957E6"/>
    <w:rsid w:val="00FA0639"/>
    <w:rsid w:val="00FA0986"/>
    <w:rsid w:val="00FA3660"/>
    <w:rsid w:val="00FA6B0B"/>
    <w:rsid w:val="00FA7249"/>
    <w:rsid w:val="00FA72A6"/>
    <w:rsid w:val="00FB0CED"/>
    <w:rsid w:val="00FB0EBF"/>
    <w:rsid w:val="00FB3285"/>
    <w:rsid w:val="00FB3D65"/>
    <w:rsid w:val="00FB6422"/>
    <w:rsid w:val="00FB6F69"/>
    <w:rsid w:val="00FC01F0"/>
    <w:rsid w:val="00FC0938"/>
    <w:rsid w:val="00FC0CA5"/>
    <w:rsid w:val="00FC138A"/>
    <w:rsid w:val="00FC3993"/>
    <w:rsid w:val="00FC73A3"/>
    <w:rsid w:val="00FD082F"/>
    <w:rsid w:val="00FD3DA2"/>
    <w:rsid w:val="00FD72C8"/>
    <w:rsid w:val="00FD7A15"/>
    <w:rsid w:val="00FE2B0E"/>
    <w:rsid w:val="00FE38DD"/>
    <w:rsid w:val="00FE6F79"/>
    <w:rsid w:val="00FE7970"/>
    <w:rsid w:val="00FF4CAF"/>
    <w:rsid w:val="00FF51A8"/>
    <w:rsid w:val="00FF7F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4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558"/>
    <w:pPr>
      <w:spacing w:before="120" w:after="120" w:line="276" w:lineRule="auto"/>
      <w:jc w:val="both"/>
    </w:pPr>
    <w:rPr>
      <w:rFonts w:ascii="ITC Avant Garde" w:eastAsia="Calibri" w:hAnsi="ITC Avant Garde" w:cs="Times New Roman"/>
      <w:lang w:val="es-ES_tradnl" w:eastAsia="es-MX"/>
    </w:rPr>
  </w:style>
  <w:style w:type="paragraph" w:styleId="Ttulo1">
    <w:name w:val="heading 1"/>
    <w:basedOn w:val="Normal"/>
    <w:next w:val="Normal"/>
    <w:link w:val="Ttulo1Car"/>
    <w:qFormat/>
    <w:rsid w:val="006161FB"/>
    <w:pPr>
      <w:keepNext/>
      <w:numPr>
        <w:numId w:val="3"/>
      </w:numPr>
      <w:spacing w:before="360"/>
      <w:jc w:val="center"/>
      <w:outlineLvl w:val="0"/>
    </w:pPr>
    <w:rPr>
      <w:rFonts w:eastAsia="Times New Roman"/>
      <w:b/>
      <w:bCs/>
      <w:lang w:eastAsia="es-ES"/>
    </w:rPr>
  </w:style>
  <w:style w:type="paragraph" w:styleId="Ttulo2">
    <w:name w:val="heading 2"/>
    <w:basedOn w:val="Normal"/>
    <w:next w:val="Normal"/>
    <w:link w:val="Ttulo2Car"/>
    <w:uiPriority w:val="9"/>
    <w:unhideWhenUsed/>
    <w:qFormat/>
    <w:rsid w:val="006161FB"/>
    <w:pPr>
      <w:keepNext/>
      <w:spacing w:before="360"/>
      <w:outlineLvl w:val="1"/>
    </w:pPr>
    <w:rPr>
      <w:b/>
    </w:rPr>
  </w:style>
  <w:style w:type="paragraph" w:styleId="Ttulo3">
    <w:name w:val="heading 3"/>
    <w:basedOn w:val="Normal"/>
    <w:next w:val="Normal"/>
    <w:link w:val="Ttulo3Car"/>
    <w:uiPriority w:val="9"/>
    <w:unhideWhenUsed/>
    <w:qFormat/>
    <w:rsid w:val="006161FB"/>
    <w:pPr>
      <w:keepNext/>
      <w:keepLines/>
      <w:spacing w:before="360"/>
      <w:ind w:left="284" w:hanging="284"/>
      <w:outlineLvl w:val="2"/>
    </w:pPr>
    <w:rPr>
      <w:b/>
    </w:rPr>
  </w:style>
  <w:style w:type="paragraph" w:styleId="Ttulo4">
    <w:name w:val="heading 4"/>
    <w:basedOn w:val="Normal"/>
    <w:next w:val="Normal"/>
    <w:link w:val="Ttulo4Car"/>
    <w:uiPriority w:val="9"/>
    <w:unhideWhenUsed/>
    <w:qFormat/>
    <w:rsid w:val="006161FB"/>
    <w:pPr>
      <w:jc w:val="center"/>
      <w:outlineLvl w:val="3"/>
    </w:pPr>
    <w:rPr>
      <w:b/>
    </w:rPr>
  </w:style>
  <w:style w:type="paragraph" w:styleId="Ttulo5">
    <w:name w:val="heading 5"/>
    <w:basedOn w:val="Normal"/>
    <w:next w:val="Normal"/>
    <w:link w:val="Ttulo5Car"/>
    <w:uiPriority w:val="9"/>
    <w:unhideWhenUsed/>
    <w:qFormat/>
    <w:rsid w:val="006854D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FT">
    <w:name w:val="IFT"/>
    <w:basedOn w:val="Normal"/>
    <w:autoRedefine/>
    <w:qFormat/>
    <w:rsid w:val="00467A97"/>
    <w:pPr>
      <w:jc w:val="center"/>
    </w:pPr>
    <w:rPr>
      <w:rFonts w:eastAsia="Times New Roman"/>
      <w:b/>
      <w:bCs/>
      <w:color w:val="000000"/>
    </w:rPr>
  </w:style>
  <w:style w:type="character" w:customStyle="1" w:styleId="Ttulo1Car">
    <w:name w:val="Título 1 Car"/>
    <w:basedOn w:val="Fuentedeprrafopredeter"/>
    <w:link w:val="Ttulo1"/>
    <w:rsid w:val="006161FB"/>
    <w:rPr>
      <w:rFonts w:ascii="ITC Avant Garde" w:eastAsia="Times New Roman" w:hAnsi="ITC Avant Garde" w:cs="Times New Roman"/>
      <w:b/>
      <w:bCs/>
      <w:lang w:val="es-ES_tradnl" w:eastAsia="es-ES"/>
    </w:rPr>
  </w:style>
  <w:style w:type="character" w:customStyle="1" w:styleId="Ttulo2Car">
    <w:name w:val="Título 2 Car"/>
    <w:basedOn w:val="Fuentedeprrafopredeter"/>
    <w:link w:val="Ttulo2"/>
    <w:uiPriority w:val="9"/>
    <w:rsid w:val="006161FB"/>
    <w:rPr>
      <w:rFonts w:ascii="ITC Avant Garde" w:eastAsia="Calibri" w:hAnsi="ITC Avant Garde" w:cs="Times New Roman"/>
      <w:b/>
      <w:lang w:val="es-ES_tradnl" w:eastAsia="es-MX"/>
    </w:rPr>
  </w:style>
  <w:style w:type="character" w:customStyle="1" w:styleId="Ttulo3Car">
    <w:name w:val="Título 3 Car"/>
    <w:basedOn w:val="Fuentedeprrafopredeter"/>
    <w:link w:val="Ttulo3"/>
    <w:uiPriority w:val="9"/>
    <w:rsid w:val="006161FB"/>
    <w:rPr>
      <w:rFonts w:ascii="ITC Avant Garde" w:eastAsia="Calibri" w:hAnsi="ITC Avant Garde" w:cs="Times New Roman"/>
      <w:b/>
      <w:lang w:val="es-ES_tradnl" w:eastAsia="es-MX"/>
    </w:rPr>
  </w:style>
  <w:style w:type="character" w:customStyle="1" w:styleId="Ttulo4Car">
    <w:name w:val="Título 4 Car"/>
    <w:basedOn w:val="Fuentedeprrafopredeter"/>
    <w:link w:val="Ttulo4"/>
    <w:uiPriority w:val="9"/>
    <w:rsid w:val="006161FB"/>
    <w:rPr>
      <w:rFonts w:ascii="ITC Avant Garde" w:eastAsia="Calibri" w:hAnsi="ITC Avant Garde" w:cs="Times New Roman"/>
      <w:b/>
      <w:lang w:val="es-ES_tradnl" w:eastAsia="es-MX"/>
    </w:rPr>
  </w:style>
  <w:style w:type="paragraph" w:styleId="Encabezado">
    <w:name w:val="header"/>
    <w:aliases w:val="Encabezado1,.üG·"/>
    <w:basedOn w:val="Normal"/>
    <w:link w:val="EncabezadoCar"/>
    <w:uiPriority w:val="99"/>
    <w:unhideWhenUsed/>
    <w:rsid w:val="006161FB"/>
    <w:pPr>
      <w:tabs>
        <w:tab w:val="center" w:pos="4419"/>
        <w:tab w:val="right" w:pos="8838"/>
      </w:tabs>
      <w:spacing w:after="0" w:line="240" w:lineRule="auto"/>
    </w:pPr>
  </w:style>
  <w:style w:type="character" w:customStyle="1" w:styleId="EncabezadoCar">
    <w:name w:val="Encabezado Car"/>
    <w:aliases w:val="Encabezado1 Car,.üG· Car"/>
    <w:basedOn w:val="Fuentedeprrafopredeter"/>
    <w:link w:val="Encabezado"/>
    <w:uiPriority w:val="99"/>
    <w:rsid w:val="006161FB"/>
    <w:rPr>
      <w:rFonts w:ascii="ITC Avant Garde" w:eastAsia="Calibri" w:hAnsi="ITC Avant Garde" w:cs="Times New Roman"/>
      <w:lang w:val="es-ES_tradnl" w:eastAsia="es-MX"/>
    </w:rPr>
  </w:style>
  <w:style w:type="paragraph" w:styleId="Piedepgina">
    <w:name w:val="footer"/>
    <w:basedOn w:val="Normal"/>
    <w:link w:val="PiedepginaCar"/>
    <w:uiPriority w:val="99"/>
    <w:unhideWhenUsed/>
    <w:rsid w:val="006161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1FB"/>
    <w:rPr>
      <w:rFonts w:ascii="ITC Avant Garde" w:eastAsia="Calibri" w:hAnsi="ITC Avant Garde" w:cs="Times New Roman"/>
      <w:lang w:val="es-ES_tradnl" w:eastAsia="es-MX"/>
    </w:rPr>
  </w:style>
  <w:style w:type="paragraph" w:customStyle="1" w:styleId="estilo30">
    <w:name w:val="estilo30"/>
    <w:basedOn w:val="Normal"/>
    <w:rsid w:val="006161FB"/>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6161FB"/>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6161FB"/>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Hipervnculo">
    <w:name w:val="Hyperlink"/>
    <w:uiPriority w:val="99"/>
    <w:unhideWhenUsed/>
    <w:rsid w:val="006161FB"/>
    <w:rPr>
      <w:color w:val="0563C1"/>
      <w:u w:val="single"/>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6161FB"/>
    <w:pPr>
      <w:spacing w:after="0" w:line="240" w:lineRule="auto"/>
    </w:pPr>
    <w:rPr>
      <w:rFonts w:ascii="Times New Roman" w:hAnsi="Times New Roman"/>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6161FB"/>
    <w:rPr>
      <w:rFonts w:ascii="Times New Roman" w:eastAsia="Calibri" w:hAnsi="Times New Roman" w:cs="Times New Roman"/>
      <w:sz w:val="20"/>
      <w:szCs w:val="20"/>
      <w:lang w:val="es-ES_tradnl" w:eastAsia="es-MX"/>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f"/>
    <w:uiPriority w:val="99"/>
    <w:unhideWhenUsed/>
    <w:qFormat/>
    <w:rsid w:val="006161FB"/>
    <w:rPr>
      <w:vertAlign w:val="superscript"/>
    </w:rPr>
  </w:style>
  <w:style w:type="character" w:customStyle="1" w:styleId="Cuerpodeltexto">
    <w:name w:val="Cuerpo del texto_"/>
    <w:link w:val="Cuerpodeltexto0"/>
    <w:rsid w:val="006161FB"/>
    <w:rPr>
      <w:rFonts w:ascii="Times New Roman" w:eastAsia="Times New Roman" w:hAnsi="Times New Roman"/>
      <w:sz w:val="23"/>
      <w:szCs w:val="23"/>
      <w:shd w:val="clear" w:color="auto" w:fill="FFFFFF"/>
    </w:rPr>
  </w:style>
  <w:style w:type="paragraph" w:customStyle="1" w:styleId="Cuerpodeltexto0">
    <w:name w:val="Cuerpo del texto"/>
    <w:basedOn w:val="Normal"/>
    <w:link w:val="Cuerpodeltexto"/>
    <w:rsid w:val="006161FB"/>
    <w:pPr>
      <w:shd w:val="clear" w:color="auto" w:fill="FFFFFF"/>
      <w:spacing w:before="240" w:after="600" w:line="0" w:lineRule="atLeast"/>
      <w:ind w:hanging="260"/>
      <w:jc w:val="right"/>
    </w:pPr>
    <w:rPr>
      <w:rFonts w:ascii="Times New Roman" w:eastAsia="Times New Roman" w:hAnsi="Times New Roman" w:cstheme="minorBidi"/>
      <w:sz w:val="23"/>
      <w:szCs w:val="23"/>
      <w:lang w:val="es-MX" w:eastAsia="en-US"/>
    </w:rPr>
  </w:style>
  <w:style w:type="paragraph" w:styleId="Textodeglobo">
    <w:name w:val="Balloon Text"/>
    <w:basedOn w:val="Normal"/>
    <w:link w:val="TextodegloboCar"/>
    <w:uiPriority w:val="99"/>
    <w:semiHidden/>
    <w:unhideWhenUsed/>
    <w:rsid w:val="006161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61FB"/>
    <w:rPr>
      <w:rFonts w:ascii="Segoe UI" w:eastAsia="Calibri" w:hAnsi="Segoe UI" w:cs="Segoe UI"/>
      <w:sz w:val="18"/>
      <w:szCs w:val="18"/>
      <w:lang w:val="es-ES_tradnl" w:eastAsia="es-MX"/>
    </w:rPr>
  </w:style>
  <w:style w:type="paragraph" w:styleId="Prrafodelista">
    <w:name w:val="List Paragraph"/>
    <w:aliases w:val="4 Viñ 1nivel,Numeración 1,Cuadrícula media 1 - Énfasis 21,Bullet List,FooterText,numbered,List Paragraph1,Paragraphe de liste1,Bulletr List Paragraph,列出段落,列出段落1"/>
    <w:basedOn w:val="Normal"/>
    <w:link w:val="PrrafodelistaCar"/>
    <w:uiPriority w:val="34"/>
    <w:qFormat/>
    <w:rsid w:val="006161FB"/>
    <w:pPr>
      <w:spacing w:after="160" w:line="259" w:lineRule="auto"/>
      <w:ind w:left="720"/>
      <w:contextualSpacing/>
    </w:p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
    <w:link w:val="Prrafodelista"/>
    <w:uiPriority w:val="34"/>
    <w:rsid w:val="006161FB"/>
    <w:rPr>
      <w:rFonts w:ascii="ITC Avant Garde" w:eastAsia="Calibri" w:hAnsi="ITC Avant Garde" w:cs="Times New Roman"/>
      <w:lang w:val="es-ES_tradnl" w:eastAsia="es-MX"/>
    </w:rPr>
  </w:style>
  <w:style w:type="character" w:styleId="Refdecomentario">
    <w:name w:val="annotation reference"/>
    <w:basedOn w:val="Fuentedeprrafopredeter"/>
    <w:uiPriority w:val="99"/>
    <w:semiHidden/>
    <w:unhideWhenUsed/>
    <w:rsid w:val="006161FB"/>
    <w:rPr>
      <w:sz w:val="16"/>
      <w:szCs w:val="16"/>
    </w:rPr>
  </w:style>
  <w:style w:type="paragraph" w:styleId="Textocomentario">
    <w:name w:val="annotation text"/>
    <w:basedOn w:val="Normal"/>
    <w:link w:val="TextocomentarioCar"/>
    <w:uiPriority w:val="99"/>
    <w:unhideWhenUsed/>
    <w:rsid w:val="006161FB"/>
    <w:pPr>
      <w:spacing w:line="240" w:lineRule="auto"/>
    </w:pPr>
    <w:rPr>
      <w:sz w:val="20"/>
      <w:szCs w:val="20"/>
    </w:rPr>
  </w:style>
  <w:style w:type="character" w:customStyle="1" w:styleId="TextocomentarioCar">
    <w:name w:val="Texto comentario Car"/>
    <w:basedOn w:val="Fuentedeprrafopredeter"/>
    <w:link w:val="Textocomentario"/>
    <w:uiPriority w:val="99"/>
    <w:rsid w:val="006161FB"/>
    <w:rPr>
      <w:rFonts w:ascii="ITC Avant Garde" w:eastAsia="Calibri" w:hAnsi="ITC Avant Garde"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6161FB"/>
    <w:rPr>
      <w:b/>
      <w:bCs/>
    </w:rPr>
  </w:style>
  <w:style w:type="character" w:customStyle="1" w:styleId="AsuntodelcomentarioCar">
    <w:name w:val="Asunto del comentario Car"/>
    <w:basedOn w:val="TextocomentarioCar"/>
    <w:link w:val="Asuntodelcomentario"/>
    <w:uiPriority w:val="99"/>
    <w:semiHidden/>
    <w:rsid w:val="006161FB"/>
    <w:rPr>
      <w:rFonts w:ascii="ITC Avant Garde" w:eastAsia="Calibri" w:hAnsi="ITC Avant Garde" w:cs="Times New Roman"/>
      <w:b/>
      <w:bCs/>
      <w:sz w:val="20"/>
      <w:szCs w:val="20"/>
      <w:lang w:val="es-ES_tradnl" w:eastAsia="es-MX"/>
    </w:rPr>
  </w:style>
  <w:style w:type="paragraph" w:styleId="Textoindependiente2">
    <w:name w:val="Body Text 2"/>
    <w:basedOn w:val="Normal"/>
    <w:link w:val="Textoindependiente2Car"/>
    <w:rsid w:val="006161FB"/>
    <w:pPr>
      <w:tabs>
        <w:tab w:val="left" w:pos="0"/>
        <w:tab w:val="left" w:pos="142"/>
      </w:tabs>
      <w:spacing w:after="0" w:line="240" w:lineRule="auto"/>
    </w:pPr>
    <w:rPr>
      <w:rFonts w:ascii="Times New Roman" w:eastAsia="Times New Roman" w:hAnsi="Times New Roman"/>
      <w:sz w:val="24"/>
      <w:szCs w:val="20"/>
      <w:lang w:eastAsia="es-ES"/>
    </w:rPr>
  </w:style>
  <w:style w:type="character" w:customStyle="1" w:styleId="Textoindependiente2Car">
    <w:name w:val="Texto independiente 2 Car"/>
    <w:basedOn w:val="Fuentedeprrafopredeter"/>
    <w:link w:val="Textoindependiente2"/>
    <w:rsid w:val="006161FB"/>
    <w:rPr>
      <w:rFonts w:ascii="Times New Roman" w:eastAsia="Times New Roman" w:hAnsi="Times New Roman" w:cs="Times New Roman"/>
      <w:sz w:val="24"/>
      <w:szCs w:val="20"/>
      <w:lang w:val="es-ES_tradnl" w:eastAsia="es-ES"/>
    </w:rPr>
  </w:style>
  <w:style w:type="paragraph" w:styleId="Sinespaciado">
    <w:name w:val="No Spacing"/>
    <w:uiPriority w:val="1"/>
    <w:qFormat/>
    <w:rsid w:val="006161FB"/>
    <w:pPr>
      <w:spacing w:after="0" w:line="240" w:lineRule="auto"/>
    </w:pPr>
    <w:rPr>
      <w:rFonts w:ascii="Calibri" w:eastAsia="Calibri" w:hAnsi="Calibri" w:cs="Times New Roman"/>
    </w:rPr>
  </w:style>
  <w:style w:type="paragraph" w:customStyle="1" w:styleId="Texto">
    <w:name w:val="Texto"/>
    <w:basedOn w:val="Normal"/>
    <w:link w:val="TextoCar"/>
    <w:rsid w:val="006161FB"/>
    <w:pPr>
      <w:spacing w:after="101" w:line="216" w:lineRule="exact"/>
      <w:ind w:firstLine="288"/>
    </w:pPr>
    <w:rPr>
      <w:rFonts w:ascii="Arial" w:eastAsia="Times New Roman" w:hAnsi="Arial"/>
      <w:sz w:val="18"/>
      <w:szCs w:val="20"/>
      <w:lang w:val="es-ES" w:eastAsia="es-ES"/>
    </w:rPr>
  </w:style>
  <w:style w:type="character" w:customStyle="1" w:styleId="TextoCar">
    <w:name w:val="Texto Car"/>
    <w:link w:val="Texto"/>
    <w:locked/>
    <w:rsid w:val="006161FB"/>
    <w:rPr>
      <w:rFonts w:ascii="Arial" w:eastAsia="Times New Roman" w:hAnsi="Arial" w:cs="Times New Roman"/>
      <w:sz w:val="18"/>
      <w:szCs w:val="20"/>
      <w:lang w:val="es-ES" w:eastAsia="es-ES"/>
    </w:rPr>
  </w:style>
  <w:style w:type="paragraph" w:styleId="Textoindependiente">
    <w:name w:val="Body Text"/>
    <w:basedOn w:val="Normal"/>
    <w:link w:val="TextoindependienteCar"/>
    <w:uiPriority w:val="99"/>
    <w:semiHidden/>
    <w:rsid w:val="006161FB"/>
    <w:pPr>
      <w:widowControl w:val="0"/>
      <w:overflowPunct w:val="0"/>
      <w:autoSpaceDE w:val="0"/>
      <w:autoSpaceDN w:val="0"/>
      <w:adjustRightInd w:val="0"/>
      <w:spacing w:after="0" w:line="240" w:lineRule="auto"/>
      <w:ind w:right="-658"/>
      <w:textAlignment w:val="baseline"/>
    </w:pPr>
    <w:rPr>
      <w:rFonts w:ascii="Times New Roman" w:eastAsia="Times New Roman" w:hAnsi="Times New Roman"/>
      <w:sz w:val="24"/>
      <w:szCs w:val="20"/>
      <w:lang w:eastAsia="es-ES"/>
    </w:rPr>
  </w:style>
  <w:style w:type="character" w:customStyle="1" w:styleId="TextoindependienteCar">
    <w:name w:val="Texto independiente Car"/>
    <w:basedOn w:val="Fuentedeprrafopredeter"/>
    <w:link w:val="Textoindependiente"/>
    <w:uiPriority w:val="99"/>
    <w:semiHidden/>
    <w:rsid w:val="006161FB"/>
    <w:rPr>
      <w:rFonts w:ascii="Times New Roman" w:eastAsia="Times New Roman" w:hAnsi="Times New Roman" w:cs="Times New Roman"/>
      <w:sz w:val="24"/>
      <w:szCs w:val="20"/>
      <w:lang w:val="es-ES_tradnl" w:eastAsia="es-ES"/>
    </w:rPr>
  </w:style>
  <w:style w:type="paragraph" w:customStyle="1" w:styleId="p31">
    <w:name w:val="p31"/>
    <w:basedOn w:val="Normal"/>
    <w:rsid w:val="006161FB"/>
    <w:pPr>
      <w:widowControl w:val="0"/>
      <w:tabs>
        <w:tab w:val="left" w:pos="720"/>
      </w:tabs>
      <w:overflowPunct w:val="0"/>
      <w:autoSpaceDE w:val="0"/>
      <w:autoSpaceDN w:val="0"/>
      <w:adjustRightInd w:val="0"/>
      <w:spacing w:after="0" w:line="240" w:lineRule="auto"/>
      <w:textAlignment w:val="baseline"/>
    </w:pPr>
    <w:rPr>
      <w:rFonts w:ascii="Times" w:eastAsia="Times New Roman" w:hAnsi="Times"/>
      <w:sz w:val="24"/>
      <w:szCs w:val="20"/>
      <w:lang w:eastAsia="es-ES"/>
    </w:rPr>
  </w:style>
  <w:style w:type="table" w:styleId="Tablaconcuadrcula">
    <w:name w:val="Table Grid"/>
    <w:basedOn w:val="Tablanormal"/>
    <w:uiPriority w:val="39"/>
    <w:rsid w:val="006161FB"/>
    <w:pPr>
      <w:spacing w:after="0" w:line="240" w:lineRule="auto"/>
    </w:pPr>
    <w:rPr>
      <w:rFonts w:ascii="Times New Roman" w:eastAsia="Times New Roman" w:hAnsi="Times New Roman" w:cs="Times New Roman"/>
      <w:sz w:val="20"/>
      <w:szCs w:val="20"/>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6161FB"/>
    <w:rPr>
      <w:b/>
      <w:bCs/>
    </w:rPr>
  </w:style>
  <w:style w:type="character" w:styleId="nfasis">
    <w:name w:val="Emphasis"/>
    <w:basedOn w:val="Fuentedeprrafopredeter"/>
    <w:uiPriority w:val="20"/>
    <w:qFormat/>
    <w:rsid w:val="006161FB"/>
    <w:rPr>
      <w:i/>
      <w:iCs/>
    </w:rPr>
  </w:style>
  <w:style w:type="character" w:customStyle="1" w:styleId="TextocomentarioCar1">
    <w:name w:val="Texto comentario Car1"/>
    <w:uiPriority w:val="99"/>
    <w:locked/>
    <w:rsid w:val="006161FB"/>
    <w:rPr>
      <w:lang w:eastAsia="ar-SA"/>
    </w:rPr>
  </w:style>
  <w:style w:type="paragraph" w:customStyle="1" w:styleId="Textobajocuadro">
    <w:name w:val="Texto bajo cuadro"/>
    <w:basedOn w:val="Normal"/>
    <w:link w:val="TextobajocuadroCar"/>
    <w:autoRedefine/>
    <w:uiPriority w:val="1"/>
    <w:qFormat/>
    <w:rsid w:val="005164A9"/>
    <w:pPr>
      <w:spacing w:before="0" w:after="0" w:line="240" w:lineRule="auto"/>
      <w:ind w:right="29"/>
    </w:pPr>
    <w:rPr>
      <w:rFonts w:eastAsiaTheme="minorHAnsi" w:cstheme="minorBidi"/>
      <w:sz w:val="16"/>
    </w:rPr>
  </w:style>
  <w:style w:type="character" w:customStyle="1" w:styleId="TextobajocuadroCar">
    <w:name w:val="Texto bajo cuadro Car"/>
    <w:basedOn w:val="Fuentedeprrafopredeter"/>
    <w:link w:val="Textobajocuadro"/>
    <w:uiPriority w:val="1"/>
    <w:rsid w:val="005164A9"/>
    <w:rPr>
      <w:rFonts w:ascii="ITC Avant Garde" w:hAnsi="ITC Avant Garde"/>
      <w:sz w:val="16"/>
      <w:lang w:val="es-ES_tradnl" w:eastAsia="es-MX"/>
    </w:rPr>
  </w:style>
  <w:style w:type="paragraph" w:styleId="TtuloTDC">
    <w:name w:val="TOC Heading"/>
    <w:basedOn w:val="Ttulo1"/>
    <w:next w:val="Normal"/>
    <w:uiPriority w:val="39"/>
    <w:unhideWhenUsed/>
    <w:qFormat/>
    <w:rsid w:val="006161FB"/>
    <w:pPr>
      <w:keepLines/>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eastAsia="es-MX"/>
    </w:rPr>
  </w:style>
  <w:style w:type="paragraph" w:styleId="TDC1">
    <w:name w:val="toc 1"/>
    <w:basedOn w:val="Normal"/>
    <w:next w:val="Normal"/>
    <w:autoRedefine/>
    <w:uiPriority w:val="39"/>
    <w:unhideWhenUsed/>
    <w:rsid w:val="00D7412C"/>
    <w:pPr>
      <w:spacing w:before="0" w:after="80" w:line="240" w:lineRule="auto"/>
    </w:pPr>
    <w:rPr>
      <w:rFonts w:eastAsia="Times New Roman"/>
      <w:sz w:val="18"/>
      <w:szCs w:val="24"/>
      <w:lang w:eastAsia="es-ES"/>
    </w:rPr>
  </w:style>
  <w:style w:type="paragraph" w:styleId="Revisin">
    <w:name w:val="Revision"/>
    <w:hidden/>
    <w:uiPriority w:val="99"/>
    <w:semiHidden/>
    <w:rsid w:val="006161FB"/>
    <w:pPr>
      <w:spacing w:after="0" w:line="240" w:lineRule="auto"/>
    </w:pPr>
    <w:rPr>
      <w:rFonts w:ascii="Calibri" w:eastAsia="Calibri" w:hAnsi="Calibri" w:cs="Times New Roman"/>
    </w:rPr>
  </w:style>
  <w:style w:type="character" w:customStyle="1" w:styleId="apple-converted-space">
    <w:name w:val="apple-converted-space"/>
    <w:basedOn w:val="Fuentedeprrafopredeter"/>
    <w:rsid w:val="006161FB"/>
  </w:style>
  <w:style w:type="paragraph" w:customStyle="1" w:styleId="NormalIFT">
    <w:name w:val="Normal IFT"/>
    <w:basedOn w:val="Prrafodelista"/>
    <w:link w:val="NormalIFTCar"/>
    <w:autoRedefine/>
    <w:qFormat/>
    <w:rsid w:val="006161FB"/>
    <w:pPr>
      <w:autoSpaceDE w:val="0"/>
      <w:autoSpaceDN w:val="0"/>
      <w:adjustRightInd w:val="0"/>
      <w:spacing w:after="120" w:line="276" w:lineRule="auto"/>
      <w:ind w:left="708"/>
      <w:contextualSpacing w:val="0"/>
    </w:pPr>
    <w:rPr>
      <w:rFonts w:eastAsia="Times New Roman"/>
      <w:bCs/>
      <w:color w:val="000000"/>
      <w:szCs w:val="24"/>
      <w:lang w:val="es-MX"/>
    </w:rPr>
  </w:style>
  <w:style w:type="character" w:customStyle="1" w:styleId="NormalIFTCar">
    <w:name w:val="Normal IFT Car"/>
    <w:link w:val="NormalIFT"/>
    <w:rsid w:val="006161FB"/>
    <w:rPr>
      <w:rFonts w:ascii="ITC Avant Garde" w:eastAsia="Times New Roman" w:hAnsi="ITC Avant Garde" w:cs="Times New Roman"/>
      <w:bCs/>
      <w:color w:val="000000"/>
      <w:szCs w:val="24"/>
      <w:lang w:eastAsia="es-MX"/>
    </w:rPr>
  </w:style>
  <w:style w:type="character" w:styleId="Hipervnculovisitado">
    <w:name w:val="FollowedHyperlink"/>
    <w:basedOn w:val="Fuentedeprrafopredeter"/>
    <w:uiPriority w:val="99"/>
    <w:semiHidden/>
    <w:unhideWhenUsed/>
    <w:rsid w:val="006161FB"/>
    <w:rPr>
      <w:color w:val="954F72" w:themeColor="followedHyperlink"/>
      <w:u w:val="single"/>
    </w:rPr>
  </w:style>
  <w:style w:type="table" w:customStyle="1" w:styleId="Tablaconcuadrcula1">
    <w:name w:val="Tabla con cuadrícula1"/>
    <w:basedOn w:val="Tablanormal"/>
    <w:next w:val="Tablaconcuadrcula"/>
    <w:uiPriority w:val="39"/>
    <w:rsid w:val="00616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16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616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616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616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616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616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616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616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616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616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616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616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616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6161FB"/>
    <w:pPr>
      <w:numPr>
        <w:numId w:val="6"/>
      </w:numPr>
      <w:contextualSpacing/>
    </w:pPr>
  </w:style>
  <w:style w:type="character" w:styleId="Textodelmarcadordeposicin">
    <w:name w:val="Placeholder Text"/>
    <w:basedOn w:val="Fuentedeprrafopredeter"/>
    <w:uiPriority w:val="99"/>
    <w:semiHidden/>
    <w:rsid w:val="008F545F"/>
    <w:rPr>
      <w:color w:val="808080"/>
    </w:rPr>
  </w:style>
  <w:style w:type="character" w:customStyle="1" w:styleId="Ttulo5Car">
    <w:name w:val="Título 5 Car"/>
    <w:basedOn w:val="Fuentedeprrafopredeter"/>
    <w:link w:val="Ttulo5"/>
    <w:uiPriority w:val="9"/>
    <w:rsid w:val="006854D0"/>
    <w:rPr>
      <w:rFonts w:asciiTheme="majorHAnsi" w:eastAsiaTheme="majorEastAsia" w:hAnsiTheme="majorHAnsi" w:cstheme="majorBidi"/>
      <w:color w:val="2E74B5" w:themeColor="accent1" w:themeShade="BF"/>
      <w:lang w:val="es-ES_tradnl" w:eastAsia="es-MX"/>
    </w:rPr>
  </w:style>
  <w:style w:type="table" w:customStyle="1" w:styleId="Tabladecuadrcula4-nfasis51">
    <w:name w:val="Tabla de cuadrícula 4 - Énfasis 51"/>
    <w:basedOn w:val="Tablanormal"/>
    <w:uiPriority w:val="49"/>
    <w:rsid w:val="0037681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rraforproyecto">
    <w:name w:val="Párrafor proyecto"/>
    <w:basedOn w:val="Normal"/>
    <w:link w:val="PrraforproyectoCar"/>
    <w:autoRedefine/>
    <w:qFormat/>
    <w:rsid w:val="000D7836"/>
    <w:pPr>
      <w:numPr>
        <w:numId w:val="44"/>
      </w:numPr>
      <w:tabs>
        <w:tab w:val="left" w:pos="2410"/>
      </w:tabs>
      <w:spacing w:before="0" w:after="0" w:line="240" w:lineRule="auto"/>
    </w:pPr>
    <w:rPr>
      <w:rFonts w:eastAsia="Times New Roman"/>
      <w:bCs/>
      <w:color w:val="000000"/>
    </w:rPr>
  </w:style>
  <w:style w:type="character" w:customStyle="1" w:styleId="PrraforproyectoCar">
    <w:name w:val="Párrafor proyecto Car"/>
    <w:basedOn w:val="Fuentedeprrafopredeter"/>
    <w:link w:val="Prraforproyecto"/>
    <w:rsid w:val="000D7836"/>
    <w:rPr>
      <w:rFonts w:ascii="ITC Avant Garde" w:eastAsia="Times New Roman" w:hAnsi="ITC Avant Garde" w:cs="Times New Roman"/>
      <w:bCs/>
      <w:color w:val="000000"/>
      <w:lang w:val="es-ES_tradnl" w:eastAsia="es-MX"/>
    </w:rPr>
  </w:style>
  <w:style w:type="paragraph" w:customStyle="1" w:styleId="Figura">
    <w:name w:val="Figura"/>
    <w:basedOn w:val="Normal"/>
    <w:link w:val="FiguraCar"/>
    <w:qFormat/>
    <w:rsid w:val="00F43349"/>
    <w:pPr>
      <w:keepNext/>
      <w:numPr>
        <w:numId w:val="21"/>
      </w:numPr>
      <w:spacing w:after="0"/>
      <w:jc w:val="center"/>
    </w:pPr>
    <w:rPr>
      <w:rFonts w:eastAsiaTheme="minorHAnsi" w:cstheme="minorBidi"/>
      <w:sz w:val="20"/>
      <w:lang w:val="es-MX" w:eastAsia="en-US"/>
    </w:rPr>
  </w:style>
  <w:style w:type="character" w:customStyle="1" w:styleId="FiguraCar">
    <w:name w:val="Figura Car"/>
    <w:basedOn w:val="Fuentedeprrafopredeter"/>
    <w:link w:val="Figura"/>
    <w:rsid w:val="00F43349"/>
    <w:rPr>
      <w:rFonts w:ascii="ITC Avant Garde" w:hAnsi="ITC Avant Garde"/>
      <w:sz w:val="20"/>
    </w:rPr>
  </w:style>
  <w:style w:type="paragraph" w:customStyle="1" w:styleId="Notaalpie">
    <w:name w:val="Nota al pie"/>
    <w:basedOn w:val="Normal"/>
    <w:link w:val="NotaalpieCar"/>
    <w:qFormat/>
    <w:rsid w:val="0030526C"/>
    <w:pPr>
      <w:spacing w:before="0" w:after="0" w:line="240" w:lineRule="auto"/>
    </w:pPr>
    <w:rPr>
      <w:rFonts w:eastAsiaTheme="minorHAnsi" w:cstheme="minorBidi"/>
      <w:sz w:val="18"/>
      <w:lang w:val="es-MX" w:eastAsia="en-US"/>
    </w:rPr>
  </w:style>
  <w:style w:type="character" w:customStyle="1" w:styleId="NotaalpieCar">
    <w:name w:val="Nota al pie Car"/>
    <w:basedOn w:val="Fuentedeprrafopredeter"/>
    <w:link w:val="Notaalpie"/>
    <w:rsid w:val="0030526C"/>
    <w:rPr>
      <w:rFonts w:ascii="ITC Avant Garde" w:hAnsi="ITC Avant Garde"/>
      <w:sz w:val="18"/>
    </w:rPr>
  </w:style>
  <w:style w:type="table" w:styleId="Tablanormal4">
    <w:name w:val="Plain Table 4"/>
    <w:basedOn w:val="Tablanormal"/>
    <w:uiPriority w:val="99"/>
    <w:rsid w:val="00CE0839"/>
    <w:pPr>
      <w:spacing w:after="0" w:line="240" w:lineRule="auto"/>
    </w:pPr>
    <w:rPr>
      <w:lang w:val="en-US" w:bidi="he-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DC2">
    <w:name w:val="toc 2"/>
    <w:basedOn w:val="TDC1"/>
    <w:next w:val="Normal"/>
    <w:autoRedefine/>
    <w:uiPriority w:val="39"/>
    <w:unhideWhenUsed/>
    <w:rsid w:val="00D7412C"/>
    <w:pPr>
      <w:spacing w:after="100"/>
      <w:ind w:left="220"/>
    </w:pPr>
  </w:style>
  <w:style w:type="paragraph" w:styleId="TDC3">
    <w:name w:val="toc 3"/>
    <w:basedOn w:val="TDC1"/>
    <w:next w:val="Normal"/>
    <w:autoRedefine/>
    <w:uiPriority w:val="39"/>
    <w:unhideWhenUsed/>
    <w:rsid w:val="00D7412C"/>
    <w:pPr>
      <w:spacing w:after="100"/>
      <w:ind w:left="440"/>
    </w:pPr>
  </w:style>
  <w:style w:type="paragraph" w:styleId="TDC4">
    <w:name w:val="toc 4"/>
    <w:basedOn w:val="TDC1"/>
    <w:next w:val="Normal"/>
    <w:autoRedefine/>
    <w:uiPriority w:val="39"/>
    <w:unhideWhenUsed/>
    <w:rsid w:val="00D7412C"/>
    <w:pPr>
      <w:spacing w:after="100"/>
      <w:ind w:left="660"/>
    </w:pPr>
  </w:style>
  <w:style w:type="paragraph" w:styleId="TDC5">
    <w:name w:val="toc 5"/>
    <w:basedOn w:val="TDC1"/>
    <w:next w:val="Normal"/>
    <w:autoRedefine/>
    <w:uiPriority w:val="39"/>
    <w:semiHidden/>
    <w:unhideWhenUsed/>
    <w:rsid w:val="00D7412C"/>
    <w:pPr>
      <w:spacing w:after="100"/>
      <w:ind w:left="880"/>
    </w:pPr>
  </w:style>
  <w:style w:type="paragraph" w:styleId="Cita">
    <w:name w:val="Quote"/>
    <w:basedOn w:val="Normal"/>
    <w:next w:val="Normal"/>
    <w:link w:val="CitaCar"/>
    <w:uiPriority w:val="29"/>
    <w:qFormat/>
    <w:rsid w:val="009017CA"/>
    <w:pPr>
      <w:spacing w:before="0" w:after="0" w:line="240" w:lineRule="auto"/>
      <w:ind w:left="862" w:right="862"/>
    </w:pPr>
    <w:rPr>
      <w:i/>
      <w:iCs/>
      <w:color w:val="000000" w:themeColor="text1"/>
      <w:sz w:val="20"/>
    </w:rPr>
  </w:style>
  <w:style w:type="character" w:customStyle="1" w:styleId="CitaCar">
    <w:name w:val="Cita Car"/>
    <w:basedOn w:val="Fuentedeprrafopredeter"/>
    <w:link w:val="Cita"/>
    <w:uiPriority w:val="29"/>
    <w:rsid w:val="009017CA"/>
    <w:rPr>
      <w:rFonts w:ascii="ITC Avant Garde" w:eastAsia="Calibri" w:hAnsi="ITC Avant Garde" w:cs="Times New Roman"/>
      <w:i/>
      <w:iCs/>
      <w:color w:val="000000" w:themeColor="text1"/>
      <w:sz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27245">
      <w:bodyDiv w:val="1"/>
      <w:marLeft w:val="0"/>
      <w:marRight w:val="0"/>
      <w:marTop w:val="0"/>
      <w:marBottom w:val="0"/>
      <w:divBdr>
        <w:top w:val="none" w:sz="0" w:space="0" w:color="auto"/>
        <w:left w:val="none" w:sz="0" w:space="0" w:color="auto"/>
        <w:bottom w:val="none" w:sz="0" w:space="0" w:color="auto"/>
        <w:right w:val="none" w:sz="0" w:space="0" w:color="auto"/>
      </w:divBdr>
    </w:div>
    <w:div w:id="143477995">
      <w:bodyDiv w:val="1"/>
      <w:marLeft w:val="0"/>
      <w:marRight w:val="0"/>
      <w:marTop w:val="0"/>
      <w:marBottom w:val="0"/>
      <w:divBdr>
        <w:top w:val="none" w:sz="0" w:space="0" w:color="auto"/>
        <w:left w:val="none" w:sz="0" w:space="0" w:color="auto"/>
        <w:bottom w:val="none" w:sz="0" w:space="0" w:color="auto"/>
        <w:right w:val="none" w:sz="0" w:space="0" w:color="auto"/>
      </w:divBdr>
    </w:div>
    <w:div w:id="156531488">
      <w:bodyDiv w:val="1"/>
      <w:marLeft w:val="0"/>
      <w:marRight w:val="0"/>
      <w:marTop w:val="0"/>
      <w:marBottom w:val="0"/>
      <w:divBdr>
        <w:top w:val="none" w:sz="0" w:space="0" w:color="auto"/>
        <w:left w:val="none" w:sz="0" w:space="0" w:color="auto"/>
        <w:bottom w:val="none" w:sz="0" w:space="0" w:color="auto"/>
        <w:right w:val="none" w:sz="0" w:space="0" w:color="auto"/>
      </w:divBdr>
    </w:div>
    <w:div w:id="203637911">
      <w:bodyDiv w:val="1"/>
      <w:marLeft w:val="0"/>
      <w:marRight w:val="0"/>
      <w:marTop w:val="0"/>
      <w:marBottom w:val="0"/>
      <w:divBdr>
        <w:top w:val="none" w:sz="0" w:space="0" w:color="auto"/>
        <w:left w:val="none" w:sz="0" w:space="0" w:color="auto"/>
        <w:bottom w:val="none" w:sz="0" w:space="0" w:color="auto"/>
        <w:right w:val="none" w:sz="0" w:space="0" w:color="auto"/>
      </w:divBdr>
    </w:div>
    <w:div w:id="212273669">
      <w:bodyDiv w:val="1"/>
      <w:marLeft w:val="0"/>
      <w:marRight w:val="0"/>
      <w:marTop w:val="0"/>
      <w:marBottom w:val="0"/>
      <w:divBdr>
        <w:top w:val="none" w:sz="0" w:space="0" w:color="auto"/>
        <w:left w:val="none" w:sz="0" w:space="0" w:color="auto"/>
        <w:bottom w:val="none" w:sz="0" w:space="0" w:color="auto"/>
        <w:right w:val="none" w:sz="0" w:space="0" w:color="auto"/>
      </w:divBdr>
    </w:div>
    <w:div w:id="218325503">
      <w:bodyDiv w:val="1"/>
      <w:marLeft w:val="0"/>
      <w:marRight w:val="0"/>
      <w:marTop w:val="0"/>
      <w:marBottom w:val="0"/>
      <w:divBdr>
        <w:top w:val="none" w:sz="0" w:space="0" w:color="auto"/>
        <w:left w:val="none" w:sz="0" w:space="0" w:color="auto"/>
        <w:bottom w:val="none" w:sz="0" w:space="0" w:color="auto"/>
        <w:right w:val="none" w:sz="0" w:space="0" w:color="auto"/>
      </w:divBdr>
    </w:div>
    <w:div w:id="294484431">
      <w:bodyDiv w:val="1"/>
      <w:marLeft w:val="0"/>
      <w:marRight w:val="0"/>
      <w:marTop w:val="0"/>
      <w:marBottom w:val="0"/>
      <w:divBdr>
        <w:top w:val="none" w:sz="0" w:space="0" w:color="auto"/>
        <w:left w:val="none" w:sz="0" w:space="0" w:color="auto"/>
        <w:bottom w:val="none" w:sz="0" w:space="0" w:color="auto"/>
        <w:right w:val="none" w:sz="0" w:space="0" w:color="auto"/>
      </w:divBdr>
    </w:div>
    <w:div w:id="338385447">
      <w:bodyDiv w:val="1"/>
      <w:marLeft w:val="0"/>
      <w:marRight w:val="0"/>
      <w:marTop w:val="0"/>
      <w:marBottom w:val="0"/>
      <w:divBdr>
        <w:top w:val="none" w:sz="0" w:space="0" w:color="auto"/>
        <w:left w:val="none" w:sz="0" w:space="0" w:color="auto"/>
        <w:bottom w:val="none" w:sz="0" w:space="0" w:color="auto"/>
        <w:right w:val="none" w:sz="0" w:space="0" w:color="auto"/>
      </w:divBdr>
    </w:div>
    <w:div w:id="375660562">
      <w:bodyDiv w:val="1"/>
      <w:marLeft w:val="0"/>
      <w:marRight w:val="0"/>
      <w:marTop w:val="0"/>
      <w:marBottom w:val="0"/>
      <w:divBdr>
        <w:top w:val="none" w:sz="0" w:space="0" w:color="auto"/>
        <w:left w:val="none" w:sz="0" w:space="0" w:color="auto"/>
        <w:bottom w:val="none" w:sz="0" w:space="0" w:color="auto"/>
        <w:right w:val="none" w:sz="0" w:space="0" w:color="auto"/>
      </w:divBdr>
    </w:div>
    <w:div w:id="414285045">
      <w:bodyDiv w:val="1"/>
      <w:marLeft w:val="0"/>
      <w:marRight w:val="0"/>
      <w:marTop w:val="0"/>
      <w:marBottom w:val="0"/>
      <w:divBdr>
        <w:top w:val="none" w:sz="0" w:space="0" w:color="auto"/>
        <w:left w:val="none" w:sz="0" w:space="0" w:color="auto"/>
        <w:bottom w:val="none" w:sz="0" w:space="0" w:color="auto"/>
        <w:right w:val="none" w:sz="0" w:space="0" w:color="auto"/>
      </w:divBdr>
      <w:divsChild>
        <w:div w:id="98457027">
          <w:marLeft w:val="720"/>
          <w:marRight w:val="0"/>
          <w:marTop w:val="0"/>
          <w:marBottom w:val="60"/>
          <w:divBdr>
            <w:top w:val="none" w:sz="0" w:space="0" w:color="auto"/>
            <w:left w:val="none" w:sz="0" w:space="0" w:color="auto"/>
            <w:bottom w:val="none" w:sz="0" w:space="0" w:color="auto"/>
            <w:right w:val="none" w:sz="0" w:space="0" w:color="auto"/>
          </w:divBdr>
        </w:div>
        <w:div w:id="108821445">
          <w:marLeft w:val="0"/>
          <w:marRight w:val="0"/>
          <w:marTop w:val="0"/>
          <w:marBottom w:val="80"/>
          <w:divBdr>
            <w:top w:val="none" w:sz="0" w:space="0" w:color="auto"/>
            <w:left w:val="none" w:sz="0" w:space="0" w:color="auto"/>
            <w:bottom w:val="none" w:sz="0" w:space="0" w:color="auto"/>
            <w:right w:val="none" w:sz="0" w:space="0" w:color="auto"/>
          </w:divBdr>
        </w:div>
        <w:div w:id="176118528">
          <w:marLeft w:val="0"/>
          <w:marRight w:val="0"/>
          <w:marTop w:val="0"/>
          <w:marBottom w:val="80"/>
          <w:divBdr>
            <w:top w:val="none" w:sz="0" w:space="0" w:color="auto"/>
            <w:left w:val="none" w:sz="0" w:space="0" w:color="auto"/>
            <w:bottom w:val="none" w:sz="0" w:space="0" w:color="auto"/>
            <w:right w:val="none" w:sz="0" w:space="0" w:color="auto"/>
          </w:divBdr>
        </w:div>
        <w:div w:id="283852684">
          <w:marLeft w:val="0"/>
          <w:marRight w:val="0"/>
          <w:marTop w:val="0"/>
          <w:marBottom w:val="101"/>
          <w:divBdr>
            <w:top w:val="none" w:sz="0" w:space="0" w:color="auto"/>
            <w:left w:val="none" w:sz="0" w:space="0" w:color="auto"/>
            <w:bottom w:val="none" w:sz="0" w:space="0" w:color="auto"/>
            <w:right w:val="none" w:sz="0" w:space="0" w:color="auto"/>
          </w:divBdr>
        </w:div>
        <w:div w:id="354312914">
          <w:marLeft w:val="720"/>
          <w:marRight w:val="0"/>
          <w:marTop w:val="0"/>
          <w:marBottom w:val="60"/>
          <w:divBdr>
            <w:top w:val="none" w:sz="0" w:space="0" w:color="auto"/>
            <w:left w:val="none" w:sz="0" w:space="0" w:color="auto"/>
            <w:bottom w:val="none" w:sz="0" w:space="0" w:color="auto"/>
            <w:right w:val="none" w:sz="0" w:space="0" w:color="auto"/>
          </w:divBdr>
        </w:div>
        <w:div w:id="417409139">
          <w:marLeft w:val="0"/>
          <w:marRight w:val="0"/>
          <w:marTop w:val="0"/>
          <w:marBottom w:val="101"/>
          <w:divBdr>
            <w:top w:val="none" w:sz="0" w:space="0" w:color="auto"/>
            <w:left w:val="none" w:sz="0" w:space="0" w:color="auto"/>
            <w:bottom w:val="none" w:sz="0" w:space="0" w:color="auto"/>
            <w:right w:val="none" w:sz="0" w:space="0" w:color="auto"/>
          </w:divBdr>
        </w:div>
        <w:div w:id="527523984">
          <w:marLeft w:val="0"/>
          <w:marRight w:val="0"/>
          <w:marTop w:val="0"/>
          <w:marBottom w:val="80"/>
          <w:divBdr>
            <w:top w:val="none" w:sz="0" w:space="0" w:color="auto"/>
            <w:left w:val="none" w:sz="0" w:space="0" w:color="auto"/>
            <w:bottom w:val="none" w:sz="0" w:space="0" w:color="auto"/>
            <w:right w:val="none" w:sz="0" w:space="0" w:color="auto"/>
          </w:divBdr>
        </w:div>
        <w:div w:id="560017842">
          <w:marLeft w:val="720"/>
          <w:marRight w:val="0"/>
          <w:marTop w:val="0"/>
          <w:marBottom w:val="60"/>
          <w:divBdr>
            <w:top w:val="none" w:sz="0" w:space="0" w:color="auto"/>
            <w:left w:val="none" w:sz="0" w:space="0" w:color="auto"/>
            <w:bottom w:val="none" w:sz="0" w:space="0" w:color="auto"/>
            <w:right w:val="none" w:sz="0" w:space="0" w:color="auto"/>
          </w:divBdr>
        </w:div>
        <w:div w:id="626475103">
          <w:marLeft w:val="720"/>
          <w:marRight w:val="0"/>
          <w:marTop w:val="0"/>
          <w:marBottom w:val="60"/>
          <w:divBdr>
            <w:top w:val="none" w:sz="0" w:space="0" w:color="auto"/>
            <w:left w:val="none" w:sz="0" w:space="0" w:color="auto"/>
            <w:bottom w:val="none" w:sz="0" w:space="0" w:color="auto"/>
            <w:right w:val="none" w:sz="0" w:space="0" w:color="auto"/>
          </w:divBdr>
        </w:div>
        <w:div w:id="659314738">
          <w:marLeft w:val="0"/>
          <w:marRight w:val="0"/>
          <w:marTop w:val="0"/>
          <w:marBottom w:val="60"/>
          <w:divBdr>
            <w:top w:val="none" w:sz="0" w:space="0" w:color="auto"/>
            <w:left w:val="none" w:sz="0" w:space="0" w:color="auto"/>
            <w:bottom w:val="none" w:sz="0" w:space="0" w:color="auto"/>
            <w:right w:val="none" w:sz="0" w:space="0" w:color="auto"/>
          </w:divBdr>
        </w:div>
        <w:div w:id="701831953">
          <w:marLeft w:val="720"/>
          <w:marRight w:val="0"/>
          <w:marTop w:val="0"/>
          <w:marBottom w:val="60"/>
          <w:divBdr>
            <w:top w:val="none" w:sz="0" w:space="0" w:color="auto"/>
            <w:left w:val="none" w:sz="0" w:space="0" w:color="auto"/>
            <w:bottom w:val="none" w:sz="0" w:space="0" w:color="auto"/>
            <w:right w:val="none" w:sz="0" w:space="0" w:color="auto"/>
          </w:divBdr>
        </w:div>
        <w:div w:id="843394515">
          <w:marLeft w:val="720"/>
          <w:marRight w:val="0"/>
          <w:marTop w:val="0"/>
          <w:marBottom w:val="101"/>
          <w:divBdr>
            <w:top w:val="none" w:sz="0" w:space="0" w:color="auto"/>
            <w:left w:val="none" w:sz="0" w:space="0" w:color="auto"/>
            <w:bottom w:val="none" w:sz="0" w:space="0" w:color="auto"/>
            <w:right w:val="none" w:sz="0" w:space="0" w:color="auto"/>
          </w:divBdr>
        </w:div>
        <w:div w:id="1109936468">
          <w:marLeft w:val="720"/>
          <w:marRight w:val="0"/>
          <w:marTop w:val="0"/>
          <w:marBottom w:val="101"/>
          <w:divBdr>
            <w:top w:val="none" w:sz="0" w:space="0" w:color="auto"/>
            <w:left w:val="none" w:sz="0" w:space="0" w:color="auto"/>
            <w:bottom w:val="none" w:sz="0" w:space="0" w:color="auto"/>
            <w:right w:val="none" w:sz="0" w:space="0" w:color="auto"/>
          </w:divBdr>
        </w:div>
        <w:div w:id="1315522597">
          <w:marLeft w:val="720"/>
          <w:marRight w:val="0"/>
          <w:marTop w:val="0"/>
          <w:marBottom w:val="101"/>
          <w:divBdr>
            <w:top w:val="none" w:sz="0" w:space="0" w:color="auto"/>
            <w:left w:val="none" w:sz="0" w:space="0" w:color="auto"/>
            <w:bottom w:val="none" w:sz="0" w:space="0" w:color="auto"/>
            <w:right w:val="none" w:sz="0" w:space="0" w:color="auto"/>
          </w:divBdr>
        </w:div>
        <w:div w:id="1359811775">
          <w:marLeft w:val="0"/>
          <w:marRight w:val="0"/>
          <w:marTop w:val="0"/>
          <w:marBottom w:val="101"/>
          <w:divBdr>
            <w:top w:val="none" w:sz="0" w:space="0" w:color="auto"/>
            <w:left w:val="none" w:sz="0" w:space="0" w:color="auto"/>
            <w:bottom w:val="none" w:sz="0" w:space="0" w:color="auto"/>
            <w:right w:val="none" w:sz="0" w:space="0" w:color="auto"/>
          </w:divBdr>
        </w:div>
        <w:div w:id="1508791289">
          <w:marLeft w:val="720"/>
          <w:marRight w:val="0"/>
          <w:marTop w:val="0"/>
          <w:marBottom w:val="60"/>
          <w:divBdr>
            <w:top w:val="none" w:sz="0" w:space="0" w:color="auto"/>
            <w:left w:val="none" w:sz="0" w:space="0" w:color="auto"/>
            <w:bottom w:val="none" w:sz="0" w:space="0" w:color="auto"/>
            <w:right w:val="none" w:sz="0" w:space="0" w:color="auto"/>
          </w:divBdr>
        </w:div>
        <w:div w:id="1577936197">
          <w:marLeft w:val="0"/>
          <w:marRight w:val="0"/>
          <w:marTop w:val="0"/>
          <w:marBottom w:val="101"/>
          <w:divBdr>
            <w:top w:val="none" w:sz="0" w:space="0" w:color="auto"/>
            <w:left w:val="none" w:sz="0" w:space="0" w:color="auto"/>
            <w:bottom w:val="none" w:sz="0" w:space="0" w:color="auto"/>
            <w:right w:val="none" w:sz="0" w:space="0" w:color="auto"/>
          </w:divBdr>
        </w:div>
        <w:div w:id="1682658168">
          <w:marLeft w:val="720"/>
          <w:marRight w:val="0"/>
          <w:marTop w:val="0"/>
          <w:marBottom w:val="101"/>
          <w:divBdr>
            <w:top w:val="none" w:sz="0" w:space="0" w:color="auto"/>
            <w:left w:val="none" w:sz="0" w:space="0" w:color="auto"/>
            <w:bottom w:val="none" w:sz="0" w:space="0" w:color="auto"/>
            <w:right w:val="none" w:sz="0" w:space="0" w:color="auto"/>
          </w:divBdr>
        </w:div>
        <w:div w:id="1775202615">
          <w:marLeft w:val="0"/>
          <w:marRight w:val="0"/>
          <w:marTop w:val="0"/>
          <w:marBottom w:val="101"/>
          <w:divBdr>
            <w:top w:val="none" w:sz="0" w:space="0" w:color="auto"/>
            <w:left w:val="none" w:sz="0" w:space="0" w:color="auto"/>
            <w:bottom w:val="none" w:sz="0" w:space="0" w:color="auto"/>
            <w:right w:val="none" w:sz="0" w:space="0" w:color="auto"/>
          </w:divBdr>
        </w:div>
        <w:div w:id="1925842763">
          <w:marLeft w:val="0"/>
          <w:marRight w:val="0"/>
          <w:marTop w:val="0"/>
          <w:marBottom w:val="101"/>
          <w:divBdr>
            <w:top w:val="none" w:sz="0" w:space="0" w:color="auto"/>
            <w:left w:val="none" w:sz="0" w:space="0" w:color="auto"/>
            <w:bottom w:val="none" w:sz="0" w:space="0" w:color="auto"/>
            <w:right w:val="none" w:sz="0" w:space="0" w:color="auto"/>
          </w:divBdr>
        </w:div>
        <w:div w:id="1944065976">
          <w:marLeft w:val="0"/>
          <w:marRight w:val="0"/>
          <w:marTop w:val="0"/>
          <w:marBottom w:val="80"/>
          <w:divBdr>
            <w:top w:val="none" w:sz="0" w:space="0" w:color="auto"/>
            <w:left w:val="none" w:sz="0" w:space="0" w:color="auto"/>
            <w:bottom w:val="none" w:sz="0" w:space="0" w:color="auto"/>
            <w:right w:val="none" w:sz="0" w:space="0" w:color="auto"/>
          </w:divBdr>
        </w:div>
        <w:div w:id="1977635269">
          <w:marLeft w:val="0"/>
          <w:marRight w:val="0"/>
          <w:marTop w:val="0"/>
          <w:marBottom w:val="80"/>
          <w:divBdr>
            <w:top w:val="none" w:sz="0" w:space="0" w:color="auto"/>
            <w:left w:val="none" w:sz="0" w:space="0" w:color="auto"/>
            <w:bottom w:val="none" w:sz="0" w:space="0" w:color="auto"/>
            <w:right w:val="none" w:sz="0" w:space="0" w:color="auto"/>
          </w:divBdr>
        </w:div>
      </w:divsChild>
    </w:div>
    <w:div w:id="448547539">
      <w:bodyDiv w:val="1"/>
      <w:marLeft w:val="0"/>
      <w:marRight w:val="0"/>
      <w:marTop w:val="0"/>
      <w:marBottom w:val="0"/>
      <w:divBdr>
        <w:top w:val="none" w:sz="0" w:space="0" w:color="auto"/>
        <w:left w:val="none" w:sz="0" w:space="0" w:color="auto"/>
        <w:bottom w:val="none" w:sz="0" w:space="0" w:color="auto"/>
        <w:right w:val="none" w:sz="0" w:space="0" w:color="auto"/>
      </w:divBdr>
    </w:div>
    <w:div w:id="506018409">
      <w:bodyDiv w:val="1"/>
      <w:marLeft w:val="0"/>
      <w:marRight w:val="0"/>
      <w:marTop w:val="0"/>
      <w:marBottom w:val="0"/>
      <w:divBdr>
        <w:top w:val="none" w:sz="0" w:space="0" w:color="auto"/>
        <w:left w:val="none" w:sz="0" w:space="0" w:color="auto"/>
        <w:bottom w:val="none" w:sz="0" w:space="0" w:color="auto"/>
        <w:right w:val="none" w:sz="0" w:space="0" w:color="auto"/>
      </w:divBdr>
    </w:div>
    <w:div w:id="621035053">
      <w:bodyDiv w:val="1"/>
      <w:marLeft w:val="0"/>
      <w:marRight w:val="0"/>
      <w:marTop w:val="0"/>
      <w:marBottom w:val="0"/>
      <w:divBdr>
        <w:top w:val="none" w:sz="0" w:space="0" w:color="auto"/>
        <w:left w:val="none" w:sz="0" w:space="0" w:color="auto"/>
        <w:bottom w:val="none" w:sz="0" w:space="0" w:color="auto"/>
        <w:right w:val="none" w:sz="0" w:space="0" w:color="auto"/>
      </w:divBdr>
    </w:div>
    <w:div w:id="624627388">
      <w:bodyDiv w:val="1"/>
      <w:marLeft w:val="0"/>
      <w:marRight w:val="0"/>
      <w:marTop w:val="0"/>
      <w:marBottom w:val="0"/>
      <w:divBdr>
        <w:top w:val="none" w:sz="0" w:space="0" w:color="auto"/>
        <w:left w:val="none" w:sz="0" w:space="0" w:color="auto"/>
        <w:bottom w:val="none" w:sz="0" w:space="0" w:color="auto"/>
        <w:right w:val="none" w:sz="0" w:space="0" w:color="auto"/>
      </w:divBdr>
    </w:div>
    <w:div w:id="686367070">
      <w:bodyDiv w:val="1"/>
      <w:marLeft w:val="0"/>
      <w:marRight w:val="0"/>
      <w:marTop w:val="0"/>
      <w:marBottom w:val="0"/>
      <w:divBdr>
        <w:top w:val="none" w:sz="0" w:space="0" w:color="auto"/>
        <w:left w:val="none" w:sz="0" w:space="0" w:color="auto"/>
        <w:bottom w:val="none" w:sz="0" w:space="0" w:color="auto"/>
        <w:right w:val="none" w:sz="0" w:space="0" w:color="auto"/>
      </w:divBdr>
    </w:div>
    <w:div w:id="695083989">
      <w:bodyDiv w:val="1"/>
      <w:marLeft w:val="0"/>
      <w:marRight w:val="0"/>
      <w:marTop w:val="0"/>
      <w:marBottom w:val="0"/>
      <w:divBdr>
        <w:top w:val="none" w:sz="0" w:space="0" w:color="auto"/>
        <w:left w:val="none" w:sz="0" w:space="0" w:color="auto"/>
        <w:bottom w:val="none" w:sz="0" w:space="0" w:color="auto"/>
        <w:right w:val="none" w:sz="0" w:space="0" w:color="auto"/>
      </w:divBdr>
    </w:div>
    <w:div w:id="730351713">
      <w:bodyDiv w:val="1"/>
      <w:marLeft w:val="0"/>
      <w:marRight w:val="0"/>
      <w:marTop w:val="0"/>
      <w:marBottom w:val="0"/>
      <w:divBdr>
        <w:top w:val="none" w:sz="0" w:space="0" w:color="auto"/>
        <w:left w:val="none" w:sz="0" w:space="0" w:color="auto"/>
        <w:bottom w:val="none" w:sz="0" w:space="0" w:color="auto"/>
        <w:right w:val="none" w:sz="0" w:space="0" w:color="auto"/>
      </w:divBdr>
    </w:div>
    <w:div w:id="738937827">
      <w:bodyDiv w:val="1"/>
      <w:marLeft w:val="0"/>
      <w:marRight w:val="0"/>
      <w:marTop w:val="0"/>
      <w:marBottom w:val="0"/>
      <w:divBdr>
        <w:top w:val="none" w:sz="0" w:space="0" w:color="auto"/>
        <w:left w:val="none" w:sz="0" w:space="0" w:color="auto"/>
        <w:bottom w:val="none" w:sz="0" w:space="0" w:color="auto"/>
        <w:right w:val="none" w:sz="0" w:space="0" w:color="auto"/>
      </w:divBdr>
    </w:div>
    <w:div w:id="879708544">
      <w:bodyDiv w:val="1"/>
      <w:marLeft w:val="0"/>
      <w:marRight w:val="0"/>
      <w:marTop w:val="0"/>
      <w:marBottom w:val="0"/>
      <w:divBdr>
        <w:top w:val="none" w:sz="0" w:space="0" w:color="auto"/>
        <w:left w:val="none" w:sz="0" w:space="0" w:color="auto"/>
        <w:bottom w:val="none" w:sz="0" w:space="0" w:color="auto"/>
        <w:right w:val="none" w:sz="0" w:space="0" w:color="auto"/>
      </w:divBdr>
    </w:div>
    <w:div w:id="880940407">
      <w:bodyDiv w:val="1"/>
      <w:marLeft w:val="0"/>
      <w:marRight w:val="0"/>
      <w:marTop w:val="0"/>
      <w:marBottom w:val="0"/>
      <w:divBdr>
        <w:top w:val="none" w:sz="0" w:space="0" w:color="auto"/>
        <w:left w:val="none" w:sz="0" w:space="0" w:color="auto"/>
        <w:bottom w:val="none" w:sz="0" w:space="0" w:color="auto"/>
        <w:right w:val="none" w:sz="0" w:space="0" w:color="auto"/>
      </w:divBdr>
    </w:div>
    <w:div w:id="905408831">
      <w:bodyDiv w:val="1"/>
      <w:marLeft w:val="0"/>
      <w:marRight w:val="0"/>
      <w:marTop w:val="0"/>
      <w:marBottom w:val="0"/>
      <w:divBdr>
        <w:top w:val="none" w:sz="0" w:space="0" w:color="auto"/>
        <w:left w:val="none" w:sz="0" w:space="0" w:color="auto"/>
        <w:bottom w:val="none" w:sz="0" w:space="0" w:color="auto"/>
        <w:right w:val="none" w:sz="0" w:space="0" w:color="auto"/>
      </w:divBdr>
    </w:div>
    <w:div w:id="916865396">
      <w:bodyDiv w:val="1"/>
      <w:marLeft w:val="0"/>
      <w:marRight w:val="0"/>
      <w:marTop w:val="0"/>
      <w:marBottom w:val="0"/>
      <w:divBdr>
        <w:top w:val="none" w:sz="0" w:space="0" w:color="auto"/>
        <w:left w:val="none" w:sz="0" w:space="0" w:color="auto"/>
        <w:bottom w:val="none" w:sz="0" w:space="0" w:color="auto"/>
        <w:right w:val="none" w:sz="0" w:space="0" w:color="auto"/>
      </w:divBdr>
    </w:div>
    <w:div w:id="930626675">
      <w:bodyDiv w:val="1"/>
      <w:marLeft w:val="0"/>
      <w:marRight w:val="0"/>
      <w:marTop w:val="0"/>
      <w:marBottom w:val="0"/>
      <w:divBdr>
        <w:top w:val="none" w:sz="0" w:space="0" w:color="auto"/>
        <w:left w:val="none" w:sz="0" w:space="0" w:color="auto"/>
        <w:bottom w:val="none" w:sz="0" w:space="0" w:color="auto"/>
        <w:right w:val="none" w:sz="0" w:space="0" w:color="auto"/>
      </w:divBdr>
    </w:div>
    <w:div w:id="971986898">
      <w:bodyDiv w:val="1"/>
      <w:marLeft w:val="0"/>
      <w:marRight w:val="0"/>
      <w:marTop w:val="0"/>
      <w:marBottom w:val="0"/>
      <w:divBdr>
        <w:top w:val="none" w:sz="0" w:space="0" w:color="auto"/>
        <w:left w:val="none" w:sz="0" w:space="0" w:color="auto"/>
        <w:bottom w:val="none" w:sz="0" w:space="0" w:color="auto"/>
        <w:right w:val="none" w:sz="0" w:space="0" w:color="auto"/>
      </w:divBdr>
    </w:div>
    <w:div w:id="1012993999">
      <w:bodyDiv w:val="1"/>
      <w:marLeft w:val="0"/>
      <w:marRight w:val="0"/>
      <w:marTop w:val="0"/>
      <w:marBottom w:val="0"/>
      <w:divBdr>
        <w:top w:val="none" w:sz="0" w:space="0" w:color="auto"/>
        <w:left w:val="none" w:sz="0" w:space="0" w:color="auto"/>
        <w:bottom w:val="none" w:sz="0" w:space="0" w:color="auto"/>
        <w:right w:val="none" w:sz="0" w:space="0" w:color="auto"/>
      </w:divBdr>
    </w:div>
    <w:div w:id="1038238873">
      <w:bodyDiv w:val="1"/>
      <w:marLeft w:val="0"/>
      <w:marRight w:val="0"/>
      <w:marTop w:val="0"/>
      <w:marBottom w:val="0"/>
      <w:divBdr>
        <w:top w:val="none" w:sz="0" w:space="0" w:color="auto"/>
        <w:left w:val="none" w:sz="0" w:space="0" w:color="auto"/>
        <w:bottom w:val="none" w:sz="0" w:space="0" w:color="auto"/>
        <w:right w:val="none" w:sz="0" w:space="0" w:color="auto"/>
      </w:divBdr>
    </w:div>
    <w:div w:id="1061438822">
      <w:bodyDiv w:val="1"/>
      <w:marLeft w:val="0"/>
      <w:marRight w:val="0"/>
      <w:marTop w:val="0"/>
      <w:marBottom w:val="0"/>
      <w:divBdr>
        <w:top w:val="none" w:sz="0" w:space="0" w:color="auto"/>
        <w:left w:val="none" w:sz="0" w:space="0" w:color="auto"/>
        <w:bottom w:val="none" w:sz="0" w:space="0" w:color="auto"/>
        <w:right w:val="none" w:sz="0" w:space="0" w:color="auto"/>
      </w:divBdr>
    </w:div>
    <w:div w:id="1072044892">
      <w:bodyDiv w:val="1"/>
      <w:marLeft w:val="0"/>
      <w:marRight w:val="0"/>
      <w:marTop w:val="0"/>
      <w:marBottom w:val="0"/>
      <w:divBdr>
        <w:top w:val="none" w:sz="0" w:space="0" w:color="auto"/>
        <w:left w:val="none" w:sz="0" w:space="0" w:color="auto"/>
        <w:bottom w:val="none" w:sz="0" w:space="0" w:color="auto"/>
        <w:right w:val="none" w:sz="0" w:space="0" w:color="auto"/>
      </w:divBdr>
    </w:div>
    <w:div w:id="1099838193">
      <w:bodyDiv w:val="1"/>
      <w:marLeft w:val="0"/>
      <w:marRight w:val="0"/>
      <w:marTop w:val="0"/>
      <w:marBottom w:val="0"/>
      <w:divBdr>
        <w:top w:val="none" w:sz="0" w:space="0" w:color="auto"/>
        <w:left w:val="none" w:sz="0" w:space="0" w:color="auto"/>
        <w:bottom w:val="none" w:sz="0" w:space="0" w:color="auto"/>
        <w:right w:val="none" w:sz="0" w:space="0" w:color="auto"/>
      </w:divBdr>
    </w:div>
    <w:div w:id="1281455687">
      <w:bodyDiv w:val="1"/>
      <w:marLeft w:val="0"/>
      <w:marRight w:val="0"/>
      <w:marTop w:val="0"/>
      <w:marBottom w:val="0"/>
      <w:divBdr>
        <w:top w:val="none" w:sz="0" w:space="0" w:color="auto"/>
        <w:left w:val="none" w:sz="0" w:space="0" w:color="auto"/>
        <w:bottom w:val="none" w:sz="0" w:space="0" w:color="auto"/>
        <w:right w:val="none" w:sz="0" w:space="0" w:color="auto"/>
      </w:divBdr>
    </w:div>
    <w:div w:id="1295601986">
      <w:bodyDiv w:val="1"/>
      <w:marLeft w:val="0"/>
      <w:marRight w:val="0"/>
      <w:marTop w:val="0"/>
      <w:marBottom w:val="0"/>
      <w:divBdr>
        <w:top w:val="none" w:sz="0" w:space="0" w:color="auto"/>
        <w:left w:val="none" w:sz="0" w:space="0" w:color="auto"/>
        <w:bottom w:val="none" w:sz="0" w:space="0" w:color="auto"/>
        <w:right w:val="none" w:sz="0" w:space="0" w:color="auto"/>
      </w:divBdr>
    </w:div>
    <w:div w:id="1314719909">
      <w:bodyDiv w:val="1"/>
      <w:marLeft w:val="0"/>
      <w:marRight w:val="0"/>
      <w:marTop w:val="0"/>
      <w:marBottom w:val="0"/>
      <w:divBdr>
        <w:top w:val="none" w:sz="0" w:space="0" w:color="auto"/>
        <w:left w:val="none" w:sz="0" w:space="0" w:color="auto"/>
        <w:bottom w:val="none" w:sz="0" w:space="0" w:color="auto"/>
        <w:right w:val="none" w:sz="0" w:space="0" w:color="auto"/>
      </w:divBdr>
    </w:div>
    <w:div w:id="1412777946">
      <w:bodyDiv w:val="1"/>
      <w:marLeft w:val="0"/>
      <w:marRight w:val="0"/>
      <w:marTop w:val="0"/>
      <w:marBottom w:val="0"/>
      <w:divBdr>
        <w:top w:val="none" w:sz="0" w:space="0" w:color="auto"/>
        <w:left w:val="none" w:sz="0" w:space="0" w:color="auto"/>
        <w:bottom w:val="none" w:sz="0" w:space="0" w:color="auto"/>
        <w:right w:val="none" w:sz="0" w:space="0" w:color="auto"/>
      </w:divBdr>
    </w:div>
    <w:div w:id="1425998515">
      <w:bodyDiv w:val="1"/>
      <w:marLeft w:val="0"/>
      <w:marRight w:val="0"/>
      <w:marTop w:val="0"/>
      <w:marBottom w:val="0"/>
      <w:divBdr>
        <w:top w:val="none" w:sz="0" w:space="0" w:color="auto"/>
        <w:left w:val="none" w:sz="0" w:space="0" w:color="auto"/>
        <w:bottom w:val="none" w:sz="0" w:space="0" w:color="auto"/>
        <w:right w:val="none" w:sz="0" w:space="0" w:color="auto"/>
      </w:divBdr>
    </w:div>
    <w:div w:id="1429305385">
      <w:bodyDiv w:val="1"/>
      <w:marLeft w:val="0"/>
      <w:marRight w:val="0"/>
      <w:marTop w:val="0"/>
      <w:marBottom w:val="0"/>
      <w:divBdr>
        <w:top w:val="none" w:sz="0" w:space="0" w:color="auto"/>
        <w:left w:val="none" w:sz="0" w:space="0" w:color="auto"/>
        <w:bottom w:val="none" w:sz="0" w:space="0" w:color="auto"/>
        <w:right w:val="none" w:sz="0" w:space="0" w:color="auto"/>
      </w:divBdr>
    </w:div>
    <w:div w:id="1447777683">
      <w:bodyDiv w:val="1"/>
      <w:marLeft w:val="0"/>
      <w:marRight w:val="0"/>
      <w:marTop w:val="0"/>
      <w:marBottom w:val="0"/>
      <w:divBdr>
        <w:top w:val="none" w:sz="0" w:space="0" w:color="auto"/>
        <w:left w:val="none" w:sz="0" w:space="0" w:color="auto"/>
        <w:bottom w:val="none" w:sz="0" w:space="0" w:color="auto"/>
        <w:right w:val="none" w:sz="0" w:space="0" w:color="auto"/>
      </w:divBdr>
    </w:div>
    <w:div w:id="1484471207">
      <w:bodyDiv w:val="1"/>
      <w:marLeft w:val="0"/>
      <w:marRight w:val="0"/>
      <w:marTop w:val="0"/>
      <w:marBottom w:val="0"/>
      <w:divBdr>
        <w:top w:val="none" w:sz="0" w:space="0" w:color="auto"/>
        <w:left w:val="none" w:sz="0" w:space="0" w:color="auto"/>
        <w:bottom w:val="none" w:sz="0" w:space="0" w:color="auto"/>
        <w:right w:val="none" w:sz="0" w:space="0" w:color="auto"/>
      </w:divBdr>
    </w:div>
    <w:div w:id="1521964502">
      <w:bodyDiv w:val="1"/>
      <w:marLeft w:val="0"/>
      <w:marRight w:val="0"/>
      <w:marTop w:val="0"/>
      <w:marBottom w:val="0"/>
      <w:divBdr>
        <w:top w:val="none" w:sz="0" w:space="0" w:color="auto"/>
        <w:left w:val="none" w:sz="0" w:space="0" w:color="auto"/>
        <w:bottom w:val="none" w:sz="0" w:space="0" w:color="auto"/>
        <w:right w:val="none" w:sz="0" w:space="0" w:color="auto"/>
      </w:divBdr>
    </w:div>
    <w:div w:id="1526480733">
      <w:bodyDiv w:val="1"/>
      <w:marLeft w:val="0"/>
      <w:marRight w:val="0"/>
      <w:marTop w:val="0"/>
      <w:marBottom w:val="0"/>
      <w:divBdr>
        <w:top w:val="none" w:sz="0" w:space="0" w:color="auto"/>
        <w:left w:val="none" w:sz="0" w:space="0" w:color="auto"/>
        <w:bottom w:val="none" w:sz="0" w:space="0" w:color="auto"/>
        <w:right w:val="none" w:sz="0" w:space="0" w:color="auto"/>
      </w:divBdr>
    </w:div>
    <w:div w:id="1550647873">
      <w:bodyDiv w:val="1"/>
      <w:marLeft w:val="0"/>
      <w:marRight w:val="0"/>
      <w:marTop w:val="0"/>
      <w:marBottom w:val="0"/>
      <w:divBdr>
        <w:top w:val="none" w:sz="0" w:space="0" w:color="auto"/>
        <w:left w:val="none" w:sz="0" w:space="0" w:color="auto"/>
        <w:bottom w:val="none" w:sz="0" w:space="0" w:color="auto"/>
        <w:right w:val="none" w:sz="0" w:space="0" w:color="auto"/>
      </w:divBdr>
    </w:div>
    <w:div w:id="1577978732">
      <w:bodyDiv w:val="1"/>
      <w:marLeft w:val="0"/>
      <w:marRight w:val="0"/>
      <w:marTop w:val="0"/>
      <w:marBottom w:val="0"/>
      <w:divBdr>
        <w:top w:val="none" w:sz="0" w:space="0" w:color="auto"/>
        <w:left w:val="none" w:sz="0" w:space="0" w:color="auto"/>
        <w:bottom w:val="none" w:sz="0" w:space="0" w:color="auto"/>
        <w:right w:val="none" w:sz="0" w:space="0" w:color="auto"/>
      </w:divBdr>
    </w:div>
    <w:div w:id="1584220692">
      <w:bodyDiv w:val="1"/>
      <w:marLeft w:val="0"/>
      <w:marRight w:val="0"/>
      <w:marTop w:val="0"/>
      <w:marBottom w:val="0"/>
      <w:divBdr>
        <w:top w:val="none" w:sz="0" w:space="0" w:color="auto"/>
        <w:left w:val="none" w:sz="0" w:space="0" w:color="auto"/>
        <w:bottom w:val="none" w:sz="0" w:space="0" w:color="auto"/>
        <w:right w:val="none" w:sz="0" w:space="0" w:color="auto"/>
      </w:divBdr>
    </w:div>
    <w:div w:id="1610820672">
      <w:bodyDiv w:val="1"/>
      <w:marLeft w:val="0"/>
      <w:marRight w:val="0"/>
      <w:marTop w:val="0"/>
      <w:marBottom w:val="0"/>
      <w:divBdr>
        <w:top w:val="none" w:sz="0" w:space="0" w:color="auto"/>
        <w:left w:val="none" w:sz="0" w:space="0" w:color="auto"/>
        <w:bottom w:val="none" w:sz="0" w:space="0" w:color="auto"/>
        <w:right w:val="none" w:sz="0" w:space="0" w:color="auto"/>
      </w:divBdr>
    </w:div>
    <w:div w:id="1618222392">
      <w:bodyDiv w:val="1"/>
      <w:marLeft w:val="0"/>
      <w:marRight w:val="0"/>
      <w:marTop w:val="0"/>
      <w:marBottom w:val="0"/>
      <w:divBdr>
        <w:top w:val="none" w:sz="0" w:space="0" w:color="auto"/>
        <w:left w:val="none" w:sz="0" w:space="0" w:color="auto"/>
        <w:bottom w:val="none" w:sz="0" w:space="0" w:color="auto"/>
        <w:right w:val="none" w:sz="0" w:space="0" w:color="auto"/>
      </w:divBdr>
    </w:div>
    <w:div w:id="1627151511">
      <w:bodyDiv w:val="1"/>
      <w:marLeft w:val="0"/>
      <w:marRight w:val="0"/>
      <w:marTop w:val="0"/>
      <w:marBottom w:val="0"/>
      <w:divBdr>
        <w:top w:val="none" w:sz="0" w:space="0" w:color="auto"/>
        <w:left w:val="none" w:sz="0" w:space="0" w:color="auto"/>
        <w:bottom w:val="none" w:sz="0" w:space="0" w:color="auto"/>
        <w:right w:val="none" w:sz="0" w:space="0" w:color="auto"/>
      </w:divBdr>
    </w:div>
    <w:div w:id="1672483206">
      <w:bodyDiv w:val="1"/>
      <w:marLeft w:val="0"/>
      <w:marRight w:val="0"/>
      <w:marTop w:val="0"/>
      <w:marBottom w:val="0"/>
      <w:divBdr>
        <w:top w:val="none" w:sz="0" w:space="0" w:color="auto"/>
        <w:left w:val="none" w:sz="0" w:space="0" w:color="auto"/>
        <w:bottom w:val="none" w:sz="0" w:space="0" w:color="auto"/>
        <w:right w:val="none" w:sz="0" w:space="0" w:color="auto"/>
      </w:divBdr>
    </w:div>
    <w:div w:id="1688482346">
      <w:bodyDiv w:val="1"/>
      <w:marLeft w:val="0"/>
      <w:marRight w:val="0"/>
      <w:marTop w:val="0"/>
      <w:marBottom w:val="0"/>
      <w:divBdr>
        <w:top w:val="none" w:sz="0" w:space="0" w:color="auto"/>
        <w:left w:val="none" w:sz="0" w:space="0" w:color="auto"/>
        <w:bottom w:val="none" w:sz="0" w:space="0" w:color="auto"/>
        <w:right w:val="none" w:sz="0" w:space="0" w:color="auto"/>
      </w:divBdr>
    </w:div>
    <w:div w:id="1706830916">
      <w:bodyDiv w:val="1"/>
      <w:marLeft w:val="0"/>
      <w:marRight w:val="0"/>
      <w:marTop w:val="0"/>
      <w:marBottom w:val="0"/>
      <w:divBdr>
        <w:top w:val="none" w:sz="0" w:space="0" w:color="auto"/>
        <w:left w:val="none" w:sz="0" w:space="0" w:color="auto"/>
        <w:bottom w:val="none" w:sz="0" w:space="0" w:color="auto"/>
        <w:right w:val="none" w:sz="0" w:space="0" w:color="auto"/>
      </w:divBdr>
    </w:div>
    <w:div w:id="1719816010">
      <w:bodyDiv w:val="1"/>
      <w:marLeft w:val="0"/>
      <w:marRight w:val="0"/>
      <w:marTop w:val="0"/>
      <w:marBottom w:val="0"/>
      <w:divBdr>
        <w:top w:val="none" w:sz="0" w:space="0" w:color="auto"/>
        <w:left w:val="none" w:sz="0" w:space="0" w:color="auto"/>
        <w:bottom w:val="none" w:sz="0" w:space="0" w:color="auto"/>
        <w:right w:val="none" w:sz="0" w:space="0" w:color="auto"/>
      </w:divBdr>
    </w:div>
    <w:div w:id="1767113146">
      <w:bodyDiv w:val="1"/>
      <w:marLeft w:val="0"/>
      <w:marRight w:val="0"/>
      <w:marTop w:val="0"/>
      <w:marBottom w:val="0"/>
      <w:divBdr>
        <w:top w:val="none" w:sz="0" w:space="0" w:color="auto"/>
        <w:left w:val="none" w:sz="0" w:space="0" w:color="auto"/>
        <w:bottom w:val="none" w:sz="0" w:space="0" w:color="auto"/>
        <w:right w:val="none" w:sz="0" w:space="0" w:color="auto"/>
      </w:divBdr>
    </w:div>
    <w:div w:id="1773551919">
      <w:bodyDiv w:val="1"/>
      <w:marLeft w:val="0"/>
      <w:marRight w:val="0"/>
      <w:marTop w:val="0"/>
      <w:marBottom w:val="0"/>
      <w:divBdr>
        <w:top w:val="none" w:sz="0" w:space="0" w:color="auto"/>
        <w:left w:val="none" w:sz="0" w:space="0" w:color="auto"/>
        <w:bottom w:val="none" w:sz="0" w:space="0" w:color="auto"/>
        <w:right w:val="none" w:sz="0" w:space="0" w:color="auto"/>
      </w:divBdr>
    </w:div>
    <w:div w:id="1797529091">
      <w:bodyDiv w:val="1"/>
      <w:marLeft w:val="0"/>
      <w:marRight w:val="0"/>
      <w:marTop w:val="0"/>
      <w:marBottom w:val="0"/>
      <w:divBdr>
        <w:top w:val="none" w:sz="0" w:space="0" w:color="auto"/>
        <w:left w:val="none" w:sz="0" w:space="0" w:color="auto"/>
        <w:bottom w:val="none" w:sz="0" w:space="0" w:color="auto"/>
        <w:right w:val="none" w:sz="0" w:space="0" w:color="auto"/>
      </w:divBdr>
    </w:div>
    <w:div w:id="1835146436">
      <w:bodyDiv w:val="1"/>
      <w:marLeft w:val="0"/>
      <w:marRight w:val="0"/>
      <w:marTop w:val="0"/>
      <w:marBottom w:val="0"/>
      <w:divBdr>
        <w:top w:val="none" w:sz="0" w:space="0" w:color="auto"/>
        <w:left w:val="none" w:sz="0" w:space="0" w:color="auto"/>
        <w:bottom w:val="none" w:sz="0" w:space="0" w:color="auto"/>
        <w:right w:val="none" w:sz="0" w:space="0" w:color="auto"/>
      </w:divBdr>
    </w:div>
    <w:div w:id="1919706536">
      <w:bodyDiv w:val="1"/>
      <w:marLeft w:val="0"/>
      <w:marRight w:val="0"/>
      <w:marTop w:val="0"/>
      <w:marBottom w:val="0"/>
      <w:divBdr>
        <w:top w:val="none" w:sz="0" w:space="0" w:color="auto"/>
        <w:left w:val="none" w:sz="0" w:space="0" w:color="auto"/>
        <w:bottom w:val="none" w:sz="0" w:space="0" w:color="auto"/>
        <w:right w:val="none" w:sz="0" w:space="0" w:color="auto"/>
      </w:divBdr>
    </w:div>
    <w:div w:id="1949699936">
      <w:bodyDiv w:val="1"/>
      <w:marLeft w:val="0"/>
      <w:marRight w:val="0"/>
      <w:marTop w:val="0"/>
      <w:marBottom w:val="0"/>
      <w:divBdr>
        <w:top w:val="none" w:sz="0" w:space="0" w:color="auto"/>
        <w:left w:val="none" w:sz="0" w:space="0" w:color="auto"/>
        <w:bottom w:val="none" w:sz="0" w:space="0" w:color="auto"/>
        <w:right w:val="none" w:sz="0" w:space="0" w:color="auto"/>
      </w:divBdr>
    </w:div>
    <w:div w:id="1968198523">
      <w:bodyDiv w:val="1"/>
      <w:marLeft w:val="0"/>
      <w:marRight w:val="0"/>
      <w:marTop w:val="0"/>
      <w:marBottom w:val="0"/>
      <w:divBdr>
        <w:top w:val="none" w:sz="0" w:space="0" w:color="auto"/>
        <w:left w:val="none" w:sz="0" w:space="0" w:color="auto"/>
        <w:bottom w:val="none" w:sz="0" w:space="0" w:color="auto"/>
        <w:right w:val="none" w:sz="0" w:space="0" w:color="auto"/>
      </w:divBdr>
    </w:div>
    <w:div w:id="1973291527">
      <w:bodyDiv w:val="1"/>
      <w:marLeft w:val="0"/>
      <w:marRight w:val="0"/>
      <w:marTop w:val="0"/>
      <w:marBottom w:val="0"/>
      <w:divBdr>
        <w:top w:val="none" w:sz="0" w:space="0" w:color="auto"/>
        <w:left w:val="none" w:sz="0" w:space="0" w:color="auto"/>
        <w:bottom w:val="none" w:sz="0" w:space="0" w:color="auto"/>
        <w:right w:val="none" w:sz="0" w:space="0" w:color="auto"/>
      </w:divBdr>
    </w:div>
    <w:div w:id="2019192936">
      <w:bodyDiv w:val="1"/>
      <w:marLeft w:val="0"/>
      <w:marRight w:val="0"/>
      <w:marTop w:val="0"/>
      <w:marBottom w:val="0"/>
      <w:divBdr>
        <w:top w:val="none" w:sz="0" w:space="0" w:color="auto"/>
        <w:left w:val="none" w:sz="0" w:space="0" w:color="auto"/>
        <w:bottom w:val="none" w:sz="0" w:space="0" w:color="auto"/>
        <w:right w:val="none" w:sz="0" w:space="0" w:color="auto"/>
      </w:divBdr>
    </w:div>
    <w:div w:id="205777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8BD81-10EE-4506-9BD6-7F254D6F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18675</Words>
  <Characters>102714</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2018-06-01T18:35:00Z</dcterms:created>
  <dcterms:modified xsi:type="dcterms:W3CDTF">2018-06-08T16:01:00Z</dcterms:modified>
</cp:coreProperties>
</file>