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08E01" w14:textId="77777777" w:rsidR="00932F71" w:rsidRPr="005B2638" w:rsidRDefault="00804DC3" w:rsidP="00907F25">
      <w:pPr>
        <w:pStyle w:val="Ttulo1"/>
        <w:keepNext w:val="0"/>
        <w:keepLines w:val="0"/>
        <w:spacing w:before="0" w:after="240" w:line="360" w:lineRule="auto"/>
        <w:ind w:right="4869"/>
        <w:jc w:val="both"/>
        <w:rPr>
          <w:rFonts w:ascii="ITC Avant Garde" w:hAnsi="ITC Avant Garde"/>
          <w:b/>
          <w:bCs/>
          <w:color w:val="auto"/>
          <w:kern w:val="36"/>
          <w:sz w:val="22"/>
          <w:szCs w:val="48"/>
          <w:lang w:eastAsia="es-MX"/>
        </w:rPr>
      </w:pPr>
      <w:r w:rsidRPr="005B2638">
        <w:rPr>
          <w:rFonts w:ascii="ITC Avant Garde" w:hAnsi="ITC Avant Garde"/>
          <w:b/>
          <w:bCs/>
          <w:color w:val="auto"/>
          <w:kern w:val="36"/>
          <w:sz w:val="22"/>
          <w:szCs w:val="48"/>
          <w:lang w:eastAsia="es-MX"/>
        </w:rPr>
        <w:t>MEGA CABLE</w:t>
      </w:r>
      <w:r w:rsidR="00932F71" w:rsidRPr="005B2638">
        <w:rPr>
          <w:rFonts w:ascii="ITC Avant Garde" w:hAnsi="ITC Avant Garde"/>
          <w:b/>
          <w:bCs/>
          <w:color w:val="auto"/>
          <w:kern w:val="36"/>
          <w:sz w:val="22"/>
          <w:szCs w:val="48"/>
          <w:lang w:eastAsia="es-MX"/>
        </w:rPr>
        <w:t xml:space="preserve">, S.A. DE C.V. </w:t>
      </w:r>
    </w:p>
    <w:p w14:paraId="5695A0D2" w14:textId="77777777" w:rsidR="00E2222D" w:rsidRPr="001E0C4E" w:rsidRDefault="00932F71" w:rsidP="001E0C4E">
      <w:pPr>
        <w:spacing w:after="240"/>
        <w:ind w:right="4394"/>
        <w:jc w:val="both"/>
        <w:rPr>
          <w:rFonts w:ascii="ITC Avant Garde" w:eastAsia="Times New Roman" w:hAnsi="ITC Avant Garde"/>
          <w:bCs/>
          <w:color w:val="000000"/>
          <w:lang w:eastAsia="es-MX"/>
        </w:rPr>
      </w:pPr>
      <w:r w:rsidRPr="001E0C4E">
        <w:rPr>
          <w:rFonts w:ascii="ITC Avant Garde" w:eastAsia="Times New Roman" w:hAnsi="ITC Avant Garde"/>
          <w:bCs/>
          <w:color w:val="000000"/>
          <w:lang w:eastAsia="es-MX"/>
        </w:rPr>
        <w:t xml:space="preserve">Boulevard de los Virreyes </w:t>
      </w:r>
      <w:r w:rsidR="00DF4D27" w:rsidRPr="001E0C4E">
        <w:rPr>
          <w:rFonts w:ascii="ITC Avant Garde" w:eastAsia="Times New Roman" w:hAnsi="ITC Avant Garde"/>
          <w:bCs/>
          <w:color w:val="000000"/>
          <w:lang w:eastAsia="es-MX"/>
        </w:rPr>
        <w:t xml:space="preserve">número </w:t>
      </w:r>
      <w:r w:rsidRPr="001E0C4E">
        <w:rPr>
          <w:rFonts w:ascii="ITC Avant Garde" w:eastAsia="Times New Roman" w:hAnsi="ITC Avant Garde"/>
          <w:bCs/>
          <w:color w:val="000000"/>
          <w:lang w:eastAsia="es-MX"/>
        </w:rPr>
        <w:t xml:space="preserve">145, </w:t>
      </w:r>
      <w:r w:rsidR="00DF4D27" w:rsidRPr="001E0C4E">
        <w:rPr>
          <w:rFonts w:ascii="ITC Avant Garde" w:eastAsia="Times New Roman" w:hAnsi="ITC Avant Garde"/>
          <w:bCs/>
          <w:color w:val="000000"/>
          <w:lang w:eastAsia="es-MX"/>
        </w:rPr>
        <w:t>t</w:t>
      </w:r>
      <w:r w:rsidRPr="001E0C4E">
        <w:rPr>
          <w:rFonts w:ascii="ITC Avant Garde" w:eastAsia="Times New Roman" w:hAnsi="ITC Avant Garde"/>
          <w:bCs/>
          <w:color w:val="000000"/>
          <w:lang w:eastAsia="es-MX"/>
        </w:rPr>
        <w:t>ercer piso, Colonia Lomas de Chapultepec, Miguel Hidalgo, Código Postal 11000, Ciudad de México.</w:t>
      </w:r>
    </w:p>
    <w:p w14:paraId="59E23BE6" w14:textId="77777777" w:rsidR="00E2222D" w:rsidRDefault="00E85899" w:rsidP="00907F25">
      <w:pPr>
        <w:spacing w:after="240" w:line="360" w:lineRule="auto"/>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 xml:space="preserve">Ciudad de </w:t>
      </w:r>
      <w:r w:rsidRPr="006A7614">
        <w:rPr>
          <w:rFonts w:ascii="ITC Avant Garde" w:eastAsia="Times New Roman" w:hAnsi="ITC Avant Garde"/>
          <w:b/>
          <w:bCs/>
          <w:color w:val="000000"/>
          <w:lang w:eastAsia="es-MX"/>
        </w:rPr>
        <w:t xml:space="preserve">México, a </w:t>
      </w:r>
      <w:r>
        <w:rPr>
          <w:rFonts w:ascii="ITC Avant Garde" w:eastAsia="Times New Roman" w:hAnsi="ITC Avant Garde"/>
          <w:b/>
          <w:bCs/>
          <w:color w:val="000000"/>
          <w:lang w:eastAsia="es-MX"/>
        </w:rPr>
        <w:t>nueve de mayo de dos mil dieciocho</w:t>
      </w:r>
      <w:r w:rsidRPr="006A7614">
        <w:rPr>
          <w:rFonts w:ascii="ITC Avant Garde" w:eastAsia="Times New Roman" w:hAnsi="ITC Avant Garde"/>
          <w:b/>
          <w:bCs/>
          <w:color w:val="000000"/>
          <w:lang w:eastAsia="es-MX"/>
        </w:rPr>
        <w:t>.</w:t>
      </w:r>
      <w:r w:rsidRPr="006A7614">
        <w:rPr>
          <w:rFonts w:ascii="ITC Avant Garde" w:eastAsia="Times New Roman" w:hAnsi="ITC Avant Garde"/>
          <w:bCs/>
          <w:color w:val="000000"/>
          <w:lang w:eastAsia="es-MX"/>
        </w:rPr>
        <w:t xml:space="preserve"> Visto para resolver el procedimiento administrativo de imposición de sanción relativo al expediente </w:t>
      </w:r>
      <w:r>
        <w:rPr>
          <w:rFonts w:ascii="ITC Avant Garde" w:eastAsia="Times New Roman" w:hAnsi="ITC Avant Garde"/>
          <w:bCs/>
          <w:color w:val="000000"/>
          <w:lang w:eastAsia="es-MX"/>
        </w:rPr>
        <w:br/>
      </w:r>
      <w:r w:rsidRPr="006A7614">
        <w:rPr>
          <w:rFonts w:ascii="ITC Avant Garde" w:eastAsia="Times New Roman" w:hAnsi="ITC Avant Garde"/>
          <w:b/>
          <w:bCs/>
          <w:color w:val="000000"/>
          <w:lang w:eastAsia="es-MX"/>
        </w:rPr>
        <w:t>E-IFT.UC.DG-SAN.</w:t>
      </w:r>
      <w:r>
        <w:rPr>
          <w:rFonts w:ascii="ITC Avant Garde" w:eastAsia="Times New Roman" w:hAnsi="ITC Avant Garde"/>
          <w:b/>
          <w:bCs/>
          <w:color w:val="000000"/>
          <w:lang w:eastAsia="es-MX"/>
        </w:rPr>
        <w:t>I</w:t>
      </w:r>
      <w:r w:rsidRPr="006A7614">
        <w:rPr>
          <w:rFonts w:ascii="ITC Avant Garde" w:eastAsia="Times New Roman" w:hAnsi="ITC Avant Garde"/>
          <w:b/>
          <w:bCs/>
          <w:color w:val="000000"/>
          <w:lang w:eastAsia="es-MX"/>
        </w:rPr>
        <w:t>I.0</w:t>
      </w:r>
      <w:r>
        <w:rPr>
          <w:rFonts w:ascii="ITC Avant Garde" w:eastAsia="Times New Roman" w:hAnsi="ITC Avant Garde"/>
          <w:b/>
          <w:bCs/>
          <w:color w:val="000000"/>
          <w:lang w:eastAsia="es-MX"/>
        </w:rPr>
        <w:t>030</w:t>
      </w:r>
      <w:r w:rsidRPr="006A7614">
        <w:rPr>
          <w:rFonts w:ascii="ITC Avant Garde" w:eastAsia="Times New Roman" w:hAnsi="ITC Avant Garde"/>
          <w:b/>
          <w:bCs/>
          <w:color w:val="000000"/>
          <w:lang w:eastAsia="es-MX"/>
        </w:rPr>
        <w:t>/201</w:t>
      </w:r>
      <w:r>
        <w:rPr>
          <w:rFonts w:ascii="ITC Avant Garde" w:eastAsia="Times New Roman" w:hAnsi="ITC Avant Garde"/>
          <w:b/>
          <w:bCs/>
          <w:color w:val="000000"/>
          <w:lang w:eastAsia="es-MX"/>
        </w:rPr>
        <w:t>6</w:t>
      </w:r>
      <w:bookmarkStart w:id="0" w:name="_GoBack"/>
      <w:bookmarkEnd w:id="0"/>
      <w:r w:rsidRPr="006A7614">
        <w:rPr>
          <w:rFonts w:ascii="ITC Avant Garde" w:eastAsia="Times New Roman" w:hAnsi="ITC Avant Garde"/>
          <w:bCs/>
          <w:color w:val="000000"/>
          <w:lang w:eastAsia="es-MX"/>
        </w:rPr>
        <w:t xml:space="preserve">, iniciado mediante acuerdo de </w:t>
      </w:r>
      <w:r>
        <w:rPr>
          <w:rFonts w:ascii="ITC Avant Garde" w:eastAsia="Times New Roman" w:hAnsi="ITC Avant Garde"/>
          <w:bCs/>
          <w:color w:val="000000"/>
          <w:lang w:eastAsia="es-MX"/>
        </w:rPr>
        <w:t>veintinueve de abril</w:t>
      </w:r>
      <w:r w:rsidRPr="00932F71">
        <w:rPr>
          <w:rFonts w:ascii="ITC Avant Garde" w:eastAsia="Times New Roman" w:hAnsi="ITC Avant Garde"/>
          <w:bCs/>
          <w:color w:val="000000"/>
          <w:lang w:eastAsia="es-MX"/>
        </w:rPr>
        <w:t xml:space="preserve"> de dos mil dieciséis</w:t>
      </w:r>
      <w:r>
        <w:rPr>
          <w:rFonts w:ascii="ITC Avant Garde" w:eastAsia="Times New Roman" w:hAnsi="ITC Avant Garde"/>
          <w:bCs/>
          <w:color w:val="000000"/>
          <w:lang w:eastAsia="es-MX"/>
        </w:rPr>
        <w:t xml:space="preserve"> y</w:t>
      </w:r>
      <w:r w:rsidRPr="006A7614">
        <w:rPr>
          <w:rFonts w:ascii="ITC Avant Garde" w:eastAsia="Times New Roman" w:hAnsi="ITC Avant Garde"/>
          <w:bCs/>
          <w:color w:val="000000"/>
          <w:lang w:eastAsia="es-MX"/>
        </w:rPr>
        <w:t xml:space="preserve"> notificado el </w:t>
      </w:r>
      <w:r>
        <w:rPr>
          <w:rFonts w:ascii="ITC Avant Garde" w:eastAsia="Times New Roman" w:hAnsi="ITC Avant Garde"/>
          <w:bCs/>
          <w:color w:val="000000"/>
          <w:lang w:eastAsia="es-MX"/>
        </w:rPr>
        <w:t>cuatro de mayo</w:t>
      </w:r>
      <w:r w:rsidRPr="006A7614">
        <w:rPr>
          <w:rFonts w:ascii="ITC Avant Garde" w:eastAsia="Times New Roman" w:hAnsi="ITC Avant Garde"/>
          <w:bCs/>
          <w:color w:val="000000"/>
          <w:lang w:eastAsia="es-MX"/>
        </w:rPr>
        <w:t xml:space="preserve"> de</w:t>
      </w:r>
      <w:r>
        <w:rPr>
          <w:rFonts w:ascii="ITC Avant Garde" w:eastAsia="Times New Roman" w:hAnsi="ITC Avant Garde"/>
          <w:bCs/>
          <w:color w:val="000000"/>
          <w:lang w:eastAsia="es-MX"/>
        </w:rPr>
        <w:t xml:space="preserve">l </w:t>
      </w:r>
      <w:r w:rsidR="00080518">
        <w:rPr>
          <w:rFonts w:ascii="ITC Avant Garde" w:eastAsia="Times New Roman" w:hAnsi="ITC Avant Garde"/>
          <w:bCs/>
          <w:color w:val="000000"/>
          <w:lang w:eastAsia="es-MX"/>
        </w:rPr>
        <w:t xml:space="preserve">mismo </w:t>
      </w:r>
      <w:r>
        <w:rPr>
          <w:rFonts w:ascii="ITC Avant Garde" w:eastAsia="Times New Roman" w:hAnsi="ITC Avant Garde"/>
          <w:bCs/>
          <w:color w:val="000000"/>
          <w:lang w:eastAsia="es-MX"/>
        </w:rPr>
        <w:t>año</w:t>
      </w:r>
      <w:r w:rsidRPr="006A7614">
        <w:rPr>
          <w:rFonts w:ascii="ITC Avant Garde" w:eastAsia="Times New Roman" w:hAnsi="ITC Avant Garde"/>
          <w:bCs/>
          <w:color w:val="000000"/>
          <w:lang w:eastAsia="es-MX"/>
        </w:rPr>
        <w:t>, por este Instituto Federal de Telecomunicaciones (</w:t>
      </w:r>
      <w:r>
        <w:rPr>
          <w:rFonts w:ascii="ITC Avant Garde" w:eastAsia="Times New Roman" w:hAnsi="ITC Avant Garde"/>
          <w:bCs/>
          <w:color w:val="000000"/>
          <w:lang w:eastAsia="es-MX"/>
        </w:rPr>
        <w:t xml:space="preserve">en adelante el </w:t>
      </w:r>
      <w:r w:rsidRPr="00FD591B">
        <w:rPr>
          <w:rFonts w:ascii="ITC Avant Garde" w:eastAsia="Times New Roman" w:hAnsi="ITC Avant Garde"/>
          <w:b/>
          <w:bCs/>
          <w:color w:val="000000"/>
          <w:lang w:eastAsia="es-MX"/>
        </w:rPr>
        <w:t>“IFT”</w:t>
      </w:r>
      <w:r>
        <w:rPr>
          <w:rFonts w:ascii="ITC Avant Garde" w:eastAsia="Times New Roman" w:hAnsi="ITC Avant Garde"/>
          <w:b/>
          <w:bCs/>
          <w:color w:val="000000"/>
          <w:lang w:eastAsia="es-MX"/>
        </w:rPr>
        <w:t xml:space="preserve"> </w:t>
      </w:r>
      <w:r w:rsidRPr="00FD591B">
        <w:rPr>
          <w:rFonts w:ascii="ITC Avant Garde" w:eastAsia="Times New Roman" w:hAnsi="ITC Avant Garde"/>
          <w:bCs/>
          <w:color w:val="000000"/>
          <w:lang w:eastAsia="es-MX"/>
        </w:rPr>
        <w:t>o</w:t>
      </w:r>
      <w:r>
        <w:rPr>
          <w:rFonts w:ascii="ITC Avant Garde" w:eastAsia="Times New Roman" w:hAnsi="ITC Avant Garde"/>
          <w:b/>
          <w:bCs/>
          <w:color w:val="000000"/>
          <w:lang w:eastAsia="es-MX"/>
        </w:rPr>
        <w:t xml:space="preserve"> “Instituto”</w:t>
      </w:r>
      <w:r w:rsidRPr="006A7614">
        <w:rPr>
          <w:rFonts w:ascii="ITC Avant Garde" w:eastAsia="Times New Roman" w:hAnsi="ITC Avant Garde"/>
          <w:bCs/>
          <w:color w:val="000000"/>
          <w:lang w:eastAsia="es-MX"/>
        </w:rPr>
        <w:t xml:space="preserve">), por conducto de la Unidad de Cumplimiento, en contra de </w:t>
      </w:r>
      <w:r>
        <w:rPr>
          <w:rFonts w:ascii="ITC Avant Garde" w:eastAsia="Times New Roman" w:hAnsi="ITC Avant Garde"/>
          <w:b/>
          <w:bCs/>
          <w:color w:val="000000"/>
          <w:lang w:eastAsia="es-MX"/>
        </w:rPr>
        <w:t>MEGA CABLE</w:t>
      </w:r>
      <w:r w:rsidRPr="006A7614">
        <w:rPr>
          <w:rFonts w:ascii="ITC Avant Garde" w:eastAsia="Times New Roman" w:hAnsi="ITC Avant Garde"/>
          <w:b/>
          <w:bCs/>
          <w:color w:val="000000"/>
          <w:lang w:eastAsia="es-MX"/>
        </w:rPr>
        <w:t>, S.A. DE C.V.</w:t>
      </w:r>
      <w:r w:rsidRPr="006A7614">
        <w:rPr>
          <w:rFonts w:ascii="ITC Avant Garde" w:eastAsia="Times New Roman" w:hAnsi="ITC Avant Garde"/>
          <w:bCs/>
          <w:color w:val="000000"/>
          <w:lang w:eastAsia="es-MX"/>
        </w:rPr>
        <w:t xml:space="preserve"> </w:t>
      </w:r>
      <w:r w:rsidRPr="000A103D">
        <w:rPr>
          <w:rFonts w:ascii="ITC Avant Garde" w:eastAsia="Times New Roman" w:hAnsi="ITC Avant Garde"/>
          <w:bCs/>
          <w:color w:val="000000"/>
          <w:lang w:eastAsia="es-MX"/>
        </w:rPr>
        <w:t>(</w:t>
      </w:r>
      <w:r w:rsidRPr="006A7614">
        <w:rPr>
          <w:rFonts w:ascii="ITC Avant Garde" w:eastAsia="Times New Roman" w:hAnsi="ITC Avant Garde"/>
          <w:bCs/>
          <w:color w:val="000000"/>
          <w:lang w:eastAsia="es-MX"/>
        </w:rPr>
        <w:t xml:space="preserve">en lo sucesivo </w:t>
      </w:r>
      <w:r>
        <w:rPr>
          <w:rFonts w:ascii="ITC Avant Garde" w:eastAsia="Times New Roman" w:hAnsi="ITC Avant Garde"/>
          <w:b/>
          <w:bCs/>
          <w:color w:val="000000"/>
          <w:lang w:eastAsia="es-MX"/>
        </w:rPr>
        <w:t>“MEGA CABLE”</w:t>
      </w:r>
      <w:r w:rsidRPr="00BE061A">
        <w:rPr>
          <w:rFonts w:ascii="ITC Avant Garde" w:eastAsia="Times New Roman" w:hAnsi="ITC Avant Garde"/>
          <w:b/>
          <w:bCs/>
          <w:color w:val="000000"/>
          <w:lang w:eastAsia="es-MX"/>
        </w:rPr>
        <w:t>),</w:t>
      </w:r>
      <w:r w:rsidRPr="006A7614">
        <w:rPr>
          <w:rFonts w:ascii="ITC Avant Garde" w:eastAsia="Times New Roman" w:hAnsi="ITC Avant Garde"/>
          <w:bCs/>
          <w:color w:val="000000"/>
          <w:lang w:eastAsia="es-MX"/>
        </w:rPr>
        <w:t xml:space="preserve"> por </w:t>
      </w:r>
      <w:r>
        <w:rPr>
          <w:rFonts w:ascii="ITC Avant Garde" w:eastAsia="Times New Roman" w:hAnsi="ITC Avant Garde"/>
          <w:bCs/>
          <w:color w:val="000000"/>
          <w:lang w:eastAsia="es-MX"/>
        </w:rPr>
        <w:t xml:space="preserve">el probable incumplimiento a lo dispuesto en el </w:t>
      </w:r>
      <w:r>
        <w:rPr>
          <w:rFonts w:ascii="ITC Avant Garde" w:hAnsi="ITC Avant Garde"/>
          <w:b/>
        </w:rPr>
        <w:t>a</w:t>
      </w:r>
      <w:r w:rsidRPr="00B52C53">
        <w:rPr>
          <w:rFonts w:ascii="ITC Avant Garde" w:hAnsi="ITC Avant Garde"/>
          <w:b/>
        </w:rPr>
        <w:t>rtículo 12</w:t>
      </w:r>
      <w:r>
        <w:rPr>
          <w:rFonts w:ascii="ITC Avant Garde" w:hAnsi="ITC Avant Garde"/>
        </w:rPr>
        <w:t xml:space="preserve"> de los </w:t>
      </w:r>
      <w:r w:rsidRPr="000A2EDB">
        <w:rPr>
          <w:rFonts w:ascii="ITC Avant Garde" w:hAnsi="ITC Avant Garde"/>
          <w:b/>
        </w:rPr>
        <w:t>LINEAMIENTOS</w:t>
      </w:r>
      <w:r>
        <w:rPr>
          <w:rStyle w:val="Refdenotaalpie"/>
          <w:rFonts w:ascii="ITC Avant Garde" w:hAnsi="ITC Avant Garde"/>
          <w:b/>
        </w:rPr>
        <w:footnoteReference w:id="1"/>
      </w:r>
      <w:r w:rsidRPr="004913B9">
        <w:rPr>
          <w:rFonts w:ascii="ITC Avant Garde" w:hAnsi="ITC Avant Garde"/>
        </w:rPr>
        <w:t>,</w:t>
      </w:r>
      <w:r>
        <w:rPr>
          <w:rFonts w:ascii="ITC Avant Garde" w:hAnsi="ITC Avant Garde"/>
        </w:rPr>
        <w:t xml:space="preserve"> en relación con </w:t>
      </w:r>
      <w:r w:rsidRPr="000A2EDB">
        <w:rPr>
          <w:rFonts w:ascii="ITC Avant Garde" w:hAnsi="ITC Avant Garde"/>
        </w:rPr>
        <w:t xml:space="preserve">sus respectivas modificaciones contenidas en el </w:t>
      </w:r>
      <w:r w:rsidRPr="000A2EDB">
        <w:rPr>
          <w:rFonts w:ascii="ITC Avant Garde" w:hAnsi="ITC Avant Garde"/>
          <w:b/>
        </w:rPr>
        <w:t>ACUERDO MODIFICATORIO</w:t>
      </w:r>
      <w:r>
        <w:rPr>
          <w:rStyle w:val="Refdenotaalpie"/>
          <w:rFonts w:ascii="ITC Avant Garde" w:hAnsi="ITC Avant Garde"/>
          <w:b/>
        </w:rPr>
        <w:footnoteReference w:id="2"/>
      </w:r>
      <w:r w:rsidRPr="000A2EDB">
        <w:rPr>
          <w:rFonts w:ascii="ITC Avant Garde" w:hAnsi="ITC Avant Garde"/>
        </w:rPr>
        <w:t xml:space="preserve">; el </w:t>
      </w:r>
      <w:r w:rsidRPr="000A2EDB">
        <w:rPr>
          <w:rFonts w:ascii="ITC Avant Garde" w:hAnsi="ITC Avant Garde"/>
          <w:b/>
        </w:rPr>
        <w:t>LISTADO</w:t>
      </w:r>
      <w:r>
        <w:rPr>
          <w:rStyle w:val="Refdenotaalpie"/>
          <w:rFonts w:ascii="ITC Avant Garde" w:hAnsi="ITC Avant Garde"/>
          <w:b/>
        </w:rPr>
        <w:footnoteReference w:id="3"/>
      </w:r>
      <w:r w:rsidRPr="000A2EDB">
        <w:rPr>
          <w:rFonts w:ascii="ITC Avant Garde" w:hAnsi="ITC Avant Garde"/>
        </w:rPr>
        <w:t xml:space="preserve"> y sus correspondientes </w:t>
      </w:r>
      <w:r w:rsidRPr="000A2EDB">
        <w:rPr>
          <w:rFonts w:ascii="ITC Avant Garde" w:hAnsi="ITC Avant Garde"/>
          <w:b/>
        </w:rPr>
        <w:t>ACTUALIZACIONES</w:t>
      </w:r>
      <w:r>
        <w:rPr>
          <w:rStyle w:val="Refdenotaalpie"/>
          <w:rFonts w:ascii="ITC Avant Garde" w:hAnsi="ITC Avant Garde"/>
          <w:b/>
        </w:rPr>
        <w:footnoteReference w:id="4"/>
      </w:r>
      <w:r>
        <w:rPr>
          <w:rFonts w:ascii="ITC Avant Garde" w:hAnsi="ITC Avant Garde"/>
        </w:rPr>
        <w:t>,</w:t>
      </w:r>
      <w:r w:rsidRPr="000A2EDB">
        <w:rPr>
          <w:rFonts w:ascii="ITC Avant Garde" w:hAnsi="ITC Avant Garde"/>
        </w:rPr>
        <w:t xml:space="preserve"> </w:t>
      </w:r>
      <w:r w:rsidRPr="00EF2FD1">
        <w:rPr>
          <w:rFonts w:ascii="ITC Avant Garde" w:hAnsi="ITC Avant Garde"/>
        </w:rPr>
        <w:t xml:space="preserve">y en estricto cumplimiento a la ejecutoria de </w:t>
      </w:r>
      <w:r>
        <w:rPr>
          <w:rFonts w:ascii="ITC Avant Garde" w:hAnsi="ITC Avant Garde"/>
        </w:rPr>
        <w:t>veintisiete de marzo de dos mil dieciocho</w:t>
      </w:r>
      <w:r w:rsidRPr="00EF2FD1">
        <w:rPr>
          <w:rFonts w:ascii="ITC Avant Garde" w:hAnsi="ITC Avant Garde"/>
        </w:rPr>
        <w:t xml:space="preserve"> dictada por el </w:t>
      </w:r>
      <w:r>
        <w:rPr>
          <w:rFonts w:ascii="ITC Avant Garde" w:hAnsi="ITC Avant Garde"/>
        </w:rPr>
        <w:t>Primer</w:t>
      </w:r>
      <w:r w:rsidRPr="00EF2FD1">
        <w:rPr>
          <w:rFonts w:ascii="ITC Avant Garde" w:hAnsi="ITC Avant Garde"/>
        </w:rPr>
        <w:t xml:space="preserve"> Tribunal Colegiado de Circuito en Materia Administrativa Especializado en Competencia Económica, Radiodifusión y Telecomunicaciones (en adelante el “</w:t>
      </w:r>
      <w:r w:rsidRPr="0080799F">
        <w:rPr>
          <w:rFonts w:ascii="ITC Avant Garde" w:hAnsi="ITC Avant Garde"/>
          <w:b/>
        </w:rPr>
        <w:t>TRIBUNAL COLEGIADO</w:t>
      </w:r>
      <w:r w:rsidRPr="00EF2FD1">
        <w:rPr>
          <w:rFonts w:ascii="ITC Avant Garde" w:hAnsi="ITC Avant Garde"/>
        </w:rPr>
        <w:t xml:space="preserve">”) en el </w:t>
      </w:r>
      <w:r>
        <w:rPr>
          <w:rFonts w:ascii="ITC Avant Garde" w:hAnsi="ITC Avant Garde"/>
        </w:rPr>
        <w:t>amparo en revisión</w:t>
      </w:r>
      <w:r w:rsidRPr="0080799F">
        <w:rPr>
          <w:rFonts w:ascii="ITC Avant Garde" w:hAnsi="ITC Avant Garde"/>
          <w:b/>
        </w:rPr>
        <w:t xml:space="preserve"> </w:t>
      </w:r>
      <w:r>
        <w:rPr>
          <w:rFonts w:ascii="ITC Avant Garde" w:hAnsi="ITC Avant Garde"/>
          <w:b/>
        </w:rPr>
        <w:t>55</w:t>
      </w:r>
      <w:r w:rsidRPr="0080799F">
        <w:rPr>
          <w:rFonts w:ascii="ITC Avant Garde" w:hAnsi="ITC Avant Garde"/>
          <w:b/>
        </w:rPr>
        <w:t>/201</w:t>
      </w:r>
      <w:r>
        <w:rPr>
          <w:rFonts w:ascii="ITC Avant Garde" w:hAnsi="ITC Avant Garde"/>
          <w:b/>
        </w:rPr>
        <w:t>7,</w:t>
      </w:r>
      <w:r w:rsidRPr="00EF2FD1">
        <w:rPr>
          <w:rFonts w:ascii="ITC Avant Garde" w:hAnsi="ITC Avant Garde"/>
        </w:rPr>
        <w:t xml:space="preserve"> por la que </w:t>
      </w:r>
      <w:r>
        <w:rPr>
          <w:rFonts w:ascii="ITC Avant Garde" w:hAnsi="ITC Avant Garde"/>
        </w:rPr>
        <w:lastRenderedPageBreak/>
        <w:t>modificó</w:t>
      </w:r>
      <w:r w:rsidRPr="00EF2FD1">
        <w:rPr>
          <w:rFonts w:ascii="ITC Avant Garde" w:hAnsi="ITC Avant Garde"/>
        </w:rPr>
        <w:t xml:space="preserve"> la sentencia de </w:t>
      </w:r>
      <w:r>
        <w:rPr>
          <w:rFonts w:ascii="ITC Avant Garde" w:hAnsi="ITC Avant Garde"/>
        </w:rPr>
        <w:t>veintinueve de marzo de dos mil diecisiete</w:t>
      </w:r>
      <w:r w:rsidRPr="00EF2FD1">
        <w:rPr>
          <w:rFonts w:ascii="ITC Avant Garde" w:hAnsi="ITC Avant Garde"/>
        </w:rPr>
        <w:t xml:space="preserve"> emitida en los autos del juicio de amparo indirecto </w:t>
      </w:r>
      <w:r w:rsidRPr="0080799F">
        <w:rPr>
          <w:rFonts w:ascii="ITC Avant Garde" w:hAnsi="ITC Avant Garde"/>
          <w:b/>
        </w:rPr>
        <w:t>132/2016</w:t>
      </w:r>
      <w:r w:rsidRPr="00EF2FD1">
        <w:rPr>
          <w:rFonts w:ascii="ITC Avant Garde" w:hAnsi="ITC Avant Garde"/>
        </w:rPr>
        <w:t xml:space="preserve"> promovido por </w:t>
      </w:r>
      <w:r w:rsidRPr="0080799F">
        <w:rPr>
          <w:rFonts w:ascii="ITC Avant Garde" w:hAnsi="ITC Avant Garde"/>
          <w:b/>
        </w:rPr>
        <w:t>MEGA CABLE</w:t>
      </w:r>
      <w:r w:rsidRPr="00EF2FD1">
        <w:rPr>
          <w:rFonts w:ascii="ITC Avant Garde" w:hAnsi="ITC Avant Garde"/>
        </w:rPr>
        <w:t xml:space="preserve">, del índice del Juzgado </w:t>
      </w:r>
      <w:r>
        <w:rPr>
          <w:rFonts w:ascii="ITC Avant Garde" w:hAnsi="ITC Avant Garde"/>
        </w:rPr>
        <w:t>Primero</w:t>
      </w:r>
      <w:r w:rsidRPr="00EF2FD1">
        <w:rPr>
          <w:rFonts w:ascii="ITC Avant Garde" w:hAnsi="ITC Avant Garde"/>
        </w:rPr>
        <w:t xml:space="preserve"> de Distrito en Materia Administrativa Especializado en Competencia Económica, Radiodifusión y Telecomunicaciones (en adelante el “</w:t>
      </w:r>
      <w:r w:rsidRPr="0080799F">
        <w:rPr>
          <w:rFonts w:ascii="ITC Avant Garde" w:hAnsi="ITC Avant Garde"/>
          <w:b/>
        </w:rPr>
        <w:t>JUZGADO</w:t>
      </w:r>
      <w:r w:rsidRPr="00EF2FD1">
        <w:rPr>
          <w:rFonts w:ascii="ITC Avant Garde" w:hAnsi="ITC Avant Garde"/>
        </w:rPr>
        <w:t xml:space="preserve">”), </w:t>
      </w:r>
      <w:r w:rsidR="00080518">
        <w:rPr>
          <w:rFonts w:ascii="ITC Avant Garde" w:hAnsi="ITC Avant Garde"/>
        </w:rPr>
        <w:t>en la cual se</w:t>
      </w:r>
      <w:r w:rsidRPr="00EF2FD1">
        <w:rPr>
          <w:rFonts w:ascii="ITC Avant Garde" w:hAnsi="ITC Avant Garde"/>
        </w:rPr>
        <w:t xml:space="preserve"> </w:t>
      </w:r>
      <w:r w:rsidRPr="0080799F">
        <w:rPr>
          <w:rFonts w:ascii="ITC Avant Garde" w:hAnsi="ITC Avant Garde"/>
          <w:b/>
        </w:rPr>
        <w:t>CONCEDIÓ EL AMPARO</w:t>
      </w:r>
      <w:r w:rsidRPr="00EF2FD1">
        <w:rPr>
          <w:rFonts w:ascii="ITC Avant Garde" w:hAnsi="ITC Avant Garde"/>
        </w:rPr>
        <w:t xml:space="preserve"> a la quejosa</w:t>
      </w:r>
      <w:r w:rsidRPr="006A7614">
        <w:rPr>
          <w:rFonts w:ascii="ITC Avant Garde" w:eastAsia="Times New Roman" w:hAnsi="ITC Avant Garde"/>
          <w:bCs/>
          <w:color w:val="000000"/>
          <w:lang w:eastAsia="es-MX"/>
        </w:rPr>
        <w:t>. Al respecto, se emite la presente resolución de acuerdo a lo siguiente y</w:t>
      </w:r>
      <w:r w:rsidR="006A7614" w:rsidRPr="006A7614">
        <w:rPr>
          <w:rFonts w:ascii="ITC Avant Garde" w:eastAsia="Times New Roman" w:hAnsi="ITC Avant Garde"/>
          <w:bCs/>
          <w:color w:val="000000"/>
          <w:lang w:eastAsia="es-MX"/>
        </w:rPr>
        <w:t>:</w:t>
      </w:r>
    </w:p>
    <w:p w14:paraId="227E2674" w14:textId="5F5F7B3A" w:rsidR="00E2222D" w:rsidRPr="005B2638" w:rsidRDefault="006A7614" w:rsidP="00907F25">
      <w:pPr>
        <w:pStyle w:val="Ttulo2"/>
        <w:keepLines/>
        <w:spacing w:before="0" w:after="240" w:line="360" w:lineRule="auto"/>
        <w:jc w:val="center"/>
        <w:rPr>
          <w:rFonts w:ascii="ITC Avant Garde" w:eastAsiaTheme="majorEastAsia" w:hAnsi="ITC Avant Garde" w:cstheme="majorBidi"/>
          <w:bCs w:val="0"/>
          <w:i w:val="0"/>
          <w:iCs w:val="0"/>
          <w:color w:val="000000" w:themeColor="text1"/>
          <w:sz w:val="22"/>
          <w:szCs w:val="22"/>
        </w:rPr>
      </w:pPr>
      <w:r w:rsidRPr="005B2638">
        <w:rPr>
          <w:rFonts w:ascii="ITC Avant Garde" w:eastAsiaTheme="majorEastAsia" w:hAnsi="ITC Avant Garde" w:cstheme="majorBidi"/>
          <w:bCs w:val="0"/>
          <w:i w:val="0"/>
          <w:iCs w:val="0"/>
          <w:color w:val="000000" w:themeColor="text1"/>
          <w:sz w:val="22"/>
          <w:szCs w:val="22"/>
        </w:rPr>
        <w:t>RESULTANDO</w:t>
      </w:r>
    </w:p>
    <w:p w14:paraId="02321D8F" w14:textId="77777777" w:rsidR="00E2222D" w:rsidRDefault="00F97679" w:rsidP="00907F25">
      <w:pPr>
        <w:spacing w:after="240" w:line="360" w:lineRule="auto"/>
        <w:jc w:val="both"/>
        <w:rPr>
          <w:rFonts w:ascii="ITC Avant Garde" w:eastAsia="Times New Roman" w:hAnsi="ITC Avant Garde"/>
          <w:bCs/>
          <w:color w:val="000000"/>
          <w:lang w:eastAsia="es-MX"/>
        </w:rPr>
      </w:pPr>
      <w:r>
        <w:rPr>
          <w:rFonts w:ascii="ITC Avant Garde" w:hAnsi="ITC Avant Garde"/>
          <w:b/>
          <w:bCs/>
          <w:lang w:eastAsia="es-MX"/>
        </w:rPr>
        <w:t>PRIMERO.</w:t>
      </w:r>
      <w:r>
        <w:rPr>
          <w:rFonts w:ascii="ITC Avant Garde" w:hAnsi="ITC Avant Garde"/>
          <w:lang w:eastAsia="es-MX"/>
        </w:rPr>
        <w:t xml:space="preserve"> </w:t>
      </w:r>
      <w:r>
        <w:rPr>
          <w:rFonts w:ascii="ITC Avant Garde" w:hAnsi="ITC Avant Garde"/>
        </w:rPr>
        <w:t xml:space="preserve">El diecisiete de julio de dos mil ocho, el Gobierno Federal por conducto de la Secretaría de Comunicaciones y Transportes, otorgó a </w:t>
      </w:r>
      <w:r>
        <w:rPr>
          <w:rFonts w:ascii="ITC Avant Garde" w:hAnsi="ITC Avant Garde"/>
          <w:b/>
        </w:rPr>
        <w:t xml:space="preserve">MEGA CABLE, </w:t>
      </w:r>
      <w:r>
        <w:rPr>
          <w:rFonts w:ascii="ITC Avant Garde" w:hAnsi="ITC Avant Garde"/>
        </w:rPr>
        <w:t>una concesión para instalar, operar y explotar una red pública de telecomunicaciones, para prestar el servicio de televisión restringida en las poblaciones de Los Olvera, Venceremos, Candiles, San José de los Olvera, Municipio de Corregidora, Santiago de Querétaro, El Salitre, Tecolote el Bajo, San José el Alto, San Pedro Mártir, Santa María Magdalena, Juriquilla y Santa Rosa Jáuregui, Municipio de Querétaro, Estado de Querétaro</w:t>
      </w:r>
      <w:r>
        <w:rPr>
          <w:rFonts w:ascii="ITC Avant Garde" w:hAnsi="ITC Avant Garde"/>
          <w:lang w:eastAsia="es-MX"/>
        </w:rPr>
        <w:t>.</w:t>
      </w:r>
    </w:p>
    <w:p w14:paraId="636D064C" w14:textId="77777777" w:rsidR="00E2222D" w:rsidRDefault="00F97679" w:rsidP="00907F25">
      <w:pPr>
        <w:spacing w:after="240" w:line="360" w:lineRule="auto"/>
        <w:jc w:val="both"/>
        <w:rPr>
          <w:rFonts w:ascii="ITC Avant Garde" w:hAnsi="ITC Avant Garde" w:cs="Tahoma"/>
        </w:rPr>
      </w:pPr>
      <w:r>
        <w:rPr>
          <w:rFonts w:ascii="ITC Avant Garde" w:eastAsia="Times New Roman" w:hAnsi="ITC Avant Garde"/>
          <w:b/>
          <w:bCs/>
          <w:color w:val="000000"/>
          <w:lang w:eastAsia="es-MX"/>
        </w:rPr>
        <w:t>SEGUNDO</w:t>
      </w:r>
      <w:r w:rsidR="006A7614" w:rsidRPr="00A15A87">
        <w:rPr>
          <w:rFonts w:ascii="ITC Avant Garde" w:eastAsia="Times New Roman" w:hAnsi="ITC Avant Garde"/>
          <w:b/>
          <w:bCs/>
          <w:color w:val="000000"/>
          <w:lang w:eastAsia="es-MX"/>
        </w:rPr>
        <w:t>.</w:t>
      </w:r>
      <w:r w:rsidR="006A7614" w:rsidRPr="00A15A87">
        <w:rPr>
          <w:rFonts w:ascii="ITC Avant Garde" w:eastAsia="Times New Roman" w:hAnsi="ITC Avant Garde"/>
          <w:bCs/>
          <w:color w:val="000000"/>
          <w:lang w:eastAsia="es-MX"/>
        </w:rPr>
        <w:t xml:space="preserve"> </w:t>
      </w:r>
      <w:r w:rsidR="006A7614" w:rsidRPr="00B215CD">
        <w:rPr>
          <w:rFonts w:ascii="ITC Avant Garde" w:eastAsia="Times New Roman" w:hAnsi="ITC Avant Garde"/>
          <w:bCs/>
          <w:color w:val="000000"/>
          <w:lang w:eastAsia="es-MX"/>
        </w:rPr>
        <w:t>Mediante</w:t>
      </w:r>
      <w:r w:rsidR="00A15A87" w:rsidRPr="00B215CD">
        <w:rPr>
          <w:rFonts w:ascii="ITC Avant Garde" w:eastAsia="Times New Roman" w:hAnsi="ITC Avant Garde"/>
          <w:bCs/>
          <w:color w:val="000000"/>
          <w:lang w:eastAsia="es-MX"/>
        </w:rPr>
        <w:t xml:space="preserve"> oficio</w:t>
      </w:r>
      <w:r w:rsidR="006A7614" w:rsidRPr="00B215CD">
        <w:rPr>
          <w:rFonts w:ascii="ITC Avant Garde" w:eastAsia="Times New Roman" w:hAnsi="ITC Avant Garde"/>
          <w:bCs/>
          <w:color w:val="000000"/>
          <w:lang w:eastAsia="es-MX"/>
        </w:rPr>
        <w:t xml:space="preserve"> </w:t>
      </w:r>
      <w:r w:rsidR="00F14B09" w:rsidRPr="00B215CD">
        <w:rPr>
          <w:rFonts w:ascii="ITC Avant Garde" w:eastAsia="Times New Roman" w:hAnsi="ITC Avant Garde"/>
          <w:b/>
          <w:bCs/>
          <w:color w:val="000000"/>
          <w:lang w:eastAsia="es-MX"/>
        </w:rPr>
        <w:t>IFT/225/UC/DG-VER/</w:t>
      </w:r>
      <w:r w:rsidR="007D7C6E">
        <w:rPr>
          <w:rFonts w:ascii="ITC Avant Garde" w:eastAsia="Times New Roman" w:hAnsi="ITC Avant Garde"/>
          <w:b/>
          <w:bCs/>
          <w:color w:val="000000"/>
          <w:lang w:eastAsia="es-MX"/>
        </w:rPr>
        <w:t>5395</w:t>
      </w:r>
      <w:r w:rsidR="00F14B09" w:rsidRPr="00B215CD">
        <w:rPr>
          <w:rFonts w:ascii="ITC Avant Garde" w:eastAsia="Times New Roman" w:hAnsi="ITC Avant Garde"/>
          <w:b/>
          <w:bCs/>
          <w:color w:val="000000"/>
          <w:lang w:eastAsia="es-MX"/>
        </w:rPr>
        <w:t>/2015</w:t>
      </w:r>
      <w:r w:rsidR="00F14B09" w:rsidRPr="00B215CD">
        <w:rPr>
          <w:rFonts w:ascii="ITC Avant Garde" w:eastAsia="Times New Roman" w:hAnsi="ITC Avant Garde"/>
          <w:bCs/>
          <w:color w:val="000000"/>
          <w:lang w:eastAsia="es-MX"/>
        </w:rPr>
        <w:t xml:space="preserve"> de </w:t>
      </w:r>
      <w:r w:rsidR="007D7C6E">
        <w:rPr>
          <w:rFonts w:ascii="ITC Avant Garde" w:eastAsia="Times New Roman" w:hAnsi="ITC Avant Garde"/>
          <w:bCs/>
          <w:color w:val="000000"/>
          <w:lang w:eastAsia="es-MX"/>
        </w:rPr>
        <w:t>tres de diciembre</w:t>
      </w:r>
      <w:r w:rsidR="00F14B09" w:rsidRPr="00B215CD">
        <w:rPr>
          <w:rFonts w:ascii="ITC Avant Garde" w:eastAsia="Times New Roman" w:hAnsi="ITC Avant Garde"/>
          <w:bCs/>
          <w:color w:val="000000"/>
          <w:lang w:eastAsia="es-MX"/>
        </w:rPr>
        <w:t xml:space="preserve"> de dos mil quince</w:t>
      </w:r>
      <w:r w:rsidR="0010387C" w:rsidRPr="00B215CD">
        <w:rPr>
          <w:rFonts w:ascii="ITC Avant Garde" w:eastAsia="Times New Roman" w:hAnsi="ITC Avant Garde"/>
          <w:bCs/>
          <w:color w:val="000000"/>
          <w:lang w:eastAsia="es-MX"/>
        </w:rPr>
        <w:t>,</w:t>
      </w:r>
      <w:r w:rsidR="006A7614" w:rsidRPr="00A15A87">
        <w:rPr>
          <w:rFonts w:ascii="ITC Avant Garde" w:hAnsi="ITC Avant Garde"/>
        </w:rPr>
        <w:t xml:space="preserve"> </w:t>
      </w:r>
      <w:r w:rsidR="006A7614" w:rsidRPr="00B215CD">
        <w:rPr>
          <w:rFonts w:ascii="ITC Avant Garde" w:eastAsia="Times New Roman" w:hAnsi="ITC Avant Garde"/>
          <w:bCs/>
          <w:color w:val="000000"/>
          <w:lang w:eastAsia="es-MX"/>
        </w:rPr>
        <w:t>la Dirección General de Verificación</w:t>
      </w:r>
      <w:r w:rsidR="00BE061A">
        <w:rPr>
          <w:rFonts w:ascii="ITC Avant Garde" w:eastAsia="Times New Roman" w:hAnsi="ITC Avant Garde"/>
          <w:bCs/>
          <w:color w:val="000000"/>
          <w:lang w:eastAsia="es-MX"/>
        </w:rPr>
        <w:t xml:space="preserve"> (en lo sucesivo </w:t>
      </w:r>
      <w:r w:rsidR="00BE061A" w:rsidRPr="00BE061A">
        <w:rPr>
          <w:rFonts w:ascii="ITC Avant Garde" w:eastAsia="Times New Roman" w:hAnsi="ITC Avant Garde"/>
          <w:b/>
          <w:bCs/>
          <w:color w:val="000000"/>
          <w:lang w:eastAsia="es-MX"/>
        </w:rPr>
        <w:t>“DGV”)</w:t>
      </w:r>
      <w:r w:rsidR="006A7614" w:rsidRPr="00B215CD">
        <w:rPr>
          <w:rFonts w:ascii="ITC Avant Garde" w:eastAsia="Times New Roman" w:hAnsi="ITC Avant Garde"/>
          <w:bCs/>
          <w:color w:val="000000"/>
          <w:lang w:eastAsia="es-MX"/>
        </w:rPr>
        <w:t xml:space="preserve"> dependiente de la Unidad de Cumplimiento del </w:t>
      </w:r>
      <w:r w:rsidR="006A7614" w:rsidRPr="00A15A87">
        <w:rPr>
          <w:rFonts w:ascii="ITC Avant Garde" w:hAnsi="ITC Avant Garde" w:cs="Tahoma"/>
          <w:b/>
        </w:rPr>
        <w:t>IFT</w:t>
      </w:r>
      <w:r w:rsidR="006A7614" w:rsidRPr="00A15A87">
        <w:rPr>
          <w:rFonts w:ascii="ITC Avant Garde" w:hAnsi="ITC Avant Garde" w:cs="Tahoma"/>
        </w:rPr>
        <w:t xml:space="preserve">, ordenó la visita de inspección-verificación ordinaria </w:t>
      </w:r>
      <w:r w:rsidR="00F14B09" w:rsidRPr="00A15A87">
        <w:rPr>
          <w:rFonts w:ascii="ITC Avant Garde" w:hAnsi="ITC Avant Garde" w:cs="Arial"/>
          <w:b/>
        </w:rPr>
        <w:t>IFT/DF/DGV/</w:t>
      </w:r>
      <w:r w:rsidR="007D7C6E">
        <w:rPr>
          <w:rFonts w:ascii="ITC Avant Garde" w:hAnsi="ITC Avant Garde" w:cs="Arial"/>
          <w:b/>
        </w:rPr>
        <w:t>1299</w:t>
      </w:r>
      <w:r w:rsidR="00F14B09" w:rsidRPr="00A15A87">
        <w:rPr>
          <w:rFonts w:ascii="ITC Avant Garde" w:hAnsi="ITC Avant Garde" w:cs="Arial"/>
          <w:b/>
        </w:rPr>
        <w:t>/2015</w:t>
      </w:r>
      <w:r w:rsidR="006A7614" w:rsidRPr="00A15A87">
        <w:rPr>
          <w:rFonts w:ascii="ITC Avant Garde" w:hAnsi="ITC Avant Garde" w:cs="Tahoma"/>
        </w:rPr>
        <w:t>, con el objeto de</w:t>
      </w:r>
      <w:r w:rsidR="00A13B90">
        <w:rPr>
          <w:rFonts w:ascii="ITC Avant Garde" w:hAnsi="ITC Avant Garde" w:cs="Tahoma"/>
        </w:rPr>
        <w:t xml:space="preserve">, entre otros, </w:t>
      </w:r>
      <w:r w:rsidR="00A13B90">
        <w:rPr>
          <w:rFonts w:ascii="ITC Avant Garde" w:hAnsi="ITC Avant Garde" w:cs="Tahoma"/>
          <w:b/>
          <w:i/>
        </w:rPr>
        <w:t xml:space="preserve">“… </w:t>
      </w:r>
      <w:r w:rsidR="00340DA4" w:rsidRPr="00340DA4">
        <w:rPr>
          <w:rFonts w:ascii="ITC Avant Garde" w:hAnsi="ITC Avant Garde" w:cs="Tahoma"/>
          <w:b/>
          <w:i/>
        </w:rPr>
        <w:t xml:space="preserve">constatar que LA VISITADA cumpla con lo dispuesto en los artículos 5, 11 y 12 de los “LINEAMIENTOS GENERALES EN RELACIÓN CON LO DISPUESTO POR LA FRACCIÓN I DEL ARTÍCULO OCTAVO TRANSITORIO DEL DECRETO POR EL QUE REFORMAN Y ADICIONAN DIVERSAS DISPOSICIONES DE LOS ARTÍCULOS 6°, 7°, 27, 28, 73, 78, 94 Y 105 DE LA CONSTITUCIÓN POLÍTICA DE LOS ESTADOS UNIDOS MEXICANOS, EN MATERIA DE TELECOMUNICACIONES” (en adelante “LOS LINEAMIENTOS”) emitidos mediante acuerdo publicado en el D.O.F. el 27 de febrero de 2014, así como sus modificaciones contenidas en el  “ACUERDO por el que el Pleno del Instituto Federal de Telecomunicaciones modifica los Lineamientos generales en relación con lo dispuesto </w:t>
      </w:r>
      <w:r w:rsidR="00340DA4" w:rsidRPr="00340DA4">
        <w:rPr>
          <w:rFonts w:ascii="ITC Avant Garde" w:hAnsi="ITC Avant Garde" w:cs="Tahoma"/>
          <w:b/>
          <w:i/>
        </w:rPr>
        <w:lastRenderedPageBreak/>
        <w:t xml:space="preserve">por la fracción I del artículo octavo transitorio del Decreto por el que se reforman y adicionan diversas disposiciones de los artículos 6º, 7º, 27, 28, 73, 78, 94 y 105 de la Constitución Política de los Estados Unidos Mexicanos, en Materia de Telecomunicaciones.”, publicado en el D.O.F. el 06 de febrero de 2015; así como el cumplimiento al “LISTADO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se reforman y adicionan diversas disposiciones de los artículos 6º, 7º, 27, 28, 73, 78, 94 y 105 de la Constitución Política de los Estados Unidos Mexicanos, en Materia de Telecomunicaciones, publicado en el D.O.F. el 27 de febrero de 2014”, publicado en el D.O.F. el 06 mayo de 2014, y sus correspondientes actualizaciones contenidas en la “Actualización del Listado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se reforman y adicionan diversas disposiciones de los artículos 6º, 7º, 27, 28, 73, 78, 94 y 105 de la Constitución Política de los Estados Unidos Mexicanos, en Materia de Telecomunicaciones, publicado en el D.O.F. el 27 de febrero de 2014, publicado el 06 mayo de 2014.”, con fechas de publicación en el D.O.F. el 21 de octubre de 2014 y el 20 de noviembre de 2015, lo anterior en términos de lo dispuesto por el artículo 12 de “LOS LINEAMIENTOS”; asimismo constatar y verificar la retransmisión de las señales radiodifundidas, así como las señales de Instituciones Públicas Federales de manera continua y con apego a los artículos 5, 11 y 12 de los “LINEAMIENTOS” y “EL LISTADO”, tras la terminación de trasmisiones analógicas en las áreas de cobertura de diversas estaciones de televisión radiodifundida que prestan el servicio de televisión radiodifundida en San Felipe en el Estado de Baja California, Ciudad Allende, Parras de la Fuente y Saltillo en el Estado de Coahuila, Celaya y León en el Estado de </w:t>
      </w:r>
      <w:r w:rsidR="00340DA4" w:rsidRPr="00340DA4">
        <w:rPr>
          <w:rFonts w:ascii="ITC Avant Garde" w:hAnsi="ITC Avant Garde" w:cs="Tahoma"/>
          <w:b/>
          <w:i/>
        </w:rPr>
        <w:lastRenderedPageBreak/>
        <w:t xml:space="preserve">Guanajuato, Querétaro y Agua Prieta y Caborca en el Estado de Sonora.”, publicado en el DOF el 13 de noviembre de 2015.” </w:t>
      </w:r>
      <w:r w:rsidR="00340DA4" w:rsidRPr="00340DA4">
        <w:rPr>
          <w:rFonts w:ascii="ITC Avant Garde" w:hAnsi="ITC Avant Garde" w:cs="Tahoma"/>
        </w:rPr>
        <w:t>(sic)</w:t>
      </w:r>
    </w:p>
    <w:p w14:paraId="14AE64B1" w14:textId="77777777" w:rsidR="00E2222D" w:rsidRDefault="00F97679" w:rsidP="00907F25">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TERCERO</w:t>
      </w:r>
      <w:r w:rsidR="006A7614" w:rsidRPr="006A7614">
        <w:rPr>
          <w:rFonts w:ascii="ITC Avant Garde" w:eastAsia="Times New Roman" w:hAnsi="ITC Avant Garde"/>
          <w:b/>
          <w:bCs/>
          <w:color w:val="000000"/>
          <w:lang w:eastAsia="es-MX"/>
        </w:rPr>
        <w:t xml:space="preserve">. </w:t>
      </w:r>
      <w:r w:rsidR="006A7614" w:rsidRPr="006A7614">
        <w:rPr>
          <w:rFonts w:ascii="ITC Avant Garde" w:eastAsia="Times New Roman" w:hAnsi="ITC Avant Garde"/>
          <w:bCs/>
          <w:color w:val="000000"/>
          <w:lang w:eastAsia="es-MX"/>
        </w:rPr>
        <w:t xml:space="preserve">En cumplimiento al oficio precisado en el numeral inmediato anterior, el </w:t>
      </w:r>
      <w:r w:rsidR="0051132B">
        <w:rPr>
          <w:rFonts w:ascii="ITC Avant Garde" w:hAnsi="ITC Avant Garde" w:cs="Arial"/>
        </w:rPr>
        <w:t>siete de diciembre</w:t>
      </w:r>
      <w:r w:rsidR="00F14B09" w:rsidRPr="0070341D">
        <w:rPr>
          <w:rFonts w:ascii="ITC Avant Garde" w:hAnsi="ITC Avant Garde" w:cs="Arial"/>
        </w:rPr>
        <w:t xml:space="preserve"> de dos mil quince</w:t>
      </w:r>
      <w:r w:rsidR="006A7614" w:rsidRPr="006A7614">
        <w:rPr>
          <w:rFonts w:ascii="ITC Avant Garde" w:eastAsia="Times New Roman" w:hAnsi="ITC Avant Garde"/>
          <w:bCs/>
          <w:color w:val="000000"/>
          <w:lang w:eastAsia="es-MX"/>
        </w:rPr>
        <w:t>, los inspectores - verificadores de vías generales de comunicación en materia de telecomunicaciones (</w:t>
      </w:r>
      <w:r w:rsidR="00FB186E">
        <w:rPr>
          <w:rFonts w:ascii="ITC Avant Garde" w:eastAsia="Times New Roman" w:hAnsi="ITC Avant Garde"/>
          <w:bCs/>
          <w:color w:val="000000"/>
          <w:lang w:eastAsia="es-MX"/>
        </w:rPr>
        <w:t xml:space="preserve">en lo sucesivo </w:t>
      </w:r>
      <w:r w:rsidR="00FB186E">
        <w:rPr>
          <w:rFonts w:ascii="ITC Avant Garde" w:eastAsia="Times New Roman" w:hAnsi="ITC Avant Garde"/>
          <w:b/>
          <w:bCs/>
          <w:color w:val="000000"/>
          <w:lang w:eastAsia="es-MX"/>
        </w:rPr>
        <w:t>“</w:t>
      </w:r>
      <w:r w:rsidR="006A7614" w:rsidRPr="006A7614">
        <w:rPr>
          <w:rFonts w:ascii="ITC Avant Garde" w:eastAsia="Times New Roman" w:hAnsi="ITC Avant Garde"/>
          <w:b/>
          <w:bCs/>
          <w:color w:val="000000"/>
          <w:lang w:eastAsia="es-MX"/>
        </w:rPr>
        <w:t>LOS VERIFICADORES</w:t>
      </w:r>
      <w:r w:rsidR="00FB186E">
        <w:rPr>
          <w:rFonts w:ascii="ITC Avant Garde" w:eastAsia="Times New Roman" w:hAnsi="ITC Avant Garde"/>
          <w:b/>
          <w:bCs/>
          <w:color w:val="000000"/>
          <w:lang w:eastAsia="es-MX"/>
        </w:rPr>
        <w:t>”</w:t>
      </w:r>
      <w:r w:rsidR="006A7614" w:rsidRPr="006A7614">
        <w:rPr>
          <w:rFonts w:ascii="ITC Avant Garde" w:eastAsia="Times New Roman" w:hAnsi="ITC Avant Garde"/>
          <w:bCs/>
          <w:color w:val="000000"/>
          <w:lang w:eastAsia="es-MX"/>
        </w:rPr>
        <w:t xml:space="preserve">), se constituyeron en el domicilio ubicado </w:t>
      </w:r>
      <w:r w:rsidR="00F21FCA">
        <w:rPr>
          <w:rFonts w:ascii="ITC Avant Garde" w:eastAsia="Times New Roman" w:hAnsi="ITC Avant Garde"/>
          <w:bCs/>
          <w:color w:val="000000"/>
          <w:lang w:eastAsia="es-MX"/>
        </w:rPr>
        <w:t xml:space="preserve">en </w:t>
      </w:r>
      <w:r w:rsidR="00F14B09">
        <w:rPr>
          <w:rFonts w:ascii="ITC Avant Garde" w:eastAsia="Times New Roman" w:hAnsi="ITC Avant Garde"/>
          <w:bCs/>
          <w:color w:val="000000"/>
          <w:lang w:eastAsia="es-MX"/>
        </w:rPr>
        <w:t>Boulevard de los Virreyes Número 145, Segundo Piso, Colonia Lomas de Chapultepec, Código Postal</w:t>
      </w:r>
      <w:r w:rsidR="00F14B09" w:rsidDel="00A215A2">
        <w:rPr>
          <w:rFonts w:ascii="ITC Avant Garde" w:eastAsia="Times New Roman" w:hAnsi="ITC Avant Garde"/>
          <w:bCs/>
          <w:color w:val="000000"/>
          <w:lang w:eastAsia="es-MX"/>
        </w:rPr>
        <w:t xml:space="preserve"> </w:t>
      </w:r>
      <w:r w:rsidR="00F14B09">
        <w:rPr>
          <w:rFonts w:ascii="ITC Avant Garde" w:eastAsia="Times New Roman" w:hAnsi="ITC Avant Garde"/>
          <w:bCs/>
          <w:color w:val="000000"/>
          <w:lang w:eastAsia="es-MX"/>
        </w:rPr>
        <w:t>11000</w:t>
      </w:r>
      <w:r w:rsidR="00F14B09" w:rsidRPr="0070341D">
        <w:rPr>
          <w:rFonts w:ascii="ITC Avant Garde" w:eastAsia="Times New Roman" w:hAnsi="ITC Avant Garde"/>
          <w:bCs/>
          <w:color w:val="000000"/>
          <w:lang w:eastAsia="es-MX"/>
        </w:rPr>
        <w:t>, México, D</w:t>
      </w:r>
      <w:r w:rsidR="00F14B09">
        <w:rPr>
          <w:rFonts w:ascii="ITC Avant Garde" w:eastAsia="Times New Roman" w:hAnsi="ITC Avant Garde"/>
          <w:bCs/>
          <w:color w:val="000000"/>
          <w:lang w:eastAsia="es-MX"/>
        </w:rPr>
        <w:t xml:space="preserve">istrito </w:t>
      </w:r>
      <w:r w:rsidR="00F14B09" w:rsidRPr="0070341D">
        <w:rPr>
          <w:rFonts w:ascii="ITC Avant Garde" w:eastAsia="Times New Roman" w:hAnsi="ITC Avant Garde"/>
          <w:bCs/>
          <w:color w:val="000000"/>
          <w:lang w:eastAsia="es-MX"/>
        </w:rPr>
        <w:t>F</w:t>
      </w:r>
      <w:r w:rsidR="00F14B09">
        <w:rPr>
          <w:rFonts w:ascii="ITC Avant Garde" w:eastAsia="Times New Roman" w:hAnsi="ITC Avant Garde"/>
          <w:bCs/>
          <w:color w:val="000000"/>
          <w:lang w:eastAsia="es-MX"/>
        </w:rPr>
        <w:t>ederal</w:t>
      </w:r>
      <w:r w:rsidR="00F14B09" w:rsidRPr="0070341D">
        <w:rPr>
          <w:rFonts w:ascii="ITC Avant Garde" w:eastAsia="Times New Roman" w:hAnsi="ITC Avant Garde"/>
          <w:bCs/>
          <w:color w:val="000000"/>
          <w:lang w:eastAsia="es-MX"/>
        </w:rPr>
        <w:t xml:space="preserve"> </w:t>
      </w:r>
      <w:r w:rsidR="00931C46">
        <w:rPr>
          <w:rFonts w:ascii="ITC Avant Garde" w:eastAsia="Times New Roman" w:hAnsi="ITC Avant Garde"/>
          <w:bCs/>
          <w:color w:val="000000"/>
          <w:lang w:eastAsia="es-MX"/>
        </w:rPr>
        <w:t>(</w:t>
      </w:r>
      <w:r w:rsidR="00F14B09">
        <w:rPr>
          <w:rFonts w:ascii="ITC Avant Garde" w:eastAsia="Times New Roman" w:hAnsi="ITC Avant Garde"/>
          <w:bCs/>
          <w:color w:val="000000"/>
          <w:lang w:eastAsia="es-MX"/>
        </w:rPr>
        <w:t>actualmente Ciudad de México</w:t>
      </w:r>
      <w:r w:rsidR="00931C46">
        <w:rPr>
          <w:rFonts w:ascii="ITC Avant Garde" w:eastAsia="Times New Roman" w:hAnsi="ITC Avant Garde"/>
          <w:bCs/>
          <w:color w:val="000000"/>
          <w:lang w:eastAsia="es-MX"/>
        </w:rPr>
        <w:t>)</w:t>
      </w:r>
      <w:r w:rsidR="00F14B09">
        <w:rPr>
          <w:rFonts w:ascii="ITC Avant Garde" w:eastAsia="Times New Roman" w:hAnsi="ITC Avant Garde"/>
          <w:bCs/>
          <w:color w:val="000000"/>
          <w:lang w:eastAsia="es-MX"/>
        </w:rPr>
        <w:t xml:space="preserve">, </w:t>
      </w:r>
      <w:r w:rsidR="006A7614" w:rsidRPr="006A7614">
        <w:rPr>
          <w:rFonts w:ascii="ITC Avant Garde" w:eastAsia="Times New Roman" w:hAnsi="ITC Avant Garde"/>
          <w:bCs/>
          <w:color w:val="000000"/>
          <w:lang w:eastAsia="es-MX"/>
        </w:rPr>
        <w:t xml:space="preserve">con el objeto de dar cumplimiento a la orden de visita de inspección-verificación </w:t>
      </w:r>
      <w:r w:rsidR="00247945">
        <w:rPr>
          <w:rFonts w:ascii="ITC Avant Garde" w:eastAsia="Times New Roman" w:hAnsi="ITC Avant Garde"/>
          <w:bCs/>
          <w:color w:val="000000"/>
          <w:lang w:eastAsia="es-MX"/>
        </w:rPr>
        <w:t xml:space="preserve">levantándose al efecto el acta de verificación </w:t>
      </w:r>
      <w:r w:rsidR="006A7614" w:rsidRPr="006A7614">
        <w:rPr>
          <w:rFonts w:ascii="ITC Avant Garde" w:eastAsia="Times New Roman" w:hAnsi="ITC Avant Garde"/>
          <w:bCs/>
          <w:color w:val="000000"/>
          <w:lang w:eastAsia="es-MX"/>
        </w:rPr>
        <w:t xml:space="preserve">ordinaria </w:t>
      </w:r>
      <w:r w:rsidR="0051132B">
        <w:rPr>
          <w:rFonts w:ascii="ITC Avant Garde" w:hAnsi="ITC Avant Garde" w:cs="Arial"/>
          <w:b/>
        </w:rPr>
        <w:t>IFT/DF/DGV/1299/2015</w:t>
      </w:r>
      <w:r w:rsidR="006A7614" w:rsidRPr="006A7614">
        <w:rPr>
          <w:rFonts w:ascii="ITC Avant Garde" w:eastAsia="Times New Roman" w:hAnsi="ITC Avant Garde"/>
          <w:bCs/>
          <w:color w:val="000000"/>
          <w:lang w:eastAsia="es-MX"/>
        </w:rPr>
        <w:t xml:space="preserve"> (</w:t>
      </w:r>
      <w:r w:rsidR="00FB186E">
        <w:rPr>
          <w:rFonts w:ascii="ITC Avant Garde" w:eastAsia="Times New Roman" w:hAnsi="ITC Avant Garde"/>
          <w:bCs/>
          <w:color w:val="000000"/>
          <w:lang w:eastAsia="es-MX"/>
        </w:rPr>
        <w:t xml:space="preserve">en adelante el </w:t>
      </w:r>
      <w:r w:rsidR="006A7614" w:rsidRPr="006A7614">
        <w:rPr>
          <w:rFonts w:ascii="ITC Avant Garde" w:eastAsia="Times New Roman" w:hAnsi="ITC Avant Garde"/>
          <w:b/>
          <w:bCs/>
          <w:color w:val="000000"/>
          <w:lang w:eastAsia="es-MX"/>
        </w:rPr>
        <w:t>“ACTA DE VERIFICACIÓN”</w:t>
      </w:r>
      <w:r w:rsidR="006A7614" w:rsidRPr="006A7614">
        <w:rPr>
          <w:rFonts w:ascii="ITC Avant Garde" w:eastAsia="Times New Roman" w:hAnsi="ITC Avant Garde"/>
          <w:bCs/>
          <w:color w:val="000000"/>
          <w:lang w:eastAsia="es-MX"/>
        </w:rPr>
        <w:t xml:space="preserve">), </w:t>
      </w:r>
      <w:r w:rsidR="0051132B" w:rsidRPr="0051132B">
        <w:rPr>
          <w:rFonts w:ascii="ITC Avant Garde" w:eastAsia="Times New Roman" w:hAnsi="ITC Avant Garde"/>
          <w:bCs/>
          <w:color w:val="000000"/>
          <w:lang w:eastAsia="es-MX"/>
        </w:rPr>
        <w:t xml:space="preserve">continuándose la misma el diez de diciembre siguiente, en el domicilio ubicado en Avenida 5 de Febrero, </w:t>
      </w:r>
      <w:r w:rsidR="007026E8">
        <w:rPr>
          <w:rFonts w:ascii="ITC Avant Garde" w:eastAsia="Times New Roman" w:hAnsi="ITC Avant Garde"/>
          <w:bCs/>
          <w:color w:val="000000"/>
          <w:lang w:eastAsia="es-MX"/>
        </w:rPr>
        <w:t>n</w:t>
      </w:r>
      <w:r w:rsidR="0051132B" w:rsidRPr="0051132B">
        <w:rPr>
          <w:rFonts w:ascii="ITC Avant Garde" w:eastAsia="Times New Roman" w:hAnsi="ITC Avant Garde"/>
          <w:bCs/>
          <w:color w:val="000000"/>
          <w:lang w:eastAsia="es-MX"/>
        </w:rPr>
        <w:t>úmero 1311, Colonia Nuevo Carrillo Puerto, Código Postal 76138, Santiago de Querétaro, Querétaro, dándose por terminada el once de diciembre de dos mil quince.</w:t>
      </w:r>
    </w:p>
    <w:p w14:paraId="099C026B" w14:textId="68976FF1" w:rsidR="006A7614" w:rsidRPr="00C22A72" w:rsidRDefault="00F97679" w:rsidP="00907F25">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CUARTO</w:t>
      </w:r>
      <w:r w:rsidR="006A7614" w:rsidRPr="006A7614">
        <w:rPr>
          <w:rFonts w:ascii="ITC Avant Garde" w:eastAsia="Times New Roman" w:hAnsi="ITC Avant Garde"/>
          <w:bCs/>
          <w:color w:val="000000"/>
          <w:lang w:eastAsia="es-MX"/>
        </w:rPr>
        <w:t xml:space="preserve">. </w:t>
      </w:r>
      <w:r w:rsidR="00FB186E">
        <w:rPr>
          <w:rFonts w:ascii="ITC Avant Garde" w:eastAsia="Times New Roman" w:hAnsi="ITC Avant Garde"/>
          <w:bCs/>
          <w:color w:val="000000"/>
          <w:lang w:eastAsia="es-MX"/>
        </w:rPr>
        <w:t>Derivado de lo anterior, m</w:t>
      </w:r>
      <w:r w:rsidR="006A7614" w:rsidRPr="006A7614">
        <w:rPr>
          <w:rFonts w:ascii="ITC Avant Garde" w:eastAsia="Times New Roman" w:hAnsi="ITC Avant Garde"/>
          <w:bCs/>
          <w:color w:val="000000"/>
          <w:lang w:eastAsia="es-MX"/>
        </w:rPr>
        <w:t xml:space="preserve">ediante oficio </w:t>
      </w:r>
      <w:r w:rsidR="006A7614" w:rsidRPr="006A7614">
        <w:rPr>
          <w:rFonts w:ascii="ITC Avant Garde" w:eastAsia="Times New Roman" w:hAnsi="ITC Avant Garde"/>
          <w:b/>
          <w:bCs/>
          <w:color w:val="000000"/>
          <w:lang w:eastAsia="es-MX"/>
        </w:rPr>
        <w:t>IFT/225/UC/DG-VER/</w:t>
      </w:r>
      <w:r w:rsidR="00BE061A">
        <w:rPr>
          <w:rFonts w:ascii="ITC Avant Garde" w:eastAsia="Times New Roman" w:hAnsi="ITC Avant Garde"/>
          <w:b/>
          <w:bCs/>
          <w:color w:val="000000"/>
          <w:lang w:eastAsia="es-MX"/>
        </w:rPr>
        <w:t>0439</w:t>
      </w:r>
      <w:r w:rsidR="006A7614" w:rsidRPr="006A7614">
        <w:rPr>
          <w:rFonts w:ascii="ITC Avant Garde" w:eastAsia="Times New Roman" w:hAnsi="ITC Avant Garde"/>
          <w:b/>
          <w:bCs/>
          <w:color w:val="000000"/>
          <w:lang w:eastAsia="es-MX"/>
        </w:rPr>
        <w:t>/201</w:t>
      </w:r>
      <w:r w:rsidR="0002738F">
        <w:rPr>
          <w:rFonts w:ascii="ITC Avant Garde" w:eastAsia="Times New Roman" w:hAnsi="ITC Avant Garde"/>
          <w:b/>
          <w:bCs/>
          <w:color w:val="000000"/>
          <w:lang w:eastAsia="es-MX"/>
        </w:rPr>
        <w:t>6</w:t>
      </w:r>
      <w:r w:rsidR="006A7614" w:rsidRPr="006A7614">
        <w:rPr>
          <w:rFonts w:ascii="ITC Avant Garde" w:eastAsia="Times New Roman" w:hAnsi="ITC Avant Garde"/>
          <w:bCs/>
          <w:color w:val="000000"/>
          <w:lang w:eastAsia="es-MX"/>
        </w:rPr>
        <w:t xml:space="preserve"> de </w:t>
      </w:r>
      <w:r w:rsidR="00BE061A">
        <w:rPr>
          <w:rFonts w:ascii="ITC Avant Garde" w:eastAsia="Times New Roman" w:hAnsi="ITC Avant Garde"/>
          <w:bCs/>
          <w:color w:val="000000"/>
          <w:lang w:eastAsia="es-MX"/>
        </w:rPr>
        <w:t>catorce de marzo</w:t>
      </w:r>
      <w:r w:rsidR="0002738F">
        <w:rPr>
          <w:rFonts w:ascii="ITC Avant Garde" w:eastAsia="Times New Roman" w:hAnsi="ITC Avant Garde"/>
          <w:bCs/>
          <w:color w:val="000000"/>
          <w:lang w:eastAsia="es-MX"/>
        </w:rPr>
        <w:t xml:space="preserve"> de dos mil dieciséis</w:t>
      </w:r>
      <w:r w:rsidR="006A7614" w:rsidRPr="006A7614">
        <w:rPr>
          <w:rFonts w:ascii="ITC Avant Garde" w:eastAsia="Times New Roman" w:hAnsi="ITC Avant Garde"/>
          <w:bCs/>
          <w:color w:val="000000"/>
          <w:lang w:eastAsia="es-MX"/>
        </w:rPr>
        <w:t xml:space="preserve">, la </w:t>
      </w:r>
      <w:r w:rsidR="00BE061A" w:rsidRPr="00BE061A">
        <w:rPr>
          <w:rFonts w:ascii="ITC Avant Garde" w:eastAsia="Times New Roman" w:hAnsi="ITC Avant Garde"/>
          <w:b/>
          <w:bCs/>
          <w:color w:val="000000"/>
          <w:lang w:eastAsia="es-MX"/>
        </w:rPr>
        <w:t>DGV</w:t>
      </w:r>
      <w:r w:rsidR="00BE061A" w:rsidRPr="006A7614">
        <w:rPr>
          <w:rFonts w:ascii="ITC Avant Garde" w:eastAsia="Times New Roman" w:hAnsi="ITC Avant Garde"/>
          <w:bCs/>
          <w:color w:val="000000"/>
          <w:lang w:eastAsia="es-MX"/>
        </w:rPr>
        <w:t xml:space="preserve"> </w:t>
      </w:r>
      <w:r w:rsidR="006A7614" w:rsidRPr="006A7614">
        <w:rPr>
          <w:rFonts w:ascii="ITC Avant Garde" w:eastAsia="Times New Roman" w:hAnsi="ITC Avant Garde"/>
          <w:bCs/>
          <w:color w:val="000000"/>
          <w:lang w:eastAsia="es-MX"/>
        </w:rPr>
        <w:t xml:space="preserve">remitió al Titular de la Unidad de Cumplimiento </w:t>
      </w:r>
      <w:r w:rsidR="006A7614" w:rsidRPr="00C22A72">
        <w:rPr>
          <w:rFonts w:ascii="ITC Avant Garde" w:eastAsia="Times New Roman" w:hAnsi="ITC Avant Garde"/>
          <w:bCs/>
          <w:color w:val="000000"/>
          <w:lang w:eastAsia="es-MX"/>
        </w:rPr>
        <w:t xml:space="preserve">del </w:t>
      </w:r>
      <w:r w:rsidR="006A7614" w:rsidRPr="00C22A72">
        <w:rPr>
          <w:rFonts w:ascii="ITC Avant Garde" w:eastAsia="Times New Roman" w:hAnsi="ITC Avant Garde"/>
          <w:b/>
          <w:bCs/>
          <w:color w:val="000000"/>
          <w:lang w:eastAsia="es-MX"/>
        </w:rPr>
        <w:t>IFT</w:t>
      </w:r>
      <w:r w:rsidR="006A7614" w:rsidRPr="00C22A72">
        <w:rPr>
          <w:rFonts w:ascii="ITC Avant Garde" w:eastAsia="Times New Roman" w:hAnsi="ITC Avant Garde"/>
          <w:bCs/>
          <w:color w:val="000000"/>
          <w:lang w:eastAsia="es-MX"/>
        </w:rPr>
        <w:t xml:space="preserve"> un Dictamen mediante el cual se </w:t>
      </w:r>
      <w:r w:rsidR="00931C46">
        <w:rPr>
          <w:rFonts w:ascii="ITC Avant Garde" w:eastAsia="Times New Roman" w:hAnsi="ITC Avant Garde"/>
          <w:bCs/>
          <w:color w:val="000000"/>
          <w:lang w:eastAsia="es-MX"/>
        </w:rPr>
        <w:t xml:space="preserve">propuso </w:t>
      </w:r>
      <w:r w:rsidR="006A7614" w:rsidRPr="00C22A72">
        <w:rPr>
          <w:rFonts w:ascii="ITC Avant Garde" w:eastAsia="Times New Roman" w:hAnsi="ITC Avant Garde"/>
          <w:bCs/>
          <w:color w:val="000000"/>
          <w:lang w:eastAsia="es-MX"/>
        </w:rPr>
        <w:t>el inicio del</w:t>
      </w:r>
      <w:r w:rsidR="008F0DB5" w:rsidRPr="00C22A72">
        <w:rPr>
          <w:rFonts w:ascii="ITC Avant Garde" w:eastAsia="Times New Roman" w:hAnsi="ITC Avant Garde"/>
          <w:bCs/>
          <w:color w:val="000000"/>
          <w:lang w:eastAsia="es-MX"/>
        </w:rPr>
        <w:t xml:space="preserve"> procedimiento </w:t>
      </w:r>
      <w:r w:rsidR="00931C46">
        <w:rPr>
          <w:rFonts w:ascii="ITC Avant Garde" w:eastAsia="Times New Roman" w:hAnsi="ITC Avant Garde"/>
          <w:bCs/>
          <w:color w:val="000000"/>
          <w:lang w:eastAsia="es-MX"/>
        </w:rPr>
        <w:t xml:space="preserve">administrativo </w:t>
      </w:r>
      <w:r w:rsidR="008F0DB5" w:rsidRPr="00C22A72">
        <w:rPr>
          <w:rFonts w:ascii="ITC Avant Garde" w:eastAsia="Times New Roman" w:hAnsi="ITC Avant Garde"/>
          <w:bCs/>
          <w:color w:val="000000"/>
          <w:lang w:eastAsia="es-MX"/>
        </w:rPr>
        <w:t xml:space="preserve">de imposición de </w:t>
      </w:r>
      <w:r w:rsidR="0002738F" w:rsidRPr="00C22A72">
        <w:rPr>
          <w:rFonts w:ascii="ITC Avant Garde" w:eastAsia="Times New Roman" w:hAnsi="ITC Avant Garde"/>
          <w:bCs/>
          <w:color w:val="000000"/>
          <w:lang w:eastAsia="es-MX"/>
        </w:rPr>
        <w:t xml:space="preserve">sanción </w:t>
      </w:r>
      <w:r w:rsidR="008F0DB5" w:rsidRPr="00C22A72">
        <w:rPr>
          <w:rFonts w:ascii="ITC Avant Garde" w:eastAsia="Times New Roman" w:hAnsi="ITC Avant Garde"/>
          <w:bCs/>
          <w:color w:val="000000"/>
          <w:lang w:eastAsia="es-MX"/>
        </w:rPr>
        <w:t xml:space="preserve">en contra de la </w:t>
      </w:r>
      <w:r w:rsidR="0002738F" w:rsidRPr="00C22A72">
        <w:rPr>
          <w:rFonts w:ascii="ITC Avant Garde" w:eastAsia="Times New Roman" w:hAnsi="ITC Avant Garde"/>
          <w:bCs/>
          <w:color w:val="000000"/>
          <w:lang w:eastAsia="es-MX"/>
        </w:rPr>
        <w:t xml:space="preserve">concesionaria </w:t>
      </w:r>
      <w:r w:rsidR="00BE061A">
        <w:rPr>
          <w:rFonts w:ascii="ITC Avant Garde" w:eastAsia="Times New Roman" w:hAnsi="ITC Avant Garde"/>
          <w:b/>
          <w:bCs/>
          <w:color w:val="000000"/>
          <w:lang w:eastAsia="es-MX"/>
        </w:rPr>
        <w:t>MEGA CABLE</w:t>
      </w:r>
      <w:r w:rsidR="0002738F" w:rsidRPr="00C22A72">
        <w:rPr>
          <w:rFonts w:ascii="ITC Avant Garde" w:eastAsia="Times New Roman" w:hAnsi="ITC Avant Garde"/>
          <w:b/>
          <w:bCs/>
          <w:color w:val="000000"/>
          <w:lang w:eastAsia="es-MX"/>
        </w:rPr>
        <w:t xml:space="preserve"> </w:t>
      </w:r>
      <w:r w:rsidR="0002738F" w:rsidRPr="00C22A72">
        <w:rPr>
          <w:rFonts w:ascii="ITC Avant Garde" w:eastAsia="Times New Roman" w:hAnsi="ITC Avant Garde"/>
          <w:bCs/>
          <w:color w:val="000000"/>
          <w:lang w:eastAsia="es-MX"/>
        </w:rPr>
        <w:t xml:space="preserve">por el </w:t>
      </w:r>
      <w:r w:rsidR="00DC03AD" w:rsidRPr="00C22A72">
        <w:rPr>
          <w:rFonts w:ascii="ITC Avant Garde" w:eastAsia="Times New Roman" w:hAnsi="ITC Avant Garde"/>
          <w:bCs/>
          <w:color w:val="000000"/>
          <w:lang w:eastAsia="es-MX"/>
        </w:rPr>
        <w:t>presunto</w:t>
      </w:r>
      <w:r w:rsidR="0002738F" w:rsidRPr="00C22A72">
        <w:rPr>
          <w:rFonts w:ascii="ITC Avant Garde" w:eastAsia="Times New Roman" w:hAnsi="ITC Avant Garde"/>
          <w:bCs/>
          <w:color w:val="000000"/>
          <w:lang w:eastAsia="es-MX"/>
        </w:rPr>
        <w:t xml:space="preserve"> incumplimiento</w:t>
      </w:r>
      <w:r w:rsidR="00DC03AD" w:rsidRPr="00C22A72">
        <w:rPr>
          <w:rFonts w:ascii="ITC Avant Garde" w:eastAsia="Times New Roman" w:hAnsi="ITC Avant Garde"/>
          <w:bCs/>
          <w:color w:val="000000"/>
          <w:lang w:eastAsia="es-MX"/>
        </w:rPr>
        <w:t xml:space="preserve"> a lo establecido en el </w:t>
      </w:r>
      <w:r w:rsidR="00BE061A" w:rsidRPr="003C3BEF">
        <w:rPr>
          <w:rFonts w:ascii="ITC Avant Garde" w:hAnsi="ITC Avant Garde"/>
          <w:b/>
        </w:rPr>
        <w:t>Artículo 12</w:t>
      </w:r>
      <w:r w:rsidR="00BE061A">
        <w:rPr>
          <w:rFonts w:ascii="ITC Avant Garde" w:hAnsi="ITC Avant Garde"/>
        </w:rPr>
        <w:t xml:space="preserve"> de los </w:t>
      </w:r>
      <w:r w:rsidR="00BE061A" w:rsidRPr="00B8263D">
        <w:rPr>
          <w:rFonts w:ascii="ITC Avant Garde" w:hAnsi="ITC Avant Garde"/>
          <w:b/>
        </w:rPr>
        <w:t>LINEAMIENTOS</w:t>
      </w:r>
      <w:r w:rsidR="007026E8">
        <w:rPr>
          <w:rFonts w:ascii="ITC Avant Garde" w:hAnsi="ITC Avant Garde"/>
          <w:b/>
        </w:rPr>
        <w:t xml:space="preserve"> </w:t>
      </w:r>
      <w:r w:rsidR="007026E8" w:rsidRPr="007026E8">
        <w:rPr>
          <w:rFonts w:ascii="ITC Avant Garde" w:hAnsi="ITC Avant Garde"/>
        </w:rPr>
        <w:t>y</w:t>
      </w:r>
      <w:r w:rsidR="00BE061A">
        <w:rPr>
          <w:rFonts w:ascii="ITC Avant Garde" w:hAnsi="ITC Avant Garde"/>
          <w:b/>
        </w:rPr>
        <w:t xml:space="preserve"> </w:t>
      </w:r>
      <w:r w:rsidR="00BE061A">
        <w:rPr>
          <w:rFonts w:ascii="ITC Avant Garde" w:hAnsi="ITC Avant Garde"/>
        </w:rPr>
        <w:t xml:space="preserve">sus respectivas modificaciones contenidas en el </w:t>
      </w:r>
      <w:r w:rsidR="00BE061A">
        <w:rPr>
          <w:rFonts w:ascii="ITC Avant Garde" w:hAnsi="ITC Avant Garde"/>
          <w:b/>
        </w:rPr>
        <w:t xml:space="preserve">ACUERDO MODIFICATORIO </w:t>
      </w:r>
      <w:r w:rsidR="007026E8" w:rsidRPr="007026E8">
        <w:rPr>
          <w:rFonts w:ascii="ITC Avant Garde" w:hAnsi="ITC Avant Garde"/>
        </w:rPr>
        <w:t>en relación con</w:t>
      </w:r>
      <w:r w:rsidR="007026E8">
        <w:rPr>
          <w:rFonts w:ascii="ITC Avant Garde" w:hAnsi="ITC Avant Garde"/>
          <w:b/>
        </w:rPr>
        <w:t xml:space="preserve"> </w:t>
      </w:r>
      <w:r w:rsidR="00BE061A" w:rsidRPr="00B8263D">
        <w:rPr>
          <w:rFonts w:ascii="ITC Avant Garde" w:hAnsi="ITC Avant Garde"/>
        </w:rPr>
        <w:t xml:space="preserve">el </w:t>
      </w:r>
      <w:r w:rsidR="00BE061A">
        <w:rPr>
          <w:rFonts w:ascii="ITC Avant Garde" w:hAnsi="ITC Avant Garde"/>
          <w:b/>
        </w:rPr>
        <w:t xml:space="preserve">LISTADO </w:t>
      </w:r>
      <w:r w:rsidR="00BE061A">
        <w:rPr>
          <w:rFonts w:ascii="ITC Avant Garde" w:hAnsi="ITC Avant Garde"/>
        </w:rPr>
        <w:t xml:space="preserve">y sus correspondientes </w:t>
      </w:r>
      <w:r w:rsidR="00BE061A">
        <w:rPr>
          <w:rFonts w:ascii="ITC Avant Garde" w:hAnsi="ITC Avant Garde"/>
          <w:b/>
        </w:rPr>
        <w:t>ACTUALIZACIONES;</w:t>
      </w:r>
      <w:r w:rsidR="00DC03AD" w:rsidRPr="00C22A72">
        <w:rPr>
          <w:rFonts w:ascii="ITC Avant Garde" w:eastAsia="Times New Roman" w:hAnsi="ITC Avant Garde"/>
          <w:bCs/>
          <w:color w:val="000000"/>
          <w:lang w:eastAsia="es-MX"/>
        </w:rPr>
        <w:t xml:space="preserve"> </w:t>
      </w:r>
      <w:r w:rsidR="008F0DB5" w:rsidRPr="00C22A72">
        <w:rPr>
          <w:rFonts w:ascii="ITC Avant Garde" w:eastAsia="Times New Roman" w:hAnsi="ITC Avant Garde"/>
          <w:bCs/>
          <w:color w:val="000000"/>
          <w:lang w:eastAsia="es-MX"/>
        </w:rPr>
        <w:t xml:space="preserve">derivado de la visita de inspección y verificación contenida en el Acta de Verificación Ordinaria </w:t>
      </w:r>
      <w:r w:rsidR="0051132B">
        <w:rPr>
          <w:rFonts w:ascii="ITC Avant Garde" w:eastAsia="Times New Roman" w:hAnsi="ITC Avant Garde"/>
          <w:b/>
          <w:bCs/>
          <w:color w:val="000000"/>
          <w:lang w:eastAsia="es-MX"/>
        </w:rPr>
        <w:t>IFT/DF/DGV/1299/2015</w:t>
      </w:r>
      <w:r w:rsidR="00931C46">
        <w:rPr>
          <w:rFonts w:ascii="ITC Avant Garde" w:eastAsia="Times New Roman" w:hAnsi="ITC Avant Garde"/>
          <w:b/>
          <w:bCs/>
          <w:color w:val="000000"/>
          <w:lang w:eastAsia="es-MX"/>
        </w:rPr>
        <w:t xml:space="preserve">, </w:t>
      </w:r>
      <w:r w:rsidR="00931C46">
        <w:rPr>
          <w:rFonts w:ascii="ITC Avant Garde" w:eastAsia="Times New Roman" w:hAnsi="ITC Avant Garde"/>
          <w:bCs/>
          <w:color w:val="000000"/>
          <w:lang w:eastAsia="es-MX"/>
        </w:rPr>
        <w:t xml:space="preserve">toda vez que la citada empresa no transmitía el canal multiprogramado </w:t>
      </w:r>
      <w:r w:rsidR="00293B70" w:rsidRPr="00293B70">
        <w:rPr>
          <w:rFonts w:ascii="ITC Avant Garde" w:eastAsia="Times New Roman" w:hAnsi="ITC Avant Garde"/>
          <w:b/>
          <w:bCs/>
          <w:color w:val="000000"/>
          <w:lang w:eastAsia="es-MX"/>
        </w:rPr>
        <w:t>11</w:t>
      </w:r>
      <w:r w:rsidR="00931C46" w:rsidRPr="00293B70">
        <w:rPr>
          <w:rFonts w:ascii="ITC Avant Garde" w:eastAsia="Times New Roman" w:hAnsi="ITC Avant Garde"/>
          <w:b/>
          <w:bCs/>
          <w:color w:val="000000"/>
          <w:lang w:eastAsia="es-MX"/>
        </w:rPr>
        <w:t>.2</w:t>
      </w:r>
      <w:r w:rsidR="008F0DB5" w:rsidRPr="00293B70">
        <w:rPr>
          <w:rFonts w:ascii="ITC Avant Garde" w:eastAsia="Times New Roman" w:hAnsi="ITC Avant Garde"/>
          <w:b/>
          <w:bCs/>
          <w:color w:val="000000"/>
          <w:lang w:eastAsia="es-MX"/>
        </w:rPr>
        <w:t>.</w:t>
      </w:r>
      <w:r w:rsidR="00931C46" w:rsidRPr="00293B70">
        <w:rPr>
          <w:rFonts w:ascii="ITC Avant Garde" w:eastAsia="Times New Roman" w:hAnsi="ITC Avant Garde"/>
          <w:b/>
          <w:bCs/>
          <w:color w:val="000000"/>
          <w:lang w:eastAsia="es-MX"/>
        </w:rPr>
        <w:t xml:space="preserve"> </w:t>
      </w:r>
      <w:r w:rsidR="00293B70" w:rsidRPr="00293B70">
        <w:rPr>
          <w:rFonts w:ascii="ITC Avant Garde" w:eastAsia="Times New Roman" w:hAnsi="ITC Avant Garde"/>
          <w:b/>
          <w:bCs/>
          <w:color w:val="000000"/>
          <w:lang w:eastAsia="es-MX"/>
        </w:rPr>
        <w:t>Once Niños</w:t>
      </w:r>
      <w:r w:rsidR="002D217B">
        <w:rPr>
          <w:rFonts w:ascii="ITC Avant Garde" w:eastAsia="Times New Roman" w:hAnsi="ITC Avant Garde"/>
          <w:bCs/>
          <w:color w:val="000000"/>
          <w:lang w:eastAsia="es-MX"/>
        </w:rPr>
        <w:t>.</w:t>
      </w:r>
    </w:p>
    <w:p w14:paraId="6FDD00D4" w14:textId="07F9D333" w:rsidR="006A7614" w:rsidRPr="006A7614" w:rsidRDefault="00F97679" w:rsidP="00907F25">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QUINTO</w:t>
      </w:r>
      <w:r w:rsidR="006A7614" w:rsidRPr="006A7614">
        <w:rPr>
          <w:rFonts w:ascii="ITC Avant Garde" w:eastAsia="Times New Roman" w:hAnsi="ITC Avant Garde"/>
          <w:bCs/>
          <w:color w:val="000000"/>
          <w:lang w:eastAsia="es-MX"/>
        </w:rPr>
        <w:t>. Por acuerdo</w:t>
      </w:r>
      <w:r w:rsidR="006A7614" w:rsidRPr="006A7614">
        <w:rPr>
          <w:rFonts w:ascii="ITC Avant Garde" w:eastAsia="Times New Roman" w:hAnsi="ITC Avant Garde"/>
          <w:b/>
          <w:bCs/>
          <w:color w:val="000000"/>
          <w:lang w:eastAsia="es-MX"/>
        </w:rPr>
        <w:t xml:space="preserve"> </w:t>
      </w:r>
      <w:r w:rsidR="006A7614" w:rsidRPr="006A7614">
        <w:rPr>
          <w:rFonts w:ascii="ITC Avant Garde" w:eastAsia="Times New Roman" w:hAnsi="ITC Avant Garde"/>
          <w:bCs/>
          <w:color w:val="000000"/>
          <w:lang w:eastAsia="es-MX"/>
        </w:rPr>
        <w:t xml:space="preserve">de </w:t>
      </w:r>
      <w:r w:rsidR="00BE061A">
        <w:rPr>
          <w:rFonts w:ascii="ITC Avant Garde" w:eastAsia="Times New Roman" w:hAnsi="ITC Avant Garde"/>
          <w:bCs/>
          <w:color w:val="000000"/>
          <w:lang w:eastAsia="es-MX"/>
        </w:rPr>
        <w:t xml:space="preserve">veintinueve de abril de </w:t>
      </w:r>
      <w:r w:rsidR="00C42315">
        <w:rPr>
          <w:rFonts w:ascii="ITC Avant Garde" w:eastAsia="Times New Roman" w:hAnsi="ITC Avant Garde"/>
          <w:bCs/>
          <w:color w:val="000000"/>
          <w:lang w:eastAsia="es-MX"/>
        </w:rPr>
        <w:t>dos mil dieciséis</w:t>
      </w:r>
      <w:r w:rsidR="006A7614" w:rsidRPr="006A7614">
        <w:rPr>
          <w:rFonts w:ascii="ITC Avant Garde" w:eastAsia="Times New Roman" w:hAnsi="ITC Avant Garde"/>
          <w:bCs/>
          <w:color w:val="000000"/>
          <w:lang w:eastAsia="es-MX"/>
        </w:rPr>
        <w:t xml:space="preserve">, el Titular de la Unidad de Cumplimiento del </w:t>
      </w:r>
      <w:r w:rsidR="006A7614" w:rsidRPr="006A7614">
        <w:rPr>
          <w:rFonts w:ascii="ITC Avant Garde" w:eastAsia="Times New Roman" w:hAnsi="ITC Avant Garde"/>
          <w:b/>
          <w:bCs/>
          <w:color w:val="000000"/>
          <w:lang w:eastAsia="es-MX"/>
        </w:rPr>
        <w:t>IFT</w:t>
      </w:r>
      <w:r w:rsidR="006A7614" w:rsidRPr="006A7614">
        <w:rPr>
          <w:rFonts w:ascii="ITC Avant Garde" w:eastAsia="Times New Roman" w:hAnsi="ITC Avant Garde"/>
          <w:bCs/>
          <w:color w:val="000000"/>
          <w:lang w:eastAsia="es-MX"/>
        </w:rPr>
        <w:t xml:space="preserve">, inició el procedimiento administrativo de imposición de sanción en contra de </w:t>
      </w:r>
      <w:r w:rsidR="00BE061A">
        <w:rPr>
          <w:rFonts w:ascii="ITC Avant Garde" w:eastAsia="Times New Roman" w:hAnsi="ITC Avant Garde"/>
          <w:b/>
          <w:bCs/>
          <w:color w:val="000000"/>
          <w:lang w:eastAsia="es-MX"/>
        </w:rPr>
        <w:t>MEGA CABLE</w:t>
      </w:r>
      <w:r w:rsidR="00537AE2">
        <w:rPr>
          <w:rFonts w:ascii="ITC Avant Garde" w:eastAsia="Times New Roman" w:hAnsi="ITC Avant Garde"/>
          <w:b/>
          <w:bCs/>
          <w:color w:val="000000"/>
          <w:lang w:eastAsia="es-MX"/>
        </w:rPr>
        <w:t xml:space="preserve"> </w:t>
      </w:r>
      <w:r w:rsidR="00537AE2" w:rsidRPr="00537AE2">
        <w:rPr>
          <w:rFonts w:ascii="ITC Avant Garde" w:eastAsia="Times New Roman" w:hAnsi="ITC Avant Garde"/>
          <w:bCs/>
          <w:color w:val="000000"/>
          <w:lang w:eastAsia="es-MX"/>
        </w:rPr>
        <w:t>por</w:t>
      </w:r>
      <w:r w:rsidR="006A7614" w:rsidRPr="006A7614">
        <w:rPr>
          <w:rFonts w:ascii="ITC Avant Garde" w:eastAsia="Times New Roman" w:hAnsi="ITC Avant Garde"/>
          <w:bCs/>
          <w:color w:val="000000"/>
          <w:lang w:eastAsia="es-MX"/>
        </w:rPr>
        <w:t xml:space="preserve"> la posible infracción a lo dispu</w:t>
      </w:r>
      <w:r w:rsidR="006A7614" w:rsidRPr="00C22A72">
        <w:rPr>
          <w:rFonts w:ascii="ITC Avant Garde" w:eastAsia="Times New Roman" w:hAnsi="ITC Avant Garde"/>
          <w:bCs/>
          <w:color w:val="000000"/>
          <w:lang w:eastAsia="es-MX"/>
        </w:rPr>
        <w:t xml:space="preserve">esto </w:t>
      </w:r>
      <w:r w:rsidR="00C22A72" w:rsidRPr="00C22A72">
        <w:rPr>
          <w:rFonts w:ascii="ITC Avant Garde" w:eastAsia="Times New Roman" w:hAnsi="ITC Avant Garde"/>
          <w:bCs/>
          <w:color w:val="000000"/>
          <w:lang w:eastAsia="es-MX"/>
        </w:rPr>
        <w:t xml:space="preserve">en el </w:t>
      </w:r>
      <w:r w:rsidR="00BE061A">
        <w:rPr>
          <w:rFonts w:ascii="ITC Avant Garde" w:hAnsi="ITC Avant Garde"/>
          <w:b/>
        </w:rPr>
        <w:t xml:space="preserve">Artículo </w:t>
      </w:r>
      <w:r w:rsidR="00BE061A">
        <w:rPr>
          <w:rFonts w:ascii="ITC Avant Garde" w:hAnsi="ITC Avant Garde"/>
          <w:b/>
        </w:rPr>
        <w:lastRenderedPageBreak/>
        <w:t>12</w:t>
      </w:r>
      <w:r w:rsidR="00BE061A">
        <w:rPr>
          <w:rFonts w:ascii="ITC Avant Garde" w:hAnsi="ITC Avant Garde"/>
        </w:rPr>
        <w:t xml:space="preserve"> de los </w:t>
      </w:r>
      <w:r w:rsidR="00BE061A">
        <w:rPr>
          <w:rFonts w:ascii="ITC Avant Garde" w:hAnsi="ITC Avant Garde"/>
          <w:b/>
        </w:rPr>
        <w:t>LINEAMIENTOS</w:t>
      </w:r>
      <w:r w:rsidR="00DF1367">
        <w:rPr>
          <w:rFonts w:ascii="ITC Avant Garde" w:hAnsi="ITC Avant Garde"/>
          <w:b/>
        </w:rPr>
        <w:t xml:space="preserve"> </w:t>
      </w:r>
      <w:r w:rsidR="00DF1367" w:rsidRPr="00DF1367">
        <w:rPr>
          <w:rFonts w:ascii="ITC Avant Garde" w:hAnsi="ITC Avant Garde"/>
        </w:rPr>
        <w:t>y</w:t>
      </w:r>
      <w:r w:rsidR="00BE061A">
        <w:rPr>
          <w:rFonts w:ascii="ITC Avant Garde" w:hAnsi="ITC Avant Garde"/>
          <w:b/>
        </w:rPr>
        <w:t xml:space="preserve"> </w:t>
      </w:r>
      <w:r w:rsidR="00BE061A">
        <w:rPr>
          <w:rFonts w:ascii="ITC Avant Garde" w:hAnsi="ITC Avant Garde"/>
        </w:rPr>
        <w:t xml:space="preserve">sus respectivas modificaciones contenidas en el </w:t>
      </w:r>
      <w:r w:rsidR="00BE061A">
        <w:rPr>
          <w:rFonts w:ascii="ITC Avant Garde" w:hAnsi="ITC Avant Garde"/>
          <w:b/>
        </w:rPr>
        <w:t>ACUERDO MODIFICATORIO</w:t>
      </w:r>
      <w:r w:rsidR="00DF1367">
        <w:rPr>
          <w:rFonts w:ascii="ITC Avant Garde" w:hAnsi="ITC Avant Garde"/>
          <w:b/>
        </w:rPr>
        <w:t xml:space="preserve">, </w:t>
      </w:r>
      <w:r w:rsidR="00DF1367" w:rsidRPr="00DF1367">
        <w:rPr>
          <w:rFonts w:ascii="ITC Avant Garde" w:hAnsi="ITC Avant Garde"/>
        </w:rPr>
        <w:t xml:space="preserve">en relación </w:t>
      </w:r>
      <w:r w:rsidR="00DF1367">
        <w:rPr>
          <w:rFonts w:ascii="ITC Avant Garde" w:hAnsi="ITC Avant Garde"/>
        </w:rPr>
        <w:t>con</w:t>
      </w:r>
      <w:r w:rsidR="00BE061A">
        <w:rPr>
          <w:rFonts w:ascii="ITC Avant Garde" w:hAnsi="ITC Avant Garde"/>
          <w:b/>
        </w:rPr>
        <w:t xml:space="preserve"> </w:t>
      </w:r>
      <w:r w:rsidR="00BE061A">
        <w:rPr>
          <w:rFonts w:ascii="ITC Avant Garde" w:hAnsi="ITC Avant Garde"/>
        </w:rPr>
        <w:t xml:space="preserve">el </w:t>
      </w:r>
      <w:r w:rsidR="00BE061A">
        <w:rPr>
          <w:rFonts w:ascii="ITC Avant Garde" w:hAnsi="ITC Avant Garde"/>
          <w:b/>
        </w:rPr>
        <w:t xml:space="preserve">LISTADO </w:t>
      </w:r>
      <w:r w:rsidR="00BE061A">
        <w:rPr>
          <w:rFonts w:ascii="ITC Avant Garde" w:hAnsi="ITC Avant Garde"/>
        </w:rPr>
        <w:t xml:space="preserve">y sus correspondientes </w:t>
      </w:r>
      <w:r w:rsidR="00BE061A">
        <w:rPr>
          <w:rFonts w:ascii="ITC Avant Garde" w:hAnsi="ITC Avant Garde"/>
          <w:b/>
        </w:rPr>
        <w:t>ACTUALIZACIONES.</w:t>
      </w:r>
    </w:p>
    <w:p w14:paraId="66BFF903" w14:textId="77777777" w:rsidR="00E2222D" w:rsidRDefault="00F97679" w:rsidP="00907F25">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SEXTO</w:t>
      </w:r>
      <w:r w:rsidR="006A7614" w:rsidRPr="006A7614">
        <w:rPr>
          <w:rFonts w:ascii="ITC Avant Garde" w:eastAsia="Times New Roman" w:hAnsi="ITC Avant Garde"/>
          <w:b/>
          <w:bCs/>
          <w:color w:val="000000"/>
          <w:lang w:eastAsia="es-MX"/>
        </w:rPr>
        <w:t xml:space="preserve">. </w:t>
      </w:r>
      <w:r w:rsidR="006A7614" w:rsidRPr="006A7614">
        <w:rPr>
          <w:rFonts w:ascii="ITC Avant Garde" w:eastAsia="Times New Roman" w:hAnsi="ITC Avant Garde"/>
          <w:bCs/>
          <w:color w:val="000000"/>
          <w:lang w:eastAsia="es-MX"/>
        </w:rPr>
        <w:t xml:space="preserve">El </w:t>
      </w:r>
      <w:r w:rsidR="00427440">
        <w:rPr>
          <w:rFonts w:ascii="ITC Avant Garde" w:eastAsia="Times New Roman" w:hAnsi="ITC Avant Garde"/>
          <w:bCs/>
          <w:color w:val="000000"/>
          <w:lang w:eastAsia="es-MX"/>
        </w:rPr>
        <w:t>cuatro de mayo</w:t>
      </w:r>
      <w:r w:rsidR="00C22A72">
        <w:rPr>
          <w:rFonts w:ascii="ITC Avant Garde" w:eastAsia="Times New Roman" w:hAnsi="ITC Avant Garde"/>
          <w:bCs/>
          <w:color w:val="000000"/>
          <w:lang w:eastAsia="es-MX"/>
        </w:rPr>
        <w:t xml:space="preserve"> de dos mil dieciséis, se notificó a </w:t>
      </w:r>
      <w:r w:rsidR="00427440">
        <w:rPr>
          <w:rFonts w:ascii="ITC Avant Garde" w:eastAsia="Times New Roman" w:hAnsi="ITC Avant Garde"/>
          <w:b/>
          <w:bCs/>
          <w:color w:val="000000"/>
          <w:lang w:eastAsia="es-MX"/>
        </w:rPr>
        <w:t>MEGA CABLE</w:t>
      </w:r>
      <w:r w:rsidR="0094452B">
        <w:rPr>
          <w:rFonts w:ascii="ITC Avant Garde" w:eastAsia="Times New Roman" w:hAnsi="ITC Avant Garde"/>
          <w:b/>
          <w:bCs/>
          <w:color w:val="000000"/>
          <w:lang w:eastAsia="es-MX"/>
        </w:rPr>
        <w:t xml:space="preserve"> </w:t>
      </w:r>
      <w:r w:rsidR="006A7614" w:rsidRPr="006A7614">
        <w:rPr>
          <w:rFonts w:ascii="ITC Avant Garde" w:eastAsia="Times New Roman" w:hAnsi="ITC Avant Garde"/>
          <w:bCs/>
          <w:color w:val="000000"/>
          <w:lang w:eastAsia="es-MX"/>
        </w:rPr>
        <w:t xml:space="preserve">el acuerdo de inicio </w:t>
      </w:r>
      <w:r w:rsidR="00247945">
        <w:rPr>
          <w:rFonts w:ascii="ITC Avant Garde" w:eastAsia="Times New Roman" w:hAnsi="ITC Avant Garde"/>
          <w:bCs/>
          <w:color w:val="000000"/>
          <w:lang w:eastAsia="es-MX"/>
        </w:rPr>
        <w:t xml:space="preserve">del procedimiento administrativo de imposición de sanción </w:t>
      </w:r>
      <w:r w:rsidR="006A7614" w:rsidRPr="006A7614">
        <w:rPr>
          <w:rFonts w:ascii="ITC Avant Garde" w:eastAsia="Times New Roman" w:hAnsi="ITC Avant Garde"/>
          <w:bCs/>
          <w:color w:val="000000"/>
          <w:lang w:eastAsia="es-MX"/>
        </w:rPr>
        <w:t xml:space="preserve">de </w:t>
      </w:r>
      <w:r w:rsidR="00427440">
        <w:rPr>
          <w:rFonts w:ascii="ITC Avant Garde" w:eastAsia="Times New Roman" w:hAnsi="ITC Avant Garde"/>
          <w:bCs/>
          <w:color w:val="000000"/>
          <w:lang w:eastAsia="es-MX"/>
        </w:rPr>
        <w:t>veintinueve de abril</w:t>
      </w:r>
      <w:r w:rsidR="00C22A72">
        <w:rPr>
          <w:rFonts w:ascii="ITC Avant Garde" w:eastAsia="Times New Roman" w:hAnsi="ITC Avant Garde"/>
          <w:bCs/>
          <w:color w:val="000000"/>
          <w:lang w:eastAsia="es-MX"/>
        </w:rPr>
        <w:t xml:space="preserve"> de </w:t>
      </w:r>
      <w:r w:rsidR="00C42315">
        <w:rPr>
          <w:rFonts w:ascii="ITC Avant Garde" w:eastAsia="Times New Roman" w:hAnsi="ITC Avant Garde"/>
          <w:bCs/>
          <w:color w:val="000000"/>
          <w:lang w:eastAsia="es-MX"/>
        </w:rPr>
        <w:t>dos mil dieciséis</w:t>
      </w:r>
      <w:r w:rsidR="006A7614" w:rsidRPr="006A7614">
        <w:rPr>
          <w:rFonts w:ascii="ITC Avant Garde" w:eastAsia="Times New Roman" w:hAnsi="ITC Avant Garde"/>
          <w:bCs/>
          <w:color w:val="000000"/>
          <w:lang w:eastAsia="es-MX"/>
        </w:rPr>
        <w:t>, concediéndole un plazo de quince días</w:t>
      </w:r>
      <w:r w:rsidR="00B35F28">
        <w:rPr>
          <w:rFonts w:ascii="ITC Avant Garde" w:eastAsia="Times New Roman" w:hAnsi="ITC Avant Garde"/>
          <w:bCs/>
          <w:color w:val="000000"/>
          <w:lang w:eastAsia="es-MX"/>
        </w:rPr>
        <w:t xml:space="preserve"> hábiles</w:t>
      </w:r>
      <w:r w:rsidR="006A7614" w:rsidRPr="006A7614">
        <w:rPr>
          <w:rFonts w:ascii="ITC Avant Garde" w:eastAsia="Times New Roman" w:hAnsi="ITC Avant Garde"/>
          <w:bCs/>
          <w:color w:val="000000"/>
          <w:lang w:eastAsia="es-MX"/>
        </w:rPr>
        <w:t xml:space="preserve">, contados a partir del día siguiente al que surtiera sus efectos la notificación </w:t>
      </w:r>
      <w:r w:rsidR="00247945">
        <w:rPr>
          <w:rFonts w:ascii="ITC Avant Garde" w:eastAsia="Times New Roman" w:hAnsi="ITC Avant Garde"/>
          <w:bCs/>
          <w:color w:val="000000"/>
          <w:lang w:eastAsia="es-MX"/>
        </w:rPr>
        <w:t>de dicho acuerdo</w:t>
      </w:r>
      <w:r w:rsidR="006A7614" w:rsidRPr="006A7614">
        <w:rPr>
          <w:rFonts w:ascii="ITC Avant Garde" w:eastAsia="Times New Roman" w:hAnsi="ITC Avant Garde"/>
          <w:bCs/>
          <w:color w:val="000000"/>
          <w:lang w:eastAsia="es-MX"/>
        </w:rPr>
        <w:t>, para que en uso del beneficio de la garantía de audiencia consagrada en el artículo 14 de la Constitución Política de los Estados Unidos Mexicanos</w:t>
      </w:r>
      <w:r w:rsidR="00442056">
        <w:rPr>
          <w:rFonts w:ascii="ITC Avant Garde" w:eastAsia="Times New Roman" w:hAnsi="ITC Avant Garde"/>
          <w:bCs/>
          <w:color w:val="000000"/>
          <w:lang w:eastAsia="es-MX"/>
        </w:rPr>
        <w:t xml:space="preserve"> (en lo sucesivo </w:t>
      </w:r>
      <w:r w:rsidR="00442056">
        <w:rPr>
          <w:rFonts w:ascii="ITC Avant Garde" w:eastAsia="Times New Roman" w:hAnsi="ITC Avant Garde"/>
          <w:b/>
          <w:bCs/>
          <w:color w:val="000000"/>
          <w:lang w:eastAsia="es-MX"/>
        </w:rPr>
        <w:t>“CPEUM”</w:t>
      </w:r>
      <w:r w:rsidR="00442056">
        <w:rPr>
          <w:rFonts w:ascii="ITC Avant Garde" w:eastAsia="Times New Roman" w:hAnsi="ITC Avant Garde"/>
          <w:bCs/>
          <w:color w:val="000000"/>
          <w:lang w:eastAsia="es-MX"/>
        </w:rPr>
        <w:t>)</w:t>
      </w:r>
      <w:r w:rsidR="00B35F28">
        <w:rPr>
          <w:rFonts w:ascii="ITC Avant Garde" w:eastAsia="Times New Roman" w:hAnsi="ITC Avant Garde"/>
          <w:bCs/>
          <w:color w:val="000000"/>
          <w:lang w:eastAsia="es-MX"/>
        </w:rPr>
        <w:t>, en relación con e</w:t>
      </w:r>
      <w:r w:rsidR="006A7614" w:rsidRPr="006A7614">
        <w:rPr>
          <w:rFonts w:ascii="ITC Avant Garde" w:eastAsia="Times New Roman" w:hAnsi="ITC Avant Garde"/>
          <w:bCs/>
          <w:color w:val="000000"/>
          <w:lang w:eastAsia="es-MX"/>
        </w:rPr>
        <w:t xml:space="preserve">l artículo 72 de la Ley Federal </w:t>
      </w:r>
      <w:r w:rsidR="00427440">
        <w:rPr>
          <w:rFonts w:ascii="ITC Avant Garde" w:eastAsia="Times New Roman" w:hAnsi="ITC Avant Garde"/>
          <w:bCs/>
          <w:color w:val="000000"/>
          <w:lang w:eastAsia="es-MX"/>
        </w:rPr>
        <w:t>de Procedimiento Administrativo</w:t>
      </w:r>
      <w:r w:rsidR="006A7614" w:rsidRPr="006A7614">
        <w:rPr>
          <w:rFonts w:ascii="ITC Avant Garde" w:eastAsia="Times New Roman" w:hAnsi="ITC Avant Garde"/>
          <w:bCs/>
          <w:color w:val="000000"/>
          <w:lang w:eastAsia="es-MX"/>
        </w:rPr>
        <w:t xml:space="preserve"> </w:t>
      </w:r>
      <w:r w:rsidR="00427440">
        <w:rPr>
          <w:rFonts w:ascii="ITC Avant Garde" w:eastAsia="Times New Roman" w:hAnsi="ITC Avant Garde"/>
          <w:bCs/>
          <w:color w:val="000000"/>
          <w:lang w:eastAsia="es-MX"/>
        </w:rPr>
        <w:t>(e</w:t>
      </w:r>
      <w:r w:rsidR="006A7614" w:rsidRPr="006A7614">
        <w:rPr>
          <w:rFonts w:ascii="ITC Avant Garde" w:eastAsia="Times New Roman" w:hAnsi="ITC Avant Garde"/>
          <w:bCs/>
          <w:color w:val="000000"/>
          <w:lang w:eastAsia="es-MX"/>
        </w:rPr>
        <w:t xml:space="preserve">n adelante </w:t>
      </w:r>
      <w:r w:rsidR="006A7614" w:rsidRPr="00427440">
        <w:rPr>
          <w:rFonts w:ascii="ITC Avant Garde" w:eastAsia="Times New Roman" w:hAnsi="ITC Avant Garde"/>
          <w:b/>
          <w:bCs/>
          <w:color w:val="000000"/>
          <w:lang w:eastAsia="es-MX"/>
        </w:rPr>
        <w:t>“LFPA”</w:t>
      </w:r>
      <w:r w:rsidR="00427440" w:rsidRPr="00427440">
        <w:rPr>
          <w:rFonts w:ascii="ITC Avant Garde" w:eastAsia="Times New Roman" w:hAnsi="ITC Avant Garde"/>
          <w:b/>
          <w:bCs/>
          <w:color w:val="000000"/>
          <w:lang w:eastAsia="es-MX"/>
        </w:rPr>
        <w:t>)</w:t>
      </w:r>
      <w:r w:rsidR="006A7614" w:rsidRPr="00427440">
        <w:rPr>
          <w:rFonts w:ascii="ITC Avant Garde" w:eastAsia="Times New Roman" w:hAnsi="ITC Avant Garde"/>
          <w:b/>
          <w:bCs/>
          <w:color w:val="000000"/>
          <w:lang w:eastAsia="es-MX"/>
        </w:rPr>
        <w:t>,</w:t>
      </w:r>
      <w:r w:rsidR="006A7614" w:rsidRPr="006A7614">
        <w:rPr>
          <w:rFonts w:ascii="ITC Avant Garde" w:eastAsia="Times New Roman" w:hAnsi="ITC Avant Garde"/>
          <w:bCs/>
          <w:color w:val="000000"/>
          <w:lang w:eastAsia="es-MX"/>
        </w:rPr>
        <w:t xml:space="preserve"> de aplicación supletoria en términos del artículo 6, fracción IV y 297 de la Ley Federal de Telecomunicaciones y Radiodifusión </w:t>
      </w:r>
      <w:r w:rsidR="00427440">
        <w:rPr>
          <w:rFonts w:ascii="ITC Avant Garde" w:eastAsia="Times New Roman" w:hAnsi="ITC Avant Garde"/>
          <w:bCs/>
          <w:color w:val="000000"/>
          <w:lang w:eastAsia="es-MX"/>
        </w:rPr>
        <w:t>(</w:t>
      </w:r>
      <w:r w:rsidR="00EF4EFF">
        <w:rPr>
          <w:rFonts w:ascii="ITC Avant Garde" w:eastAsia="Times New Roman" w:hAnsi="ITC Avant Garde"/>
          <w:bCs/>
          <w:color w:val="000000"/>
          <w:lang w:eastAsia="es-MX"/>
        </w:rPr>
        <w:t xml:space="preserve">en lo sucesivo </w:t>
      </w:r>
      <w:r w:rsidR="006A7614" w:rsidRPr="00427440">
        <w:rPr>
          <w:rFonts w:ascii="ITC Avant Garde" w:eastAsia="Times New Roman" w:hAnsi="ITC Avant Garde"/>
          <w:b/>
          <w:bCs/>
          <w:color w:val="000000"/>
          <w:lang w:eastAsia="es-MX"/>
        </w:rPr>
        <w:t>“LFTR”</w:t>
      </w:r>
      <w:r w:rsidR="00427440" w:rsidRPr="00427440">
        <w:rPr>
          <w:rFonts w:ascii="ITC Avant Garde" w:eastAsia="Times New Roman" w:hAnsi="ITC Avant Garde"/>
          <w:b/>
          <w:bCs/>
          <w:color w:val="000000"/>
          <w:lang w:eastAsia="es-MX"/>
        </w:rPr>
        <w:t>)</w:t>
      </w:r>
      <w:r w:rsidR="006A7614" w:rsidRPr="00427440">
        <w:rPr>
          <w:rFonts w:ascii="ITC Avant Garde" w:eastAsia="Times New Roman" w:hAnsi="ITC Avant Garde"/>
          <w:b/>
          <w:bCs/>
          <w:color w:val="000000"/>
          <w:lang w:eastAsia="es-MX"/>
        </w:rPr>
        <w:t>,</w:t>
      </w:r>
      <w:r w:rsidR="006A7614" w:rsidRPr="006A7614">
        <w:rPr>
          <w:rFonts w:ascii="ITC Avant Garde" w:eastAsia="Times New Roman" w:hAnsi="ITC Avant Garde"/>
          <w:bCs/>
          <w:color w:val="000000"/>
          <w:lang w:eastAsia="es-MX"/>
        </w:rPr>
        <w:t xml:space="preserve"> expusiera lo que a su derecho conviniera y, en su caso aportara las pruebas con que contara. </w:t>
      </w:r>
    </w:p>
    <w:p w14:paraId="17949C53" w14:textId="77777777" w:rsidR="00E2222D" w:rsidRDefault="006A7614" w:rsidP="00907F25">
      <w:pPr>
        <w:spacing w:after="240" w:line="360" w:lineRule="auto"/>
        <w:jc w:val="both"/>
        <w:rPr>
          <w:rFonts w:ascii="ITC Avant Garde" w:eastAsia="Times New Roman" w:hAnsi="ITC Avant Garde"/>
          <w:bCs/>
          <w:i/>
          <w:color w:val="000000"/>
          <w:lang w:eastAsia="es-MX"/>
        </w:rPr>
      </w:pPr>
      <w:r w:rsidRPr="006A7614">
        <w:rPr>
          <w:rFonts w:ascii="ITC Avant Garde" w:eastAsia="Times New Roman" w:hAnsi="ITC Avant Garde"/>
          <w:bCs/>
          <w:color w:val="000000"/>
          <w:lang w:eastAsia="es-MX"/>
        </w:rPr>
        <w:t xml:space="preserve">El término concedido a </w:t>
      </w:r>
      <w:r w:rsidR="00427440">
        <w:rPr>
          <w:rFonts w:ascii="ITC Avant Garde" w:eastAsia="Times New Roman" w:hAnsi="ITC Avant Garde"/>
          <w:b/>
          <w:bCs/>
          <w:color w:val="000000"/>
          <w:lang w:eastAsia="es-MX"/>
        </w:rPr>
        <w:t>MEGA CABLE</w:t>
      </w:r>
      <w:r w:rsidR="00991BA8">
        <w:rPr>
          <w:rFonts w:ascii="ITC Avant Garde" w:eastAsia="Times New Roman" w:hAnsi="ITC Avant Garde"/>
          <w:b/>
          <w:bCs/>
          <w:color w:val="000000"/>
          <w:lang w:eastAsia="es-MX"/>
        </w:rPr>
        <w:t xml:space="preserve"> </w:t>
      </w:r>
      <w:r w:rsidR="00991BA8" w:rsidRPr="006A7614">
        <w:rPr>
          <w:rFonts w:ascii="ITC Avant Garde" w:hAnsi="ITC Avant Garde"/>
          <w:color w:val="000000"/>
        </w:rPr>
        <w:t>para</w:t>
      </w:r>
      <w:r w:rsidRPr="006A7614">
        <w:rPr>
          <w:rFonts w:ascii="ITC Avant Garde" w:eastAsia="Times New Roman" w:hAnsi="ITC Avant Garde"/>
          <w:bCs/>
          <w:color w:val="000000"/>
          <w:lang w:eastAsia="es-MX"/>
        </w:rPr>
        <w:t xml:space="preserve"> presentar sus manifestaciones y pruebas, corrió del </w:t>
      </w:r>
      <w:r w:rsidR="00427440">
        <w:rPr>
          <w:rFonts w:ascii="ITC Avant Garde" w:eastAsia="Times New Roman" w:hAnsi="ITC Avant Garde"/>
          <w:bCs/>
          <w:color w:val="000000"/>
          <w:lang w:eastAsia="es-MX"/>
        </w:rPr>
        <w:t>seis al veintiséis de mayo</w:t>
      </w:r>
      <w:r w:rsidR="0011296F">
        <w:rPr>
          <w:rFonts w:ascii="ITC Avant Garde" w:eastAsia="Times New Roman" w:hAnsi="ITC Avant Garde"/>
          <w:bCs/>
          <w:color w:val="000000"/>
          <w:lang w:eastAsia="es-MX"/>
        </w:rPr>
        <w:t xml:space="preserve"> de</w:t>
      </w:r>
      <w:r w:rsidR="00C22A72">
        <w:rPr>
          <w:rFonts w:ascii="ITC Avant Garde" w:eastAsia="Times New Roman" w:hAnsi="ITC Avant Garde"/>
          <w:bCs/>
          <w:color w:val="000000"/>
          <w:lang w:eastAsia="es-MX"/>
        </w:rPr>
        <w:t xml:space="preserve"> dos mil dieciséis</w:t>
      </w:r>
      <w:r w:rsidR="00D27F9D">
        <w:rPr>
          <w:rFonts w:ascii="ITC Avant Garde" w:eastAsia="Times New Roman" w:hAnsi="ITC Avant Garde"/>
          <w:bCs/>
          <w:color w:val="000000"/>
          <w:lang w:eastAsia="es-MX"/>
        </w:rPr>
        <w:t xml:space="preserve">, </w:t>
      </w:r>
      <w:r w:rsidR="00BB3320" w:rsidRPr="00BB3320">
        <w:rPr>
          <w:rFonts w:ascii="ITC Avant Garde" w:eastAsia="Times New Roman" w:hAnsi="ITC Avant Garde"/>
          <w:bCs/>
          <w:lang w:eastAsia="es-MX"/>
        </w:rPr>
        <w:t xml:space="preserve">sin considerar los días </w:t>
      </w:r>
      <w:r w:rsidR="00427440">
        <w:rPr>
          <w:rFonts w:ascii="ITC Avant Garde" w:eastAsia="Times New Roman" w:hAnsi="ITC Avant Garde"/>
          <w:bCs/>
          <w:lang w:eastAsia="es-MX"/>
        </w:rPr>
        <w:t>cinco, siete, ocho, catorce, quince, veintiuno y veintidós de mayo de dos mil dieciséis</w:t>
      </w:r>
      <w:r w:rsidR="00E9075B">
        <w:rPr>
          <w:rFonts w:ascii="ITC Avant Garde" w:eastAsia="Times New Roman" w:hAnsi="ITC Avant Garde"/>
          <w:bCs/>
          <w:lang w:eastAsia="es-MX"/>
        </w:rPr>
        <w:t xml:space="preserve"> por haber sido</w:t>
      </w:r>
      <w:r w:rsidR="00EB72C1">
        <w:rPr>
          <w:rFonts w:ascii="ITC Avant Garde" w:eastAsia="Times New Roman" w:hAnsi="ITC Avant Garde"/>
          <w:bCs/>
          <w:lang w:eastAsia="es-MX"/>
        </w:rPr>
        <w:t xml:space="preserve"> sábados,</w:t>
      </w:r>
      <w:r w:rsidR="00BB3320" w:rsidRPr="00BB3320">
        <w:rPr>
          <w:rFonts w:ascii="ITC Avant Garde" w:eastAsia="Times New Roman" w:hAnsi="ITC Avant Garde"/>
          <w:bCs/>
          <w:lang w:eastAsia="es-MX"/>
        </w:rPr>
        <w:t xml:space="preserve"> domingos</w:t>
      </w:r>
      <w:r w:rsidR="00EB72C1">
        <w:rPr>
          <w:rFonts w:ascii="ITC Avant Garde" w:eastAsia="Times New Roman" w:hAnsi="ITC Avant Garde"/>
          <w:bCs/>
          <w:lang w:eastAsia="es-MX"/>
        </w:rPr>
        <w:t xml:space="preserve"> y día inhábil</w:t>
      </w:r>
      <w:r w:rsidR="00293B70">
        <w:rPr>
          <w:rFonts w:ascii="ITC Avant Garde" w:eastAsia="Times New Roman" w:hAnsi="ITC Avant Garde"/>
          <w:bCs/>
          <w:lang w:eastAsia="es-MX"/>
        </w:rPr>
        <w:t>,</w:t>
      </w:r>
      <w:r w:rsidR="00BB3320" w:rsidRPr="00BB3320">
        <w:rPr>
          <w:rFonts w:ascii="ITC Avant Garde" w:eastAsia="Times New Roman" w:hAnsi="ITC Avant Garde"/>
          <w:bCs/>
          <w:lang w:eastAsia="es-MX"/>
        </w:rPr>
        <w:t xml:space="preserve"> </w:t>
      </w:r>
      <w:r w:rsidR="005B7D48">
        <w:rPr>
          <w:rFonts w:ascii="ITC Avant Garde" w:eastAsia="Times New Roman" w:hAnsi="ITC Avant Garde"/>
          <w:bCs/>
          <w:color w:val="000000"/>
          <w:lang w:eastAsia="es-MX"/>
        </w:rPr>
        <w:t>en</w:t>
      </w:r>
      <w:r w:rsidR="005B7D48" w:rsidRPr="00D27F9D">
        <w:rPr>
          <w:rFonts w:ascii="ITC Avant Garde" w:eastAsia="Times New Roman" w:hAnsi="ITC Avant Garde"/>
          <w:bCs/>
          <w:color w:val="000000"/>
          <w:lang w:eastAsia="es-MX"/>
        </w:rPr>
        <w:t xml:space="preserve"> términos del artículo 28 de la </w:t>
      </w:r>
      <w:r w:rsidR="005B7D48" w:rsidRPr="00D27F9D">
        <w:rPr>
          <w:rFonts w:ascii="ITC Avant Garde" w:eastAsia="Times New Roman" w:hAnsi="ITC Avant Garde"/>
          <w:b/>
          <w:bCs/>
          <w:color w:val="000000"/>
          <w:lang w:eastAsia="es-MX"/>
        </w:rPr>
        <w:t>LFPA</w:t>
      </w:r>
      <w:r w:rsidR="00C76D3A">
        <w:rPr>
          <w:rFonts w:ascii="ITC Avant Garde" w:eastAsia="Times New Roman" w:hAnsi="ITC Avant Garde"/>
          <w:b/>
          <w:bCs/>
          <w:color w:val="000000"/>
          <w:lang w:eastAsia="es-MX"/>
        </w:rPr>
        <w:t xml:space="preserve"> </w:t>
      </w:r>
      <w:r w:rsidR="00C76D3A">
        <w:rPr>
          <w:rFonts w:ascii="ITC Avant Garde" w:eastAsia="Times New Roman" w:hAnsi="ITC Avant Garde"/>
          <w:bCs/>
          <w:color w:val="000000"/>
          <w:lang w:eastAsia="es-MX"/>
        </w:rPr>
        <w:t xml:space="preserve">y </w:t>
      </w:r>
      <w:r w:rsidR="00965F3B">
        <w:rPr>
          <w:rFonts w:ascii="ITC Avant Garde" w:eastAsia="Times New Roman" w:hAnsi="ITC Avant Garde"/>
          <w:bCs/>
          <w:color w:val="000000"/>
          <w:lang w:eastAsia="es-MX"/>
        </w:rPr>
        <w:t>d</w:t>
      </w:r>
      <w:r w:rsidR="00C76D3A">
        <w:rPr>
          <w:rFonts w:ascii="ITC Avant Garde" w:eastAsia="Times New Roman" w:hAnsi="ITC Avant Garde"/>
          <w:bCs/>
          <w:color w:val="000000"/>
          <w:lang w:eastAsia="es-MX"/>
        </w:rPr>
        <w:t xml:space="preserve">el </w:t>
      </w:r>
      <w:r w:rsidR="00C76D3A" w:rsidRPr="00DF1367">
        <w:rPr>
          <w:rFonts w:ascii="ITC Avant Garde" w:eastAsia="Times New Roman" w:hAnsi="ITC Avant Garde"/>
          <w:bCs/>
          <w:i/>
          <w:color w:val="000000"/>
          <w:lang w:eastAsia="es-MX"/>
        </w:rPr>
        <w:t>“ACUERDO mediante el cual el Pleno del Instituto Federal de Telecomunicaciones aprueba su calendario anual de sesiones ordinarias y el calendario anual de labores para el año 2016 y principios de 2017</w:t>
      </w:r>
      <w:r w:rsidR="00C76D3A">
        <w:rPr>
          <w:rFonts w:ascii="ITC Avant Garde" w:eastAsia="Times New Roman" w:hAnsi="ITC Avant Garde"/>
          <w:bCs/>
          <w:i/>
          <w:color w:val="000000"/>
          <w:lang w:eastAsia="es-MX"/>
        </w:rPr>
        <w:t>”</w:t>
      </w:r>
      <w:r w:rsidR="00C76D3A" w:rsidRPr="00DF1367">
        <w:rPr>
          <w:rFonts w:ascii="ITC Avant Garde" w:eastAsia="Times New Roman" w:hAnsi="ITC Avant Garde"/>
          <w:bCs/>
          <w:i/>
          <w:color w:val="000000"/>
          <w:lang w:eastAsia="es-MX"/>
        </w:rPr>
        <w:t>.</w:t>
      </w:r>
    </w:p>
    <w:p w14:paraId="4CC92B5E" w14:textId="77777777" w:rsidR="00E2222D" w:rsidRDefault="00F97679" w:rsidP="00907F25">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SÉPTIMO</w:t>
      </w:r>
      <w:r w:rsidR="006A7614" w:rsidRPr="006A7614">
        <w:rPr>
          <w:rFonts w:ascii="ITC Avant Garde" w:eastAsia="Times New Roman" w:hAnsi="ITC Avant Garde"/>
          <w:b/>
          <w:bCs/>
          <w:color w:val="000000"/>
          <w:lang w:eastAsia="es-MX"/>
        </w:rPr>
        <w:t xml:space="preserve">. </w:t>
      </w:r>
      <w:r w:rsidR="006A7614" w:rsidRPr="006A7614">
        <w:rPr>
          <w:rFonts w:ascii="ITC Avant Garde" w:eastAsia="Times New Roman" w:hAnsi="ITC Avant Garde"/>
          <w:bCs/>
          <w:color w:val="000000"/>
          <w:lang w:eastAsia="es-MX"/>
        </w:rPr>
        <w:t xml:space="preserve">Mediante </w:t>
      </w:r>
      <w:r w:rsidR="00EB5FA0">
        <w:rPr>
          <w:rFonts w:ascii="ITC Avant Garde" w:eastAsia="Times New Roman" w:hAnsi="ITC Avant Garde"/>
          <w:bCs/>
          <w:color w:val="000000"/>
          <w:lang w:eastAsia="es-MX"/>
        </w:rPr>
        <w:t xml:space="preserve">escrito presentado en la oficialía de partes de este </w:t>
      </w:r>
      <w:r w:rsidR="00EB5FA0" w:rsidRPr="00EB5FA0">
        <w:rPr>
          <w:rFonts w:ascii="ITC Avant Garde" w:eastAsia="Times New Roman" w:hAnsi="ITC Avant Garde"/>
          <w:b/>
          <w:bCs/>
          <w:color w:val="000000"/>
          <w:lang w:eastAsia="es-MX"/>
        </w:rPr>
        <w:t>IFT</w:t>
      </w:r>
      <w:r w:rsidR="00EB5FA0">
        <w:rPr>
          <w:rFonts w:ascii="ITC Avant Garde" w:eastAsia="Times New Roman" w:hAnsi="ITC Avant Garde"/>
          <w:bCs/>
          <w:color w:val="000000"/>
          <w:lang w:eastAsia="es-MX"/>
        </w:rPr>
        <w:t xml:space="preserve"> el </w:t>
      </w:r>
      <w:r w:rsidR="00EB72C1">
        <w:rPr>
          <w:rFonts w:ascii="ITC Avant Garde" w:eastAsia="Times New Roman" w:hAnsi="ITC Avant Garde"/>
          <w:bCs/>
          <w:color w:val="000000"/>
          <w:lang w:eastAsia="es-MX"/>
        </w:rPr>
        <w:t>veinticuatro de mayo</w:t>
      </w:r>
      <w:r w:rsidR="00BB3320">
        <w:rPr>
          <w:rFonts w:ascii="ITC Avant Garde" w:eastAsia="Times New Roman" w:hAnsi="ITC Avant Garde"/>
          <w:bCs/>
          <w:color w:val="000000"/>
          <w:lang w:eastAsia="es-MX"/>
        </w:rPr>
        <w:t xml:space="preserve"> de dos mil dieciséis</w:t>
      </w:r>
      <w:r w:rsidR="00EB5FA0">
        <w:rPr>
          <w:rFonts w:ascii="ITC Avant Garde" w:eastAsia="Times New Roman" w:hAnsi="ITC Avant Garde"/>
          <w:bCs/>
          <w:color w:val="000000"/>
          <w:lang w:eastAsia="es-MX"/>
        </w:rPr>
        <w:t xml:space="preserve">, el </w:t>
      </w:r>
      <w:r w:rsidR="00EB5FA0" w:rsidRPr="00311C56">
        <w:rPr>
          <w:rFonts w:ascii="ITC Avant Garde" w:eastAsia="Times New Roman" w:hAnsi="ITC Avant Garde"/>
          <w:b/>
          <w:bCs/>
          <w:color w:val="000000"/>
          <w:lang w:eastAsia="es-MX"/>
        </w:rPr>
        <w:t xml:space="preserve">C. </w:t>
      </w:r>
      <w:r w:rsidR="00BB3320">
        <w:rPr>
          <w:rFonts w:ascii="ITC Avant Garde" w:eastAsia="Times New Roman" w:hAnsi="ITC Avant Garde"/>
          <w:b/>
          <w:bCs/>
          <w:color w:val="000000"/>
          <w:lang w:eastAsia="es-MX"/>
        </w:rPr>
        <w:t>JORGE RAFAEL CUEVAS RENAUD</w:t>
      </w:r>
      <w:r w:rsidR="00EB5FA0">
        <w:rPr>
          <w:rFonts w:ascii="ITC Avant Garde" w:eastAsia="Times New Roman" w:hAnsi="ITC Avant Garde"/>
          <w:bCs/>
          <w:color w:val="000000"/>
          <w:lang w:eastAsia="es-MX"/>
        </w:rPr>
        <w:t xml:space="preserve"> en representación de </w:t>
      </w:r>
      <w:r w:rsidR="00BB3320">
        <w:rPr>
          <w:rFonts w:ascii="ITC Avant Garde" w:eastAsia="Times New Roman" w:hAnsi="ITC Avant Garde"/>
          <w:b/>
          <w:bCs/>
          <w:color w:val="000000"/>
          <w:lang w:eastAsia="es-MX"/>
        </w:rPr>
        <w:t>MEGA C</w:t>
      </w:r>
      <w:r w:rsidR="007446DE">
        <w:rPr>
          <w:rFonts w:ascii="ITC Avant Garde" w:eastAsia="Times New Roman" w:hAnsi="ITC Avant Garde"/>
          <w:b/>
          <w:bCs/>
          <w:color w:val="000000"/>
          <w:lang w:eastAsia="es-MX"/>
        </w:rPr>
        <w:t>A</w:t>
      </w:r>
      <w:r w:rsidR="00BB3320">
        <w:rPr>
          <w:rFonts w:ascii="ITC Avant Garde" w:eastAsia="Times New Roman" w:hAnsi="ITC Avant Garde"/>
          <w:b/>
          <w:bCs/>
          <w:color w:val="000000"/>
          <w:lang w:eastAsia="es-MX"/>
        </w:rPr>
        <w:t>BLE</w:t>
      </w:r>
      <w:r w:rsidR="00EB5FA0" w:rsidRPr="00EB5FA0">
        <w:rPr>
          <w:rFonts w:ascii="ITC Avant Garde" w:eastAsia="Times New Roman" w:hAnsi="ITC Avant Garde"/>
          <w:b/>
          <w:bCs/>
          <w:color w:val="000000"/>
          <w:lang w:eastAsia="es-MX"/>
        </w:rPr>
        <w:t>,</w:t>
      </w:r>
      <w:r w:rsidR="00EB5FA0">
        <w:rPr>
          <w:rFonts w:ascii="ITC Avant Garde" w:eastAsia="Times New Roman" w:hAnsi="ITC Avant Garde"/>
          <w:bCs/>
          <w:color w:val="000000"/>
          <w:lang w:eastAsia="es-MX"/>
        </w:rPr>
        <w:t xml:space="preserve"> </w:t>
      </w:r>
      <w:r w:rsidR="00BB3320">
        <w:rPr>
          <w:rFonts w:ascii="ITC Avant Garde" w:eastAsia="Times New Roman" w:hAnsi="ITC Avant Garde"/>
          <w:bCs/>
          <w:color w:val="000000"/>
          <w:lang w:eastAsia="es-MX"/>
        </w:rPr>
        <w:t>ofreció</w:t>
      </w:r>
      <w:r w:rsidR="00BB3320" w:rsidRPr="0065481B">
        <w:rPr>
          <w:rFonts w:ascii="ITC Avant Garde" w:eastAsia="Times New Roman" w:hAnsi="ITC Avant Garde"/>
          <w:bCs/>
          <w:color w:val="000000"/>
          <w:lang w:eastAsia="es-MX"/>
        </w:rPr>
        <w:t xml:space="preserve"> manifestaciones y pruebas en relación al acuerdo de inicio de procedimiento de imposición de sanción</w:t>
      </w:r>
      <w:r w:rsidR="00BB3320">
        <w:rPr>
          <w:rFonts w:ascii="ITC Avant Garde" w:eastAsia="Times New Roman" w:hAnsi="ITC Avant Garde"/>
          <w:bCs/>
          <w:color w:val="000000"/>
          <w:lang w:eastAsia="es-MX"/>
        </w:rPr>
        <w:t xml:space="preserve"> de </w:t>
      </w:r>
      <w:r w:rsidR="00EB72C1">
        <w:rPr>
          <w:rFonts w:ascii="ITC Avant Garde" w:eastAsia="Times New Roman" w:hAnsi="ITC Avant Garde"/>
          <w:bCs/>
          <w:color w:val="000000"/>
          <w:lang w:eastAsia="es-MX"/>
        </w:rPr>
        <w:t>veintinueve de abril</w:t>
      </w:r>
      <w:r w:rsidR="00BB3320">
        <w:rPr>
          <w:rFonts w:ascii="ITC Avant Garde" w:eastAsia="Times New Roman" w:hAnsi="ITC Avant Garde"/>
          <w:bCs/>
          <w:color w:val="000000"/>
          <w:lang w:eastAsia="es-MX"/>
        </w:rPr>
        <w:t xml:space="preserve"> de dos mil dieciséis</w:t>
      </w:r>
      <w:r w:rsidR="00AA23FF">
        <w:rPr>
          <w:rFonts w:ascii="ITC Avant Garde" w:eastAsia="Times New Roman" w:hAnsi="ITC Avant Garde"/>
          <w:bCs/>
          <w:color w:val="000000"/>
          <w:lang w:eastAsia="es-MX"/>
        </w:rPr>
        <w:t xml:space="preserve">, </w:t>
      </w:r>
      <w:r w:rsidR="00080518">
        <w:rPr>
          <w:rFonts w:ascii="ITC Avant Garde" w:eastAsia="Times New Roman" w:hAnsi="ITC Avant Garde"/>
          <w:bCs/>
          <w:color w:val="000000"/>
          <w:lang w:eastAsia="es-MX"/>
        </w:rPr>
        <w:t>las cuales se tuvieron</w:t>
      </w:r>
      <w:r w:rsidR="00AA23FF" w:rsidRPr="0065481B">
        <w:rPr>
          <w:rFonts w:ascii="ITC Avant Garde" w:eastAsia="Times New Roman" w:hAnsi="ITC Avant Garde"/>
          <w:bCs/>
          <w:color w:val="000000"/>
          <w:lang w:eastAsia="es-MX"/>
        </w:rPr>
        <w:t xml:space="preserve"> por presentad</w:t>
      </w:r>
      <w:r w:rsidR="00080518">
        <w:rPr>
          <w:rFonts w:ascii="ITC Avant Garde" w:eastAsia="Times New Roman" w:hAnsi="ITC Avant Garde"/>
          <w:bCs/>
          <w:color w:val="000000"/>
          <w:lang w:eastAsia="es-MX"/>
        </w:rPr>
        <w:t>as</w:t>
      </w:r>
      <w:r w:rsidR="00AA23FF" w:rsidRPr="0065481B">
        <w:rPr>
          <w:rFonts w:ascii="ITC Avant Garde" w:eastAsia="Times New Roman" w:hAnsi="ITC Avant Garde"/>
          <w:bCs/>
          <w:color w:val="000000"/>
          <w:lang w:eastAsia="es-MX"/>
        </w:rPr>
        <w:t xml:space="preserve"> en tiempo y forma </w:t>
      </w:r>
      <w:r w:rsidR="00AA23FF">
        <w:rPr>
          <w:rFonts w:ascii="ITC Avant Garde" w:eastAsia="Times New Roman" w:hAnsi="ITC Avant Garde"/>
          <w:bCs/>
          <w:color w:val="000000"/>
          <w:lang w:eastAsia="es-MX"/>
        </w:rPr>
        <w:t xml:space="preserve">mediante acuerdo de </w:t>
      </w:r>
      <w:r w:rsidR="00EB72C1">
        <w:rPr>
          <w:rFonts w:ascii="ITC Avant Garde" w:eastAsia="Times New Roman" w:hAnsi="ITC Avant Garde"/>
          <w:bCs/>
          <w:color w:val="000000"/>
          <w:lang w:eastAsia="es-MX"/>
        </w:rPr>
        <w:t>primero de junio</w:t>
      </w:r>
      <w:r w:rsidR="007343CA">
        <w:rPr>
          <w:rFonts w:ascii="ITC Avant Garde" w:eastAsia="Times New Roman" w:hAnsi="ITC Avant Garde"/>
          <w:bCs/>
          <w:color w:val="000000"/>
          <w:lang w:eastAsia="es-MX"/>
        </w:rPr>
        <w:t xml:space="preserve"> de dos mil dieciséis</w:t>
      </w:r>
      <w:r w:rsidR="00AA23FF">
        <w:rPr>
          <w:rFonts w:ascii="ITC Avant Garde" w:eastAsia="Times New Roman" w:hAnsi="ITC Avant Garde"/>
          <w:bCs/>
          <w:color w:val="000000"/>
          <w:lang w:eastAsia="es-MX"/>
        </w:rPr>
        <w:t>.</w:t>
      </w:r>
    </w:p>
    <w:p w14:paraId="57FC0803" w14:textId="77777777" w:rsidR="00E2222D" w:rsidRDefault="006E1A2D" w:rsidP="00907F25">
      <w:pPr>
        <w:pStyle w:val="Textoindependiente"/>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Asimismo</w:t>
      </w:r>
      <w:r w:rsidRPr="0065481B">
        <w:rPr>
          <w:rFonts w:ascii="ITC Avant Garde" w:eastAsia="Times New Roman" w:hAnsi="ITC Avant Garde"/>
          <w:bCs/>
          <w:color w:val="000000"/>
          <w:lang w:eastAsia="es-MX"/>
        </w:rPr>
        <w:t xml:space="preserve">, por corresponder al estado procesal que guardaba el presente asunto, con fundamento en el artículo 56 de la </w:t>
      </w:r>
      <w:r w:rsidRPr="0065481B">
        <w:rPr>
          <w:rFonts w:ascii="ITC Avant Garde" w:eastAsia="Times New Roman" w:hAnsi="ITC Avant Garde"/>
          <w:b/>
          <w:bCs/>
          <w:color w:val="000000"/>
          <w:lang w:eastAsia="es-MX"/>
        </w:rPr>
        <w:t>LFPA</w:t>
      </w:r>
      <w:r w:rsidRPr="0065481B">
        <w:rPr>
          <w:rFonts w:ascii="ITC Avant Garde" w:eastAsia="Times New Roman" w:hAnsi="ITC Avant Garde"/>
          <w:bCs/>
          <w:color w:val="000000"/>
          <w:lang w:eastAsia="es-MX"/>
        </w:rPr>
        <w:t xml:space="preserve">, se pusieron a disposición de </w:t>
      </w:r>
      <w:r w:rsidR="00EB72C1">
        <w:rPr>
          <w:rFonts w:ascii="ITC Avant Garde" w:eastAsia="Times New Roman" w:hAnsi="ITC Avant Garde"/>
          <w:b/>
          <w:bCs/>
          <w:color w:val="000000"/>
          <w:lang w:eastAsia="es-MX"/>
        </w:rPr>
        <w:t>MEGA CABLE</w:t>
      </w:r>
      <w:r w:rsidR="00516D6D">
        <w:rPr>
          <w:rFonts w:ascii="ITC Avant Garde" w:eastAsia="Times New Roman" w:hAnsi="ITC Avant Garde"/>
          <w:b/>
          <w:bCs/>
          <w:color w:val="000000"/>
          <w:lang w:eastAsia="es-MX"/>
        </w:rPr>
        <w:t xml:space="preserve"> </w:t>
      </w:r>
      <w:r w:rsidRPr="0065481B">
        <w:rPr>
          <w:rFonts w:ascii="ITC Avant Garde" w:eastAsia="Times New Roman" w:hAnsi="ITC Avant Garde"/>
          <w:bCs/>
          <w:color w:val="000000"/>
          <w:lang w:eastAsia="es-MX"/>
        </w:rPr>
        <w:t xml:space="preserve">los autos del expediente </w:t>
      </w:r>
      <w:r>
        <w:rPr>
          <w:rFonts w:ascii="ITC Avant Garde" w:eastAsia="Times New Roman" w:hAnsi="ITC Avant Garde"/>
          <w:bCs/>
          <w:color w:val="000000"/>
          <w:lang w:eastAsia="es-MX"/>
        </w:rPr>
        <w:t xml:space="preserve">en que se actúa </w:t>
      </w:r>
      <w:r w:rsidRPr="0065481B">
        <w:rPr>
          <w:rFonts w:ascii="ITC Avant Garde" w:eastAsia="Times New Roman" w:hAnsi="ITC Avant Garde"/>
          <w:bCs/>
          <w:color w:val="000000"/>
          <w:lang w:eastAsia="es-MX"/>
        </w:rPr>
        <w:t>para que dentro de un término de diez días hábiles formulara los alegatos que a su derecho conviniera, en el entendido que transcurrido dicho plazo, con alegatos o sin ellos se emitiría la resolución que conforme a derecho correspondiera.</w:t>
      </w:r>
    </w:p>
    <w:p w14:paraId="0750DD8D" w14:textId="77777777" w:rsidR="00E2222D" w:rsidRDefault="00AA23FF" w:rsidP="00907F25">
      <w:pPr>
        <w:pStyle w:val="Textoindependiente"/>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Toda vez que e</w:t>
      </w:r>
      <w:r w:rsidR="006E1A2D" w:rsidRPr="00B74E9F">
        <w:rPr>
          <w:rFonts w:ascii="ITC Avant Garde" w:eastAsia="Times New Roman" w:hAnsi="ITC Avant Garde"/>
          <w:bCs/>
          <w:color w:val="000000"/>
          <w:lang w:eastAsia="es-MX"/>
        </w:rPr>
        <w:t xml:space="preserve">l acuerdo de </w:t>
      </w:r>
      <w:r w:rsidR="00EB72C1">
        <w:rPr>
          <w:rFonts w:ascii="ITC Avant Garde" w:eastAsia="Times New Roman" w:hAnsi="ITC Avant Garde"/>
          <w:bCs/>
          <w:color w:val="000000"/>
          <w:lang w:eastAsia="es-MX"/>
        </w:rPr>
        <w:t>primero de junio</w:t>
      </w:r>
      <w:r w:rsidR="00516D6D" w:rsidRPr="00B74E9F">
        <w:rPr>
          <w:rFonts w:ascii="ITC Avant Garde" w:eastAsia="Times New Roman" w:hAnsi="ITC Avant Garde"/>
          <w:bCs/>
          <w:color w:val="000000"/>
          <w:lang w:eastAsia="es-MX"/>
        </w:rPr>
        <w:t xml:space="preserve"> de dos mil dieciséis</w:t>
      </w:r>
      <w:r w:rsidR="006E1A2D" w:rsidRPr="00B74E9F">
        <w:rPr>
          <w:rFonts w:ascii="ITC Avant Garde" w:eastAsia="Times New Roman" w:hAnsi="ITC Avant Garde"/>
          <w:bCs/>
          <w:color w:val="000000"/>
          <w:lang w:eastAsia="es-MX"/>
        </w:rPr>
        <w:t xml:space="preserve">, fue notificado a </w:t>
      </w:r>
      <w:r w:rsidR="00EB72C1">
        <w:rPr>
          <w:rFonts w:ascii="ITC Avant Garde" w:eastAsia="Times New Roman" w:hAnsi="ITC Avant Garde"/>
          <w:b/>
          <w:bCs/>
          <w:color w:val="000000"/>
          <w:lang w:eastAsia="es-MX"/>
        </w:rPr>
        <w:t>MEGA CABLE</w:t>
      </w:r>
      <w:r w:rsidR="00BC2EF8" w:rsidRPr="00B74E9F">
        <w:rPr>
          <w:rFonts w:ascii="ITC Avant Garde" w:eastAsia="Times New Roman" w:hAnsi="ITC Avant Garde"/>
          <w:b/>
          <w:bCs/>
          <w:color w:val="000000"/>
          <w:lang w:eastAsia="es-MX"/>
        </w:rPr>
        <w:t xml:space="preserve"> </w:t>
      </w:r>
      <w:r w:rsidR="006E1A2D" w:rsidRPr="00B74E9F">
        <w:rPr>
          <w:rFonts w:ascii="ITC Avant Garde" w:eastAsia="Times New Roman" w:hAnsi="ITC Avant Garde"/>
          <w:bCs/>
          <w:color w:val="000000"/>
          <w:lang w:eastAsia="es-MX"/>
        </w:rPr>
        <w:t xml:space="preserve">el </w:t>
      </w:r>
      <w:r w:rsidR="00EB72C1">
        <w:rPr>
          <w:rFonts w:ascii="ITC Avant Garde" w:eastAsia="Times New Roman" w:hAnsi="ITC Avant Garde"/>
          <w:bCs/>
          <w:color w:val="000000"/>
          <w:lang w:eastAsia="es-MX"/>
        </w:rPr>
        <w:t>ocho de junio</w:t>
      </w:r>
      <w:r w:rsidR="006E1A2D" w:rsidRPr="00B74E9F">
        <w:rPr>
          <w:rFonts w:ascii="ITC Avant Garde" w:eastAsia="Times New Roman" w:hAnsi="ITC Avant Garde"/>
          <w:bCs/>
          <w:color w:val="000000"/>
          <w:lang w:eastAsia="es-MX"/>
        </w:rPr>
        <w:t xml:space="preserve"> siguiente, el plazo de diez días para formular alegatos corrió del </w:t>
      </w:r>
      <w:r w:rsidR="00EB72C1">
        <w:rPr>
          <w:rFonts w:ascii="ITC Avant Garde" w:eastAsia="Times New Roman" w:hAnsi="ITC Avant Garde"/>
          <w:bCs/>
          <w:color w:val="000000"/>
          <w:lang w:eastAsia="es-MX"/>
        </w:rPr>
        <w:t>nueve al veintidós de junio</w:t>
      </w:r>
      <w:r w:rsidR="006E1A2D" w:rsidRPr="00B74E9F">
        <w:rPr>
          <w:rFonts w:ascii="ITC Avant Garde" w:eastAsia="Times New Roman" w:hAnsi="ITC Avant Garde"/>
          <w:bCs/>
          <w:color w:val="000000"/>
          <w:lang w:eastAsia="es-MX"/>
        </w:rPr>
        <w:t xml:space="preserve"> de dos mil dieciséis</w:t>
      </w:r>
      <w:r w:rsidR="002D217B">
        <w:rPr>
          <w:rFonts w:ascii="ITC Avant Garde" w:eastAsia="Times New Roman" w:hAnsi="ITC Avant Garde"/>
          <w:bCs/>
          <w:color w:val="000000"/>
          <w:lang w:eastAsia="es-MX"/>
        </w:rPr>
        <w:t xml:space="preserve">, sin considerar los días </w:t>
      </w:r>
      <w:r w:rsidR="001105FF">
        <w:rPr>
          <w:rFonts w:ascii="ITC Avant Garde" w:eastAsia="Times New Roman" w:hAnsi="ITC Avant Garde"/>
          <w:bCs/>
          <w:color w:val="000000"/>
          <w:lang w:eastAsia="es-MX"/>
        </w:rPr>
        <w:t>once, doce, dieciocho y diecinueve</w:t>
      </w:r>
      <w:r w:rsidR="004C0176">
        <w:rPr>
          <w:rFonts w:ascii="ITC Avant Garde" w:eastAsia="Times New Roman" w:hAnsi="ITC Avant Garde"/>
          <w:bCs/>
          <w:color w:val="000000"/>
          <w:lang w:eastAsia="es-MX"/>
        </w:rPr>
        <w:t xml:space="preserve"> de ese mes y año, al ser sábados y domingos, respectivamente en términos del </w:t>
      </w:r>
      <w:r w:rsidR="004C0176" w:rsidRPr="00D27F9D">
        <w:rPr>
          <w:rFonts w:ascii="ITC Avant Garde" w:eastAsia="Times New Roman" w:hAnsi="ITC Avant Garde"/>
          <w:bCs/>
          <w:color w:val="000000"/>
          <w:lang w:eastAsia="es-MX"/>
        </w:rPr>
        <w:t xml:space="preserve">artículo 28 de la </w:t>
      </w:r>
      <w:r w:rsidR="004C0176" w:rsidRPr="00D27F9D">
        <w:rPr>
          <w:rFonts w:ascii="ITC Avant Garde" w:eastAsia="Times New Roman" w:hAnsi="ITC Avant Garde"/>
          <w:b/>
          <w:bCs/>
          <w:color w:val="000000"/>
          <w:lang w:eastAsia="es-MX"/>
        </w:rPr>
        <w:t>LFPA</w:t>
      </w:r>
      <w:r w:rsidR="006E1A2D" w:rsidRPr="00B74E9F">
        <w:rPr>
          <w:rFonts w:ascii="ITC Avant Garde" w:eastAsia="Times New Roman" w:hAnsi="ITC Avant Garde"/>
          <w:bCs/>
          <w:color w:val="000000"/>
          <w:lang w:eastAsia="es-MX"/>
        </w:rPr>
        <w:t>.</w:t>
      </w:r>
    </w:p>
    <w:p w14:paraId="4FAA380B" w14:textId="77777777" w:rsidR="00E2222D" w:rsidRDefault="00B74E9F" w:rsidP="00907F25">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OCTAVO</w:t>
      </w:r>
      <w:r w:rsidR="0029006A" w:rsidRPr="004F3B5A">
        <w:rPr>
          <w:rFonts w:ascii="ITC Avant Garde" w:eastAsia="Times New Roman" w:hAnsi="ITC Avant Garde"/>
          <w:b/>
          <w:bCs/>
          <w:color w:val="000000"/>
          <w:lang w:eastAsia="es-MX"/>
        </w:rPr>
        <w:t xml:space="preserve">. </w:t>
      </w:r>
      <w:r w:rsidR="00AE20F5" w:rsidRPr="005E2585">
        <w:rPr>
          <w:rFonts w:ascii="ITC Avant Garde" w:eastAsia="Times New Roman" w:hAnsi="ITC Avant Garde"/>
          <w:bCs/>
          <w:color w:val="000000"/>
          <w:lang w:eastAsia="es-MX"/>
        </w:rPr>
        <w:t xml:space="preserve">Mediante escrito recibido en la Oficialía de Partes del </w:t>
      </w:r>
      <w:r w:rsidR="00AE20F5" w:rsidRPr="00AE20F5">
        <w:rPr>
          <w:rFonts w:ascii="ITC Avant Garde" w:eastAsia="Times New Roman" w:hAnsi="ITC Avant Garde"/>
          <w:b/>
          <w:bCs/>
          <w:color w:val="000000"/>
          <w:lang w:eastAsia="es-MX"/>
        </w:rPr>
        <w:t>IFT</w:t>
      </w:r>
      <w:r w:rsidR="00AE20F5" w:rsidRPr="005E2585">
        <w:rPr>
          <w:rFonts w:ascii="ITC Avant Garde" w:eastAsia="Times New Roman" w:hAnsi="ITC Avant Garde"/>
          <w:bCs/>
          <w:color w:val="000000"/>
          <w:lang w:eastAsia="es-MX"/>
        </w:rPr>
        <w:t xml:space="preserve"> el </w:t>
      </w:r>
      <w:r w:rsidR="001105FF">
        <w:rPr>
          <w:rFonts w:ascii="ITC Avant Garde" w:eastAsia="Times New Roman" w:hAnsi="ITC Avant Garde"/>
          <w:bCs/>
          <w:color w:val="000000"/>
          <w:lang w:eastAsia="es-MX"/>
        </w:rPr>
        <w:t xml:space="preserve">veintidós de junio </w:t>
      </w:r>
      <w:r w:rsidR="00401A67">
        <w:rPr>
          <w:rFonts w:ascii="ITC Avant Garde" w:eastAsia="Times New Roman" w:hAnsi="ITC Avant Garde"/>
          <w:bCs/>
          <w:color w:val="000000"/>
          <w:lang w:eastAsia="es-MX"/>
        </w:rPr>
        <w:t xml:space="preserve">de dos mil dieciséis, </w:t>
      </w:r>
      <w:r w:rsidR="00AE20F5" w:rsidRPr="005E2585">
        <w:rPr>
          <w:rFonts w:ascii="ITC Avant Garde" w:eastAsia="Times New Roman" w:hAnsi="ITC Avant Garde"/>
          <w:bCs/>
          <w:color w:val="000000"/>
          <w:lang w:eastAsia="es-MX"/>
        </w:rPr>
        <w:t xml:space="preserve">el </w:t>
      </w:r>
      <w:r w:rsidR="00AE20F5" w:rsidRPr="00B820BE">
        <w:rPr>
          <w:rFonts w:ascii="ITC Avant Garde" w:eastAsia="Times New Roman" w:hAnsi="ITC Avant Garde"/>
          <w:b/>
          <w:bCs/>
          <w:color w:val="000000"/>
          <w:lang w:eastAsia="es-MX"/>
        </w:rPr>
        <w:t>C.</w:t>
      </w:r>
      <w:r w:rsidR="00AE20F5" w:rsidRPr="005E2585">
        <w:rPr>
          <w:rFonts w:ascii="ITC Avant Garde" w:eastAsia="Times New Roman" w:hAnsi="ITC Avant Garde"/>
          <w:bCs/>
          <w:color w:val="000000"/>
          <w:lang w:eastAsia="es-MX"/>
        </w:rPr>
        <w:t xml:space="preserve"> </w:t>
      </w:r>
      <w:r>
        <w:rPr>
          <w:rFonts w:ascii="ITC Avant Garde" w:eastAsia="Times New Roman" w:hAnsi="ITC Avant Garde"/>
          <w:b/>
          <w:bCs/>
          <w:color w:val="000000"/>
          <w:lang w:eastAsia="es-MX"/>
        </w:rPr>
        <w:t>JORGE RAFAEL CUEVAS RENAUD</w:t>
      </w:r>
      <w:r>
        <w:rPr>
          <w:rFonts w:ascii="ITC Avant Garde" w:eastAsia="Times New Roman" w:hAnsi="ITC Avant Garde"/>
          <w:bCs/>
          <w:color w:val="000000"/>
          <w:lang w:eastAsia="es-MX"/>
        </w:rPr>
        <w:t xml:space="preserve"> </w:t>
      </w:r>
      <w:r w:rsidR="00293B70">
        <w:rPr>
          <w:rFonts w:ascii="ITC Avant Garde" w:eastAsia="Times New Roman" w:hAnsi="ITC Avant Garde"/>
          <w:bCs/>
          <w:color w:val="000000"/>
          <w:lang w:eastAsia="es-MX"/>
        </w:rPr>
        <w:t xml:space="preserve">en representación de </w:t>
      </w:r>
      <w:r w:rsidR="001105FF">
        <w:rPr>
          <w:rFonts w:ascii="ITC Avant Garde" w:eastAsia="Times New Roman" w:hAnsi="ITC Avant Garde"/>
          <w:b/>
          <w:bCs/>
          <w:color w:val="000000"/>
          <w:lang w:eastAsia="es-MX"/>
        </w:rPr>
        <w:t>MEGA CABLE</w:t>
      </w:r>
      <w:r w:rsidR="00293B70" w:rsidRPr="00B74E9F">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presentó</w:t>
      </w:r>
      <w:r w:rsidR="00AE20F5" w:rsidRPr="005E2585">
        <w:rPr>
          <w:rFonts w:ascii="ITC Avant Garde" w:eastAsia="Times New Roman" w:hAnsi="ITC Avant Garde"/>
          <w:bCs/>
          <w:color w:val="000000"/>
          <w:lang w:eastAsia="es-MX"/>
        </w:rPr>
        <w:t xml:space="preserve"> </w:t>
      </w:r>
      <w:r w:rsidR="00401A67">
        <w:rPr>
          <w:rFonts w:ascii="ITC Avant Garde" w:eastAsia="Times New Roman" w:hAnsi="ITC Avant Garde"/>
          <w:bCs/>
          <w:color w:val="000000"/>
          <w:lang w:eastAsia="es-MX"/>
        </w:rPr>
        <w:t xml:space="preserve">sus apuntes de alegatos </w:t>
      </w:r>
      <w:r w:rsidR="00AE20F5" w:rsidRPr="005E2585">
        <w:rPr>
          <w:rFonts w:ascii="ITC Avant Garde" w:eastAsia="Times New Roman" w:hAnsi="ITC Avant Garde"/>
          <w:bCs/>
          <w:color w:val="000000"/>
          <w:lang w:eastAsia="es-MX"/>
        </w:rPr>
        <w:t xml:space="preserve">dentro del plazo </w:t>
      </w:r>
      <w:r w:rsidR="005C69D5">
        <w:rPr>
          <w:rFonts w:ascii="ITC Avant Garde" w:eastAsia="Times New Roman" w:hAnsi="ITC Avant Garde"/>
          <w:bCs/>
          <w:color w:val="000000"/>
          <w:lang w:eastAsia="es-MX"/>
        </w:rPr>
        <w:t>otorgado para ello,</w:t>
      </w:r>
      <w:r w:rsidR="008A6D18">
        <w:rPr>
          <w:rFonts w:ascii="ITC Avant Garde" w:eastAsia="Times New Roman" w:hAnsi="ITC Avant Garde"/>
          <w:bCs/>
          <w:color w:val="000000"/>
          <w:lang w:eastAsia="es-MX"/>
        </w:rPr>
        <w:t xml:space="preserve"> por lo que</w:t>
      </w:r>
      <w:r w:rsidR="005B7D48">
        <w:rPr>
          <w:rFonts w:ascii="ITC Avant Garde" w:eastAsia="Times New Roman" w:hAnsi="ITC Avant Garde"/>
          <w:bCs/>
          <w:color w:val="000000"/>
          <w:lang w:eastAsia="es-MX"/>
        </w:rPr>
        <w:t xml:space="preserve"> en tal sentido se </w:t>
      </w:r>
      <w:r w:rsidR="00080518">
        <w:rPr>
          <w:rFonts w:ascii="ITC Avant Garde" w:eastAsia="Times New Roman" w:hAnsi="ITC Avant Garde"/>
          <w:bCs/>
          <w:color w:val="000000"/>
          <w:lang w:eastAsia="es-MX"/>
        </w:rPr>
        <w:t>turnó</w:t>
      </w:r>
      <w:r w:rsidR="005B7D48">
        <w:rPr>
          <w:rFonts w:ascii="ITC Avant Garde" w:eastAsia="Times New Roman" w:hAnsi="ITC Avant Garde"/>
          <w:bCs/>
          <w:color w:val="000000"/>
          <w:lang w:eastAsia="es-MX"/>
        </w:rPr>
        <w:t xml:space="preserve"> el expediente a consideración de </w:t>
      </w:r>
      <w:r w:rsidR="008A6D18">
        <w:rPr>
          <w:rFonts w:ascii="ITC Avant Garde" w:eastAsia="Times New Roman" w:hAnsi="ITC Avant Garde"/>
          <w:bCs/>
          <w:color w:val="000000"/>
          <w:lang w:eastAsia="es-MX"/>
        </w:rPr>
        <w:t>este órgano colegiado para la emisión de la Resolución que conforme a derecho resulte procedente.</w:t>
      </w:r>
    </w:p>
    <w:p w14:paraId="19A197E1" w14:textId="77777777" w:rsidR="00E2222D" w:rsidRDefault="00E85899" w:rsidP="00907F25">
      <w:pPr>
        <w:spacing w:after="240" w:line="360" w:lineRule="auto"/>
        <w:ind w:right="-1"/>
        <w:jc w:val="both"/>
        <w:rPr>
          <w:rFonts w:ascii="ITC Avant Garde" w:eastAsia="Times New Roman" w:hAnsi="ITC Avant Garde"/>
          <w:bCs/>
          <w:color w:val="000000"/>
          <w:lang w:eastAsia="es-MX"/>
        </w:rPr>
      </w:pPr>
      <w:r w:rsidRPr="00E85899">
        <w:rPr>
          <w:rFonts w:ascii="ITC Avant Garde" w:eastAsia="Times New Roman" w:hAnsi="ITC Avant Garde"/>
          <w:b/>
          <w:bCs/>
          <w:color w:val="000000"/>
          <w:lang w:eastAsia="es-MX"/>
        </w:rPr>
        <w:t>NOVENO.</w:t>
      </w:r>
      <w:r>
        <w:rPr>
          <w:rFonts w:ascii="ITC Avant Garde" w:eastAsia="Times New Roman" w:hAnsi="ITC Avant Garde"/>
          <w:bCs/>
          <w:color w:val="000000"/>
          <w:lang w:eastAsia="es-MX"/>
        </w:rPr>
        <w:t xml:space="preserve"> En sesión celebrada el veintitrés de agosto de dos mil dieciséis, este Pleno emitió la resolución correspondiente en el procedimiento administrativo en que se actúa en la que se resolvió, en la parte que interesa, lo siguiente:</w:t>
      </w:r>
    </w:p>
    <w:p w14:paraId="740BFF34" w14:textId="77777777" w:rsidR="00E2222D" w:rsidRDefault="00E85899" w:rsidP="00907F25">
      <w:pPr>
        <w:spacing w:after="240" w:line="360" w:lineRule="auto"/>
        <w:ind w:left="851" w:right="900"/>
        <w:jc w:val="both"/>
        <w:rPr>
          <w:rFonts w:ascii="ITC Avant Garde" w:hAnsi="ITC Avant Garde"/>
          <w:color w:val="000000"/>
          <w:sz w:val="20"/>
        </w:rPr>
      </w:pPr>
      <w:r>
        <w:rPr>
          <w:rFonts w:ascii="ITC Avant Garde" w:eastAsia="Times New Roman" w:hAnsi="ITC Avant Garde"/>
          <w:b/>
          <w:bCs/>
          <w:color w:val="000000"/>
          <w:sz w:val="20"/>
          <w:lang w:eastAsia="es-MX"/>
        </w:rPr>
        <w:t>“</w:t>
      </w:r>
      <w:r w:rsidRPr="00E85899">
        <w:rPr>
          <w:rFonts w:ascii="ITC Avant Garde" w:eastAsia="Times New Roman" w:hAnsi="ITC Avant Garde"/>
          <w:b/>
          <w:bCs/>
          <w:color w:val="000000"/>
          <w:sz w:val="20"/>
          <w:lang w:eastAsia="es-MX"/>
        </w:rPr>
        <w:t>PRIMERO.</w:t>
      </w:r>
      <w:r w:rsidRPr="00E85899">
        <w:rPr>
          <w:rFonts w:ascii="ITC Avant Garde" w:eastAsia="Times New Roman" w:hAnsi="ITC Avant Garde"/>
          <w:bCs/>
          <w:color w:val="000000"/>
          <w:sz w:val="20"/>
          <w:lang w:eastAsia="es-MX"/>
        </w:rPr>
        <w:t xml:space="preserve"> Conforme a lo expuesto en la presente resolución, </w:t>
      </w:r>
      <w:r w:rsidRPr="00E85899">
        <w:rPr>
          <w:rFonts w:ascii="ITC Avant Garde" w:eastAsia="Times New Roman" w:hAnsi="ITC Avant Garde"/>
          <w:color w:val="000000"/>
          <w:sz w:val="20"/>
          <w:lang w:eastAsia="es-MX"/>
        </w:rPr>
        <w:t>se acredita que</w:t>
      </w:r>
      <w:r w:rsidRPr="00E85899">
        <w:rPr>
          <w:rFonts w:ascii="ITC Avant Garde" w:eastAsia="Times New Roman" w:hAnsi="ITC Avant Garde"/>
          <w:b/>
          <w:bCs/>
          <w:color w:val="000000"/>
          <w:sz w:val="20"/>
          <w:lang w:eastAsia="es-MX"/>
        </w:rPr>
        <w:t xml:space="preserve"> MEGA CABLE</w:t>
      </w:r>
      <w:r w:rsidRPr="00E85899">
        <w:rPr>
          <w:rFonts w:ascii="ITC Avant Garde" w:hAnsi="ITC Avant Garde"/>
          <w:b/>
          <w:color w:val="000000"/>
          <w:sz w:val="20"/>
        </w:rPr>
        <w:t xml:space="preserve">, S.A. DE C.V., </w:t>
      </w:r>
      <w:r w:rsidRPr="00E85899">
        <w:rPr>
          <w:rFonts w:ascii="ITC Avant Garde" w:eastAsia="Times New Roman" w:hAnsi="ITC Avant Garde"/>
          <w:bCs/>
          <w:color w:val="000000"/>
          <w:sz w:val="20"/>
          <w:lang w:eastAsia="es-MX"/>
        </w:rPr>
        <w:t xml:space="preserve">incumplió lo establecido en el </w:t>
      </w:r>
      <w:r w:rsidRPr="00E85899">
        <w:rPr>
          <w:rFonts w:ascii="ITC Avant Garde" w:hAnsi="ITC Avant Garde"/>
          <w:b/>
          <w:sz w:val="20"/>
        </w:rPr>
        <w:t>Artículo 12</w:t>
      </w:r>
      <w:r w:rsidRPr="00E85899">
        <w:rPr>
          <w:rFonts w:ascii="ITC Avant Garde" w:hAnsi="ITC Avant Garde"/>
          <w:sz w:val="20"/>
        </w:rPr>
        <w:t xml:space="preserve"> de los </w:t>
      </w:r>
      <w:r w:rsidRPr="00E85899">
        <w:rPr>
          <w:rFonts w:ascii="ITC Avant Garde" w:hAnsi="ITC Avant Garde"/>
          <w:b/>
          <w:sz w:val="20"/>
        </w:rPr>
        <w:t xml:space="preserve">LINEAMIENTOS, </w:t>
      </w:r>
      <w:r w:rsidRPr="00E85899">
        <w:rPr>
          <w:rFonts w:ascii="ITC Avant Garde" w:hAnsi="ITC Avant Garde"/>
          <w:sz w:val="20"/>
        </w:rPr>
        <w:t xml:space="preserve">en relación con el </w:t>
      </w:r>
      <w:r w:rsidRPr="00E85899">
        <w:rPr>
          <w:rFonts w:ascii="ITC Avant Garde" w:hAnsi="ITC Avant Garde"/>
          <w:b/>
          <w:sz w:val="20"/>
        </w:rPr>
        <w:t xml:space="preserve">ACUERDO MODIFICATORIO; </w:t>
      </w:r>
      <w:r w:rsidRPr="00E85899">
        <w:rPr>
          <w:rFonts w:ascii="ITC Avant Garde" w:hAnsi="ITC Avant Garde"/>
          <w:sz w:val="20"/>
        </w:rPr>
        <w:t xml:space="preserve">el </w:t>
      </w:r>
      <w:r w:rsidRPr="00E85899">
        <w:rPr>
          <w:rFonts w:ascii="ITC Avant Garde" w:hAnsi="ITC Avant Garde"/>
          <w:b/>
          <w:sz w:val="20"/>
        </w:rPr>
        <w:t xml:space="preserve">LISTADO </w:t>
      </w:r>
      <w:r w:rsidRPr="00E85899">
        <w:rPr>
          <w:rFonts w:ascii="ITC Avant Garde" w:hAnsi="ITC Avant Garde"/>
          <w:sz w:val="20"/>
        </w:rPr>
        <w:t xml:space="preserve">y sus correspondientes </w:t>
      </w:r>
      <w:r w:rsidRPr="00E85899">
        <w:rPr>
          <w:rFonts w:ascii="ITC Avant Garde" w:hAnsi="ITC Avant Garde"/>
          <w:b/>
          <w:sz w:val="20"/>
        </w:rPr>
        <w:t>ACTUALIZACIONES</w:t>
      </w:r>
      <w:r w:rsidRPr="00E85899">
        <w:rPr>
          <w:rFonts w:ascii="ITC Avant Garde" w:hAnsi="ITC Avant Garde"/>
          <w:sz w:val="20"/>
        </w:rPr>
        <w:t xml:space="preserve">, toda vez que al momento en que se llevó a cabo la visita de verificación, dicha concesionaria no retransmitía el canal multiprogramado </w:t>
      </w:r>
      <w:r w:rsidRPr="00E85899">
        <w:rPr>
          <w:rFonts w:ascii="ITC Avant Garde" w:hAnsi="ITC Avant Garde"/>
          <w:b/>
          <w:sz w:val="20"/>
        </w:rPr>
        <w:t>11.2 Once Niños</w:t>
      </w:r>
      <w:r w:rsidRPr="00E85899">
        <w:rPr>
          <w:rFonts w:ascii="ITC Avant Garde" w:hAnsi="ITC Avant Garde"/>
          <w:sz w:val="20"/>
        </w:rPr>
        <w:t xml:space="preserve"> del Instituto Politécnico Nacional en la población de Santiago de Querétaro.</w:t>
      </w:r>
    </w:p>
    <w:p w14:paraId="3D46D051" w14:textId="77777777" w:rsidR="00E2222D" w:rsidRDefault="00E85899" w:rsidP="00907F25">
      <w:pPr>
        <w:spacing w:after="240" w:line="360" w:lineRule="auto"/>
        <w:ind w:left="851" w:right="900"/>
        <w:jc w:val="both"/>
        <w:rPr>
          <w:rFonts w:ascii="ITC Avant Garde" w:hAnsi="ITC Avant Garde"/>
          <w:color w:val="000000"/>
          <w:sz w:val="20"/>
        </w:rPr>
      </w:pPr>
      <w:r w:rsidRPr="00E85899">
        <w:rPr>
          <w:rFonts w:ascii="ITC Avant Garde" w:eastAsia="Times New Roman" w:hAnsi="ITC Avant Garde"/>
          <w:b/>
          <w:color w:val="000000"/>
          <w:sz w:val="20"/>
          <w:lang w:eastAsia="es-MX"/>
        </w:rPr>
        <w:lastRenderedPageBreak/>
        <w:t>SEGUNDO.</w:t>
      </w:r>
      <w:r w:rsidRPr="00E85899">
        <w:rPr>
          <w:rFonts w:ascii="ITC Avant Garde" w:eastAsia="Times New Roman" w:hAnsi="ITC Avant Garde"/>
          <w:color w:val="000000"/>
          <w:sz w:val="20"/>
          <w:lang w:eastAsia="es-MX"/>
        </w:rPr>
        <w:t xml:space="preserve"> De conformidad con lo señalado en los Considerandos </w:t>
      </w:r>
      <w:r w:rsidRPr="00E85899">
        <w:rPr>
          <w:rFonts w:ascii="ITC Avant Garde" w:eastAsia="Times New Roman" w:hAnsi="ITC Avant Garde"/>
          <w:b/>
          <w:color w:val="000000"/>
          <w:sz w:val="20"/>
          <w:lang w:eastAsia="es-MX"/>
        </w:rPr>
        <w:t xml:space="preserve">CUARTO, QUINTO, SEXTO, SÉPTIMO y OCTAVO </w:t>
      </w:r>
      <w:r w:rsidRPr="00E85899">
        <w:rPr>
          <w:rFonts w:ascii="ITC Avant Garde" w:eastAsia="Times New Roman" w:hAnsi="ITC Avant Garde"/>
          <w:color w:val="000000"/>
          <w:sz w:val="20"/>
          <w:lang w:eastAsia="es-MX"/>
        </w:rPr>
        <w:t xml:space="preserve">de la presente Resolución y con fundamento en el artículo </w:t>
      </w:r>
      <w:r w:rsidRPr="00E85899">
        <w:rPr>
          <w:rFonts w:ascii="ITC Avant Garde" w:eastAsia="Times New Roman" w:hAnsi="ITC Avant Garde"/>
          <w:bCs/>
          <w:color w:val="000000"/>
          <w:sz w:val="20"/>
          <w:lang w:eastAsia="es-MX"/>
        </w:rPr>
        <w:t xml:space="preserve">298, inciso B, fracción IV de la </w:t>
      </w:r>
      <w:r w:rsidRPr="00E85899">
        <w:rPr>
          <w:rFonts w:ascii="ITC Avant Garde" w:eastAsia="Times New Roman" w:hAnsi="ITC Avant Garde"/>
          <w:b/>
          <w:bCs/>
          <w:color w:val="000000"/>
          <w:sz w:val="20"/>
          <w:lang w:eastAsia="es-MX"/>
        </w:rPr>
        <w:t>Ley Federal de Telecomunicaciones y Radiodifusión</w:t>
      </w:r>
      <w:r w:rsidRPr="00E85899">
        <w:rPr>
          <w:rFonts w:ascii="ITC Avant Garde" w:eastAsia="Times New Roman" w:hAnsi="ITC Avant Garde"/>
          <w:color w:val="000000"/>
          <w:sz w:val="20"/>
          <w:lang w:eastAsia="es-MX"/>
        </w:rPr>
        <w:t>, se impone a</w:t>
      </w:r>
      <w:r w:rsidRPr="00E85899">
        <w:rPr>
          <w:rFonts w:ascii="ITC Avant Garde" w:eastAsia="Times New Roman" w:hAnsi="ITC Avant Garde"/>
          <w:b/>
          <w:bCs/>
          <w:color w:val="000000"/>
          <w:sz w:val="20"/>
          <w:lang w:eastAsia="es-MX"/>
        </w:rPr>
        <w:t xml:space="preserve"> MEGA CABLE,</w:t>
      </w:r>
      <w:r w:rsidRPr="00E85899">
        <w:rPr>
          <w:rFonts w:ascii="ITC Avant Garde" w:hAnsi="ITC Avant Garde"/>
          <w:b/>
          <w:color w:val="000000"/>
          <w:sz w:val="20"/>
        </w:rPr>
        <w:t xml:space="preserve"> S.A. DE C.V., </w:t>
      </w:r>
      <w:r w:rsidRPr="00E85899">
        <w:rPr>
          <w:rFonts w:ascii="ITC Avant Garde" w:hAnsi="ITC Avant Garde"/>
          <w:color w:val="000000"/>
          <w:sz w:val="20"/>
        </w:rPr>
        <w:t xml:space="preserve">una multa mínima por </w:t>
      </w:r>
      <w:r w:rsidRPr="00E85899">
        <w:rPr>
          <w:rFonts w:ascii="ITC Avant Garde" w:eastAsia="Times New Roman" w:hAnsi="ITC Avant Garde"/>
          <w:color w:val="000000"/>
          <w:sz w:val="20"/>
          <w:lang w:eastAsia="es-MX"/>
        </w:rPr>
        <w:t xml:space="preserve">la cantidad de </w:t>
      </w:r>
      <w:r w:rsidRPr="00E85899">
        <w:rPr>
          <w:rFonts w:ascii="ITC Avant Garde" w:eastAsia="Times New Roman" w:hAnsi="ITC Avant Garde"/>
          <w:b/>
          <w:bCs/>
          <w:color w:val="000000"/>
          <w:sz w:val="20"/>
          <w:u w:val="single"/>
          <w:lang w:eastAsia="es-MX"/>
        </w:rPr>
        <w:t>$24’235,981.61</w:t>
      </w:r>
      <w:r w:rsidRPr="00E85899">
        <w:rPr>
          <w:rFonts w:ascii="ITC Avant Garde" w:eastAsia="Times New Roman" w:hAnsi="ITC Avant Garde"/>
          <w:bCs/>
          <w:color w:val="000000"/>
          <w:sz w:val="20"/>
          <w:lang w:eastAsia="es-MX"/>
        </w:rPr>
        <w:t xml:space="preserve"> (Veinticuatro millones doscientos treinta y cinco mil novecientos ochenta y un pesos 61/100 M.N.).</w:t>
      </w:r>
      <w:r>
        <w:rPr>
          <w:rFonts w:ascii="ITC Avant Garde" w:eastAsia="Times New Roman" w:hAnsi="ITC Avant Garde"/>
          <w:bCs/>
          <w:color w:val="000000"/>
          <w:sz w:val="20"/>
          <w:lang w:eastAsia="es-MX"/>
        </w:rPr>
        <w:t>”</w:t>
      </w:r>
    </w:p>
    <w:p w14:paraId="3C66A0F0" w14:textId="77777777" w:rsidR="00E2222D" w:rsidRDefault="002B4DF1" w:rsidP="00907F25">
      <w:pPr>
        <w:spacing w:after="240" w:line="360" w:lineRule="auto"/>
        <w:ind w:right="-1"/>
        <w:jc w:val="both"/>
        <w:rPr>
          <w:rFonts w:ascii="ITC Avant Garde" w:eastAsia="Times New Roman" w:hAnsi="ITC Avant Garde"/>
          <w:bCs/>
          <w:color w:val="000000"/>
          <w:lang w:eastAsia="es-MX"/>
        </w:rPr>
      </w:pPr>
      <w:r w:rsidRPr="002B4DF1">
        <w:rPr>
          <w:rFonts w:ascii="ITC Avant Garde" w:eastAsia="Times New Roman" w:hAnsi="ITC Avant Garde"/>
          <w:b/>
          <w:bCs/>
          <w:color w:val="000000"/>
          <w:lang w:eastAsia="es-MX"/>
        </w:rPr>
        <w:t>DÉCIMO.</w:t>
      </w:r>
      <w:r w:rsidR="00D30F86">
        <w:rPr>
          <w:rFonts w:ascii="ITC Avant Garde" w:eastAsia="Times New Roman" w:hAnsi="ITC Avant Garde"/>
          <w:bCs/>
          <w:color w:val="000000"/>
          <w:lang w:eastAsia="es-MX"/>
        </w:rPr>
        <w:t xml:space="preserve"> Inconforme con dicha determinación, mediante escrito presentado el veintidós de septiembre de dos mil dieciséis, </w:t>
      </w:r>
      <w:r w:rsidR="00D30F86" w:rsidRPr="002B4DF1">
        <w:rPr>
          <w:rFonts w:ascii="ITC Avant Garde" w:eastAsia="Times New Roman" w:hAnsi="ITC Avant Garde"/>
          <w:b/>
          <w:bCs/>
          <w:color w:val="000000"/>
          <w:lang w:eastAsia="es-MX"/>
        </w:rPr>
        <w:t>MEGA CABLE</w:t>
      </w:r>
      <w:r w:rsidR="00D30F86">
        <w:rPr>
          <w:rFonts w:ascii="ITC Avant Garde" w:eastAsia="Times New Roman" w:hAnsi="ITC Avant Garde"/>
          <w:bCs/>
          <w:color w:val="000000"/>
          <w:lang w:eastAsia="es-MX"/>
        </w:rPr>
        <w:t xml:space="preserve"> interpuso juicio de amparo indirecto en contra de la resolución </w:t>
      </w:r>
      <w:r>
        <w:rPr>
          <w:rFonts w:ascii="ITC Avant Garde" w:eastAsia="Times New Roman" w:hAnsi="ITC Avant Garde"/>
          <w:bCs/>
          <w:color w:val="000000"/>
          <w:lang w:eastAsia="es-MX"/>
        </w:rPr>
        <w:t xml:space="preserve">referida en el resultando anterior, la cual fue turnada al </w:t>
      </w:r>
      <w:r w:rsidRPr="002B4DF1">
        <w:rPr>
          <w:rFonts w:ascii="ITC Avant Garde" w:eastAsia="Times New Roman" w:hAnsi="ITC Avant Garde"/>
          <w:b/>
          <w:bCs/>
          <w:color w:val="000000"/>
          <w:lang w:eastAsia="es-MX"/>
        </w:rPr>
        <w:t>JUZGADO</w:t>
      </w:r>
      <w:r>
        <w:rPr>
          <w:rFonts w:ascii="ITC Avant Garde" w:eastAsia="Times New Roman" w:hAnsi="ITC Avant Garde"/>
          <w:bCs/>
          <w:color w:val="000000"/>
          <w:lang w:eastAsia="es-MX"/>
        </w:rPr>
        <w:t xml:space="preserve"> y registrada bajo el número de expediente </w:t>
      </w:r>
      <w:r w:rsidRPr="002B4DF1">
        <w:rPr>
          <w:rFonts w:ascii="ITC Avant Garde" w:eastAsia="Times New Roman" w:hAnsi="ITC Avant Garde"/>
          <w:b/>
          <w:bCs/>
          <w:color w:val="000000"/>
          <w:lang w:eastAsia="es-MX"/>
        </w:rPr>
        <w:t>132/2016</w:t>
      </w:r>
      <w:r>
        <w:rPr>
          <w:rFonts w:ascii="ITC Avant Garde" w:eastAsia="Times New Roman" w:hAnsi="ITC Avant Garde"/>
          <w:bCs/>
          <w:color w:val="000000"/>
          <w:lang w:eastAsia="es-MX"/>
        </w:rPr>
        <w:t>.</w:t>
      </w:r>
    </w:p>
    <w:p w14:paraId="4941A536" w14:textId="77777777" w:rsidR="00E2222D" w:rsidRDefault="00D61C10" w:rsidP="00907F25">
      <w:pPr>
        <w:spacing w:after="240" w:line="360" w:lineRule="auto"/>
        <w:ind w:right="-1"/>
        <w:jc w:val="both"/>
        <w:rPr>
          <w:rFonts w:ascii="ITC Avant Garde" w:eastAsia="Times New Roman" w:hAnsi="ITC Avant Garde"/>
          <w:bCs/>
          <w:color w:val="000000"/>
          <w:lang w:eastAsia="es-MX"/>
        </w:rPr>
      </w:pPr>
      <w:r w:rsidRPr="00D61C10">
        <w:rPr>
          <w:rFonts w:ascii="ITC Avant Garde" w:eastAsia="Times New Roman" w:hAnsi="ITC Avant Garde"/>
          <w:b/>
          <w:bCs/>
          <w:color w:val="000000"/>
          <w:lang w:eastAsia="es-MX"/>
        </w:rPr>
        <w:t>DÉCIMO PRIMERO.</w:t>
      </w:r>
      <w:r>
        <w:rPr>
          <w:rFonts w:ascii="ITC Avant Garde" w:eastAsia="Times New Roman" w:hAnsi="ITC Avant Garde"/>
          <w:bCs/>
          <w:color w:val="000000"/>
          <w:lang w:eastAsia="es-MX"/>
        </w:rPr>
        <w:t xml:space="preserve"> </w:t>
      </w:r>
      <w:r w:rsidR="002B4DF1">
        <w:rPr>
          <w:rFonts w:ascii="ITC Avant Garde" w:eastAsia="Times New Roman" w:hAnsi="ITC Avant Garde"/>
          <w:bCs/>
          <w:color w:val="000000"/>
          <w:lang w:eastAsia="es-MX"/>
        </w:rPr>
        <w:t>Previos los trámites de Ley mediante sentencia engrosada el veintinueve de marzo de dos mil diecisiete</w:t>
      </w:r>
      <w:r>
        <w:rPr>
          <w:rFonts w:ascii="ITC Avant Garde" w:eastAsia="Times New Roman" w:hAnsi="ITC Avant Garde"/>
          <w:bCs/>
          <w:color w:val="000000"/>
          <w:lang w:eastAsia="es-MX"/>
        </w:rPr>
        <w:t>, la juez del conocimiento resolvió lo siguiente:</w:t>
      </w:r>
    </w:p>
    <w:p w14:paraId="21716FFC" w14:textId="77777777" w:rsidR="00E2222D" w:rsidRDefault="00D61C10" w:rsidP="00907F25">
      <w:pPr>
        <w:spacing w:after="240" w:line="360" w:lineRule="auto"/>
        <w:ind w:left="851" w:right="900"/>
        <w:jc w:val="both"/>
        <w:rPr>
          <w:rFonts w:ascii="ITC Avant Garde" w:eastAsia="Times New Roman" w:hAnsi="ITC Avant Garde"/>
          <w:bCs/>
          <w:color w:val="000000"/>
          <w:sz w:val="20"/>
          <w:lang w:eastAsia="es-MX"/>
        </w:rPr>
      </w:pPr>
      <w:r w:rsidRPr="00D61C10">
        <w:rPr>
          <w:rFonts w:ascii="ITC Avant Garde" w:eastAsia="Times New Roman" w:hAnsi="ITC Avant Garde"/>
          <w:bCs/>
          <w:color w:val="000000"/>
          <w:sz w:val="20"/>
          <w:lang w:eastAsia="es-MX"/>
        </w:rPr>
        <w:t>“</w:t>
      </w:r>
      <w:r w:rsidRPr="00D61C10">
        <w:rPr>
          <w:rFonts w:ascii="ITC Avant Garde" w:eastAsia="Times New Roman" w:hAnsi="ITC Avant Garde"/>
          <w:b/>
          <w:bCs/>
          <w:color w:val="000000"/>
          <w:sz w:val="20"/>
          <w:lang w:eastAsia="es-MX"/>
        </w:rPr>
        <w:t>Primero.</w:t>
      </w:r>
      <w:r w:rsidRPr="00D61C10">
        <w:rPr>
          <w:rFonts w:ascii="ITC Avant Garde" w:eastAsia="Times New Roman" w:hAnsi="ITC Avant Garde"/>
          <w:bCs/>
          <w:color w:val="000000"/>
          <w:sz w:val="20"/>
          <w:lang w:eastAsia="es-MX"/>
        </w:rPr>
        <w:t xml:space="preserve"> Se sobresee en el juicio por el acto y autoridad precisado en el considerando tercero de esta resolución.</w:t>
      </w:r>
    </w:p>
    <w:p w14:paraId="4C8E9429" w14:textId="77777777" w:rsidR="00E2222D" w:rsidRDefault="00D61C10" w:rsidP="00907F25">
      <w:pPr>
        <w:spacing w:after="240" w:line="360" w:lineRule="auto"/>
        <w:ind w:left="851" w:right="900"/>
        <w:jc w:val="both"/>
        <w:rPr>
          <w:rFonts w:ascii="ITC Avant Garde" w:eastAsia="Times New Roman" w:hAnsi="ITC Avant Garde"/>
          <w:bCs/>
          <w:color w:val="000000"/>
          <w:sz w:val="20"/>
          <w:lang w:eastAsia="es-MX"/>
        </w:rPr>
      </w:pPr>
      <w:r w:rsidRPr="00D61C10">
        <w:rPr>
          <w:rFonts w:ascii="ITC Avant Garde" w:eastAsia="Times New Roman" w:hAnsi="ITC Avant Garde"/>
          <w:b/>
          <w:bCs/>
          <w:color w:val="000000"/>
          <w:sz w:val="20"/>
          <w:lang w:eastAsia="es-MX"/>
        </w:rPr>
        <w:t>Segundo.</w:t>
      </w:r>
      <w:r w:rsidRPr="00D61C10">
        <w:rPr>
          <w:rFonts w:ascii="ITC Avant Garde" w:eastAsia="Times New Roman" w:hAnsi="ITC Avant Garde"/>
          <w:bCs/>
          <w:color w:val="000000"/>
          <w:sz w:val="20"/>
          <w:lang w:eastAsia="es-MX"/>
        </w:rPr>
        <w:t xml:space="preserve"> La Justicia de la Unión no ampara ni protege a </w:t>
      </w:r>
      <w:r w:rsidRPr="00D61C10">
        <w:rPr>
          <w:rFonts w:ascii="ITC Avant Garde" w:eastAsia="Times New Roman" w:hAnsi="ITC Avant Garde"/>
          <w:b/>
          <w:bCs/>
          <w:color w:val="000000"/>
          <w:sz w:val="20"/>
          <w:lang w:eastAsia="es-MX"/>
        </w:rPr>
        <w:t>Mega Cable</w:t>
      </w:r>
      <w:r w:rsidRPr="00D61C10">
        <w:rPr>
          <w:rFonts w:ascii="ITC Avant Garde" w:eastAsia="Times New Roman" w:hAnsi="ITC Avant Garde"/>
          <w:bCs/>
          <w:color w:val="000000"/>
          <w:sz w:val="20"/>
          <w:lang w:eastAsia="es-MX"/>
        </w:rPr>
        <w:t xml:space="preserve">, </w:t>
      </w:r>
      <w:r w:rsidRPr="00D61C10">
        <w:rPr>
          <w:rFonts w:ascii="ITC Avant Garde" w:eastAsia="Times New Roman" w:hAnsi="ITC Avant Garde"/>
          <w:b/>
          <w:bCs/>
          <w:color w:val="000000"/>
          <w:sz w:val="20"/>
          <w:lang w:eastAsia="es-MX"/>
        </w:rPr>
        <w:t>sociedad anónima de capital variable,</w:t>
      </w:r>
      <w:r w:rsidRPr="00D61C10">
        <w:rPr>
          <w:rFonts w:ascii="ITC Avant Garde" w:eastAsia="Times New Roman" w:hAnsi="ITC Avant Garde"/>
          <w:bCs/>
          <w:color w:val="000000"/>
          <w:sz w:val="20"/>
          <w:lang w:eastAsia="es-MX"/>
        </w:rPr>
        <w:t xml:space="preserve"> por los motivos expuestos en el sexto y séptimo considerandos de la presente sentencia.”</w:t>
      </w:r>
    </w:p>
    <w:p w14:paraId="0F7AA6A4" w14:textId="77777777" w:rsidR="00E2222D" w:rsidRDefault="00D61C10" w:rsidP="00907F25">
      <w:pPr>
        <w:spacing w:after="240" w:line="360" w:lineRule="auto"/>
        <w:ind w:right="-1"/>
        <w:jc w:val="both"/>
        <w:rPr>
          <w:rFonts w:ascii="ITC Avant Garde" w:eastAsia="Times New Roman" w:hAnsi="ITC Avant Garde"/>
          <w:bCs/>
          <w:color w:val="000000"/>
          <w:lang w:eastAsia="es-MX"/>
        </w:rPr>
      </w:pPr>
      <w:r w:rsidRPr="00D61C10">
        <w:rPr>
          <w:rFonts w:ascii="ITC Avant Garde" w:eastAsia="Times New Roman" w:hAnsi="ITC Avant Garde"/>
          <w:b/>
          <w:bCs/>
          <w:color w:val="000000"/>
          <w:lang w:eastAsia="es-MX"/>
        </w:rPr>
        <w:t xml:space="preserve">DÉCIMO SEGUNDO. </w:t>
      </w:r>
      <w:r w:rsidRPr="00D61C10">
        <w:rPr>
          <w:rFonts w:ascii="ITC Avant Garde" w:eastAsia="Times New Roman" w:hAnsi="ITC Avant Garde"/>
          <w:bCs/>
          <w:color w:val="000000"/>
          <w:lang w:eastAsia="es-MX"/>
        </w:rPr>
        <w:t xml:space="preserve">Inconforme con dicha determinación, </w:t>
      </w:r>
      <w:r w:rsidRPr="00D61C10">
        <w:rPr>
          <w:rFonts w:ascii="ITC Avant Garde" w:eastAsia="Times New Roman" w:hAnsi="ITC Avant Garde"/>
          <w:b/>
          <w:bCs/>
          <w:color w:val="000000"/>
          <w:lang w:eastAsia="es-MX"/>
        </w:rPr>
        <w:t>MEGA CABLE</w:t>
      </w:r>
      <w:r w:rsidRPr="00D61C10">
        <w:rPr>
          <w:rFonts w:ascii="ITC Avant Garde" w:eastAsia="Times New Roman" w:hAnsi="ITC Avant Garde"/>
          <w:bCs/>
          <w:color w:val="000000"/>
          <w:lang w:eastAsia="es-MX"/>
        </w:rPr>
        <w:t xml:space="preserve"> interpuso el recurso de revisión en contra de la sentencia descrita en el </w:t>
      </w:r>
      <w:r>
        <w:rPr>
          <w:rFonts w:ascii="ITC Avant Garde" w:eastAsia="Times New Roman" w:hAnsi="ITC Avant Garde"/>
          <w:bCs/>
          <w:color w:val="000000"/>
          <w:lang w:eastAsia="es-MX"/>
        </w:rPr>
        <w:t>considerando</w:t>
      </w:r>
      <w:r w:rsidRPr="00D61C10">
        <w:rPr>
          <w:rFonts w:ascii="ITC Avant Garde" w:eastAsia="Times New Roman" w:hAnsi="ITC Avant Garde"/>
          <w:bCs/>
          <w:color w:val="000000"/>
          <w:lang w:eastAsia="es-MX"/>
        </w:rPr>
        <w:t xml:space="preserve"> que antecede, el cual fue admitido por el </w:t>
      </w:r>
      <w:r w:rsidRPr="00D61C10">
        <w:rPr>
          <w:rFonts w:ascii="ITC Avant Garde" w:eastAsia="Times New Roman" w:hAnsi="ITC Avant Garde"/>
          <w:b/>
          <w:bCs/>
          <w:color w:val="000000"/>
          <w:lang w:eastAsia="es-MX"/>
        </w:rPr>
        <w:t>TRIBUNAL COLEGIADO</w:t>
      </w:r>
      <w:r w:rsidRPr="00D61C10">
        <w:rPr>
          <w:rFonts w:ascii="ITC Avant Garde" w:eastAsia="Times New Roman" w:hAnsi="ITC Avant Garde"/>
          <w:bCs/>
          <w:color w:val="000000"/>
          <w:lang w:eastAsia="es-MX"/>
        </w:rPr>
        <w:t xml:space="preserve"> el veintiséis de abril de dos mil diecisiete, asignándole el número de expediente </w:t>
      </w:r>
      <w:r w:rsidRPr="00D61C10">
        <w:rPr>
          <w:rFonts w:ascii="ITC Avant Garde" w:eastAsia="Times New Roman" w:hAnsi="ITC Avant Garde"/>
          <w:b/>
          <w:bCs/>
          <w:color w:val="000000"/>
          <w:lang w:eastAsia="es-MX"/>
        </w:rPr>
        <w:t>R.A. 55/2017</w:t>
      </w:r>
      <w:r w:rsidRPr="00D61C10">
        <w:rPr>
          <w:rFonts w:ascii="ITC Avant Garde" w:eastAsia="Times New Roman" w:hAnsi="ITC Avant Garde"/>
          <w:bCs/>
          <w:color w:val="000000"/>
          <w:lang w:eastAsia="es-MX"/>
        </w:rPr>
        <w:t>.</w:t>
      </w:r>
    </w:p>
    <w:p w14:paraId="1167E472" w14:textId="77777777" w:rsidR="00E2222D" w:rsidRDefault="00D61C10" w:rsidP="00907F25">
      <w:pPr>
        <w:pStyle w:val="Textoindependiente"/>
        <w:spacing w:after="240" w:line="360" w:lineRule="auto"/>
        <w:ind w:right="51"/>
        <w:jc w:val="both"/>
        <w:rPr>
          <w:rFonts w:ascii="ITC Avant Garde" w:eastAsia="Times New Roman" w:hAnsi="ITC Avant Garde"/>
          <w:bCs/>
          <w:color w:val="000000"/>
          <w:lang w:eastAsia="es-MX"/>
        </w:rPr>
      </w:pPr>
      <w:r w:rsidRPr="00D61C10">
        <w:rPr>
          <w:rFonts w:ascii="ITC Avant Garde" w:eastAsia="Times New Roman" w:hAnsi="ITC Avant Garde"/>
          <w:b/>
          <w:bCs/>
          <w:color w:val="000000"/>
          <w:lang w:eastAsia="es-MX"/>
        </w:rPr>
        <w:t>DÉCIMO TERCERO.</w:t>
      </w:r>
      <w:r>
        <w:rPr>
          <w:rFonts w:ascii="ITC Avant Garde" w:eastAsia="Times New Roman" w:hAnsi="ITC Avant Garde"/>
          <w:bCs/>
          <w:color w:val="000000"/>
          <w:lang w:eastAsia="es-MX"/>
        </w:rPr>
        <w:t xml:space="preserve"> </w:t>
      </w:r>
      <w:r w:rsidRPr="00644546">
        <w:rPr>
          <w:rFonts w:ascii="ITC Avant Garde" w:eastAsia="Times New Roman" w:hAnsi="ITC Avant Garde"/>
          <w:bCs/>
          <w:color w:val="000000"/>
          <w:lang w:eastAsia="es-MX"/>
        </w:rPr>
        <w:t>El</w:t>
      </w:r>
      <w:r w:rsidRPr="00644546">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veintisiete de marzo de dos mil dieciocho</w:t>
      </w:r>
      <w:r w:rsidRPr="00644546">
        <w:rPr>
          <w:rFonts w:ascii="ITC Avant Garde" w:eastAsia="Times New Roman" w:hAnsi="ITC Avant Garde"/>
          <w:bCs/>
          <w:color w:val="000000"/>
          <w:lang w:eastAsia="es-MX"/>
        </w:rPr>
        <w:t>, el</w:t>
      </w:r>
      <w:r w:rsidRPr="00644546">
        <w:rPr>
          <w:rFonts w:ascii="ITC Avant Garde" w:eastAsia="Times New Roman" w:hAnsi="ITC Avant Garde"/>
          <w:b/>
          <w:bCs/>
          <w:color w:val="000000"/>
          <w:lang w:eastAsia="es-MX"/>
        </w:rPr>
        <w:t xml:space="preserve"> TRIBUNAL COLEGIADO</w:t>
      </w:r>
      <w:r w:rsidRPr="00644546">
        <w:rPr>
          <w:rFonts w:ascii="ITC Avant Garde" w:eastAsia="Times New Roman" w:hAnsi="ITC Avant Garde"/>
          <w:bCs/>
          <w:color w:val="000000"/>
          <w:lang w:eastAsia="es-MX"/>
        </w:rPr>
        <w:t xml:space="preserve"> dictó la sentencia del caso a través de la cual concluyó sustancialmente lo siguiente:</w:t>
      </w:r>
    </w:p>
    <w:p w14:paraId="5C851241" w14:textId="77777777" w:rsidR="00E2222D" w:rsidRDefault="00D61C10" w:rsidP="00907F25">
      <w:pPr>
        <w:pStyle w:val="Textoindependiente"/>
        <w:tabs>
          <w:tab w:val="left" w:pos="851"/>
        </w:tabs>
        <w:spacing w:after="240" w:line="360" w:lineRule="auto"/>
        <w:ind w:left="851" w:right="900"/>
        <w:jc w:val="both"/>
        <w:rPr>
          <w:rFonts w:ascii="ITC Avant Garde" w:eastAsia="Times New Roman" w:hAnsi="ITC Avant Garde"/>
          <w:bCs/>
          <w:i/>
          <w:color w:val="000000"/>
          <w:sz w:val="20"/>
          <w:lang w:eastAsia="es-MX"/>
        </w:rPr>
      </w:pPr>
      <w:r w:rsidRPr="00D61C10">
        <w:rPr>
          <w:rFonts w:ascii="ITC Avant Garde" w:eastAsia="Times New Roman" w:hAnsi="ITC Avant Garde"/>
          <w:b/>
          <w:bCs/>
          <w:i/>
          <w:color w:val="000000"/>
          <w:sz w:val="20"/>
          <w:lang w:eastAsia="es-MX"/>
        </w:rPr>
        <w:lastRenderedPageBreak/>
        <w:t>“PRIMERO.</w:t>
      </w:r>
      <w:r w:rsidRPr="00D61C10">
        <w:rPr>
          <w:rFonts w:ascii="ITC Avant Garde" w:eastAsia="Times New Roman" w:hAnsi="ITC Avant Garde"/>
          <w:bCs/>
          <w:i/>
          <w:color w:val="000000"/>
          <w:sz w:val="20"/>
          <w:lang w:eastAsia="es-MX"/>
        </w:rPr>
        <w:t xml:space="preserve"> Se </w:t>
      </w:r>
      <w:r w:rsidRPr="00D61C10">
        <w:rPr>
          <w:rFonts w:ascii="ITC Avant Garde" w:eastAsia="Times New Roman" w:hAnsi="ITC Avant Garde"/>
          <w:b/>
          <w:bCs/>
          <w:i/>
          <w:color w:val="000000"/>
          <w:sz w:val="20"/>
          <w:lang w:eastAsia="es-MX"/>
        </w:rPr>
        <w:t>MODIFICA</w:t>
      </w:r>
      <w:r w:rsidRPr="00D61C10">
        <w:rPr>
          <w:rFonts w:ascii="ITC Avant Garde" w:eastAsia="Times New Roman" w:hAnsi="ITC Avant Garde"/>
          <w:bCs/>
          <w:i/>
          <w:color w:val="000000"/>
          <w:sz w:val="20"/>
          <w:lang w:eastAsia="es-MX"/>
        </w:rPr>
        <w:t xml:space="preserve"> la sentencia recurrida, dictada el veintinueve de marzo de dos mil diecisiete por la titular del Juzgado Primero de Distrito en Materia Administrativa, Especializado en Competencia Económica, Radiodifusión y Telecomunicaciones, en el juicio de amparo 132/2016.</w:t>
      </w:r>
    </w:p>
    <w:p w14:paraId="20734EEE" w14:textId="77777777" w:rsidR="00E2222D" w:rsidRDefault="00D61C10" w:rsidP="00907F25">
      <w:pPr>
        <w:pStyle w:val="Textoindependiente"/>
        <w:tabs>
          <w:tab w:val="left" w:pos="851"/>
        </w:tabs>
        <w:spacing w:after="240" w:line="360" w:lineRule="auto"/>
        <w:ind w:left="851" w:right="900"/>
        <w:jc w:val="both"/>
        <w:rPr>
          <w:rFonts w:ascii="ITC Avant Garde" w:eastAsia="Times New Roman" w:hAnsi="ITC Avant Garde"/>
          <w:b/>
          <w:bCs/>
          <w:i/>
          <w:color w:val="000000"/>
          <w:sz w:val="20"/>
          <w:lang w:eastAsia="es-MX"/>
        </w:rPr>
      </w:pPr>
      <w:r w:rsidRPr="00D61C10">
        <w:rPr>
          <w:rFonts w:ascii="ITC Avant Garde" w:eastAsia="Times New Roman" w:hAnsi="ITC Avant Garde"/>
          <w:b/>
          <w:bCs/>
          <w:i/>
          <w:color w:val="000000"/>
          <w:sz w:val="20"/>
          <w:lang w:eastAsia="es-MX"/>
        </w:rPr>
        <w:t>…</w:t>
      </w:r>
    </w:p>
    <w:p w14:paraId="7B8897FD" w14:textId="77777777" w:rsidR="00E2222D" w:rsidRDefault="00D61C10" w:rsidP="00907F25">
      <w:pPr>
        <w:pStyle w:val="Textoindependiente"/>
        <w:tabs>
          <w:tab w:val="left" w:pos="851"/>
        </w:tabs>
        <w:spacing w:after="240" w:line="360" w:lineRule="auto"/>
        <w:ind w:left="851" w:right="900"/>
        <w:jc w:val="both"/>
        <w:rPr>
          <w:rFonts w:ascii="ITC Avant Garde" w:eastAsia="Times New Roman" w:hAnsi="ITC Avant Garde"/>
          <w:bCs/>
          <w:i/>
          <w:color w:val="000000"/>
          <w:sz w:val="20"/>
          <w:lang w:eastAsia="es-MX"/>
        </w:rPr>
      </w:pPr>
      <w:r w:rsidRPr="00D61C10">
        <w:rPr>
          <w:rFonts w:ascii="ITC Avant Garde" w:eastAsia="Times New Roman" w:hAnsi="ITC Avant Garde"/>
          <w:b/>
          <w:bCs/>
          <w:i/>
          <w:color w:val="000000"/>
          <w:sz w:val="20"/>
          <w:lang w:eastAsia="es-MX"/>
        </w:rPr>
        <w:t xml:space="preserve">SEGUNDO. </w:t>
      </w:r>
      <w:r w:rsidRPr="00D61C10">
        <w:rPr>
          <w:rFonts w:ascii="ITC Avant Garde" w:eastAsia="Times New Roman" w:hAnsi="ITC Avant Garde"/>
          <w:bCs/>
          <w:i/>
          <w:color w:val="000000"/>
          <w:sz w:val="20"/>
          <w:lang w:eastAsia="es-MX"/>
        </w:rPr>
        <w:t>Se SOBRESEE</w:t>
      </w:r>
      <w:r w:rsidRPr="00D61C10">
        <w:rPr>
          <w:rFonts w:ascii="ITC Avant Garde" w:eastAsia="Times New Roman" w:hAnsi="ITC Avant Garde"/>
          <w:b/>
          <w:bCs/>
          <w:i/>
          <w:color w:val="000000"/>
          <w:sz w:val="20"/>
          <w:lang w:eastAsia="es-MX"/>
        </w:rPr>
        <w:t xml:space="preserve"> </w:t>
      </w:r>
      <w:r w:rsidRPr="00D61C10">
        <w:rPr>
          <w:rFonts w:ascii="ITC Avant Garde" w:eastAsia="Times New Roman" w:hAnsi="ITC Avant Garde"/>
          <w:bCs/>
          <w:i/>
          <w:color w:val="000000"/>
          <w:sz w:val="20"/>
          <w:lang w:eastAsia="es-MX"/>
        </w:rPr>
        <w:t>en el presente juicio respecto de los actos reclamados identificados en los considerandos sexto y séptimo de esta ejecutoria, esto es, el cobro coactivo de la multa impuesta a la quejosa en la resolución reclamada, y los artículos 298, inciso B, fracción IV, y 299 de la Ley Federal de Telecomunicaciones y Radiodifusión; 68 de la Ley Federal de Procedimiento Administrativo; y, 12 del ACUERDO mediante el cual el Pleno del IFT emite los Lineamientos generales en relación con lo dispuesto por la fracción I del artículo octavo transitorio del Decreto por el que se reforman y adicionan diversas disposiciones de los artículos 6°, 7°, 27, 28, 73, 78, 94 y 105 de la Constitución Política de los Estados Unidos Mexicanos, en Materia de Telecomunicaciones, publicado en el Diario Oficial de la Federación del día veintisiete de febrero de dos mil catorce.</w:t>
      </w:r>
    </w:p>
    <w:p w14:paraId="079EADE4" w14:textId="77777777" w:rsidR="00E2222D" w:rsidRDefault="00D61C10" w:rsidP="00907F25">
      <w:pPr>
        <w:pStyle w:val="Textoindependiente"/>
        <w:tabs>
          <w:tab w:val="left" w:pos="851"/>
        </w:tabs>
        <w:spacing w:after="240" w:line="360" w:lineRule="auto"/>
        <w:ind w:left="851" w:right="900"/>
        <w:jc w:val="both"/>
        <w:rPr>
          <w:rFonts w:ascii="ITC Avant Garde" w:eastAsia="Times New Roman" w:hAnsi="ITC Avant Garde"/>
          <w:b/>
          <w:bCs/>
          <w:i/>
          <w:color w:val="000000"/>
          <w:sz w:val="20"/>
          <w:lang w:eastAsia="es-MX"/>
        </w:rPr>
      </w:pPr>
      <w:r w:rsidRPr="00D61C10">
        <w:rPr>
          <w:rFonts w:ascii="ITC Avant Garde" w:eastAsia="Times New Roman" w:hAnsi="ITC Avant Garde"/>
          <w:b/>
          <w:bCs/>
          <w:i/>
          <w:color w:val="000000"/>
          <w:sz w:val="20"/>
          <w:lang w:eastAsia="es-MX"/>
        </w:rPr>
        <w:t>…</w:t>
      </w:r>
    </w:p>
    <w:p w14:paraId="22E3AE36" w14:textId="77777777" w:rsidR="00E2222D" w:rsidRDefault="00D61C10" w:rsidP="00907F25">
      <w:pPr>
        <w:pStyle w:val="Textoindependiente"/>
        <w:tabs>
          <w:tab w:val="left" w:pos="851"/>
        </w:tabs>
        <w:spacing w:after="240" w:line="360" w:lineRule="auto"/>
        <w:ind w:left="851" w:right="900"/>
        <w:jc w:val="both"/>
        <w:rPr>
          <w:rFonts w:ascii="ITC Avant Garde" w:eastAsia="Times New Roman" w:hAnsi="ITC Avant Garde"/>
          <w:bCs/>
          <w:i/>
          <w:color w:val="000000"/>
          <w:sz w:val="20"/>
          <w:lang w:eastAsia="es-MX"/>
        </w:rPr>
      </w:pPr>
      <w:r w:rsidRPr="00D61C10">
        <w:rPr>
          <w:rFonts w:ascii="ITC Avant Garde" w:eastAsia="Times New Roman" w:hAnsi="ITC Avant Garde"/>
          <w:b/>
          <w:bCs/>
          <w:i/>
          <w:color w:val="000000"/>
          <w:sz w:val="20"/>
          <w:lang w:eastAsia="es-MX"/>
        </w:rPr>
        <w:t xml:space="preserve">TERCERO. </w:t>
      </w:r>
      <w:r w:rsidRPr="00D61C10">
        <w:rPr>
          <w:rFonts w:ascii="ITC Avant Garde" w:eastAsia="Times New Roman" w:hAnsi="ITC Avant Garde"/>
          <w:bCs/>
          <w:i/>
          <w:color w:val="000000"/>
          <w:sz w:val="20"/>
          <w:lang w:eastAsia="es-MX"/>
        </w:rPr>
        <w:t xml:space="preserve">La Justicia de la Unión </w:t>
      </w:r>
      <w:r w:rsidRPr="00D61C10">
        <w:rPr>
          <w:rFonts w:ascii="ITC Avant Garde" w:eastAsia="Times New Roman" w:hAnsi="ITC Avant Garde"/>
          <w:b/>
          <w:bCs/>
          <w:i/>
          <w:color w:val="000000"/>
          <w:sz w:val="20"/>
          <w:lang w:eastAsia="es-MX"/>
        </w:rPr>
        <w:t xml:space="preserve">AMPARA Y PROTEGE </w:t>
      </w:r>
      <w:r w:rsidRPr="00D61C10">
        <w:rPr>
          <w:rFonts w:ascii="ITC Avant Garde" w:eastAsia="Times New Roman" w:hAnsi="ITC Avant Garde"/>
          <w:bCs/>
          <w:i/>
          <w:color w:val="000000"/>
          <w:sz w:val="20"/>
          <w:lang w:eastAsia="es-MX"/>
        </w:rPr>
        <w:t xml:space="preserve">a </w:t>
      </w:r>
      <w:r w:rsidRPr="00D61C10">
        <w:rPr>
          <w:rFonts w:ascii="ITC Avant Garde" w:eastAsia="Times New Roman" w:hAnsi="ITC Avant Garde"/>
          <w:b/>
          <w:bCs/>
          <w:i/>
          <w:color w:val="000000"/>
          <w:sz w:val="20"/>
          <w:lang w:eastAsia="es-MX"/>
        </w:rPr>
        <w:t>MEGA CABLE</w:t>
      </w:r>
      <w:r w:rsidRPr="00D61C10">
        <w:rPr>
          <w:rFonts w:ascii="ITC Avant Garde" w:eastAsia="Times New Roman" w:hAnsi="ITC Avant Garde"/>
          <w:bCs/>
          <w:i/>
          <w:color w:val="000000"/>
          <w:sz w:val="20"/>
          <w:lang w:eastAsia="es-MX"/>
        </w:rPr>
        <w:t>, sociedad anónima de capital variable, en contra de la resolución de veintitrés de agosto de dos mil dieciséis, contenida en el Acuerdo P/IFT/230816/455, emitido por el Pleno del Instituto Federal de Telecomunicaciones, mayormente identificada en el resultando primero de esta ejecutoria.</w:t>
      </w:r>
      <w:r>
        <w:rPr>
          <w:rFonts w:ascii="ITC Avant Garde" w:eastAsia="Times New Roman" w:hAnsi="ITC Avant Garde"/>
          <w:bCs/>
          <w:i/>
          <w:color w:val="000000"/>
          <w:sz w:val="20"/>
          <w:lang w:eastAsia="es-MX"/>
        </w:rPr>
        <w:t>”</w:t>
      </w:r>
    </w:p>
    <w:p w14:paraId="5791F506" w14:textId="77777777" w:rsidR="00E2222D" w:rsidRDefault="00D61C10" w:rsidP="00907F25">
      <w:pPr>
        <w:spacing w:after="240" w:line="360" w:lineRule="auto"/>
        <w:ind w:right="-1"/>
        <w:jc w:val="both"/>
        <w:rPr>
          <w:rFonts w:ascii="ITC Avant Garde" w:eastAsia="Times New Roman" w:hAnsi="ITC Avant Garde"/>
          <w:bCs/>
          <w:color w:val="000000"/>
          <w:lang w:eastAsia="es-MX"/>
        </w:rPr>
      </w:pPr>
      <w:r w:rsidRPr="00D61C10">
        <w:rPr>
          <w:rFonts w:ascii="ITC Avant Garde" w:eastAsia="Times New Roman" w:hAnsi="ITC Avant Garde"/>
          <w:b/>
          <w:bCs/>
          <w:color w:val="000000"/>
          <w:lang w:eastAsia="es-MX"/>
        </w:rPr>
        <w:t>DÉCIMO CUARTO.</w:t>
      </w:r>
      <w:r>
        <w:rPr>
          <w:rFonts w:ascii="ITC Avant Garde" w:eastAsia="Times New Roman" w:hAnsi="ITC Avant Garde"/>
          <w:bCs/>
          <w:color w:val="000000"/>
          <w:lang w:eastAsia="es-MX"/>
        </w:rPr>
        <w:t xml:space="preserve"> </w:t>
      </w:r>
      <w:r w:rsidRPr="00D61C10">
        <w:rPr>
          <w:rFonts w:ascii="ITC Avant Garde" w:eastAsia="Times New Roman" w:hAnsi="ITC Avant Garde"/>
          <w:bCs/>
          <w:color w:val="000000"/>
          <w:lang w:eastAsia="es-MX"/>
        </w:rPr>
        <w:t xml:space="preserve">Mediante el acuerdo dictado el diez de abril de dos mil dieciocho y notificado a este Instituto el once de abril </w:t>
      </w:r>
      <w:r>
        <w:rPr>
          <w:rFonts w:ascii="ITC Avant Garde" w:eastAsia="Times New Roman" w:hAnsi="ITC Avant Garde"/>
          <w:bCs/>
          <w:color w:val="000000"/>
          <w:lang w:eastAsia="es-MX"/>
        </w:rPr>
        <w:t>siguiente</w:t>
      </w:r>
      <w:r w:rsidRPr="00D61C10">
        <w:rPr>
          <w:rFonts w:ascii="ITC Avant Garde" w:eastAsia="Times New Roman" w:hAnsi="ITC Avant Garde"/>
          <w:bCs/>
          <w:color w:val="000000"/>
          <w:lang w:eastAsia="es-MX"/>
        </w:rPr>
        <w:t xml:space="preserve">, el JUZGADO señaló </w:t>
      </w:r>
      <w:r>
        <w:rPr>
          <w:rFonts w:ascii="ITC Avant Garde" w:eastAsia="Times New Roman" w:hAnsi="ITC Avant Garde"/>
          <w:bCs/>
          <w:color w:val="000000"/>
          <w:lang w:eastAsia="es-MX"/>
        </w:rPr>
        <w:t>ordenó lo siguiente</w:t>
      </w:r>
      <w:r w:rsidRPr="00D61C10">
        <w:rPr>
          <w:rFonts w:ascii="ITC Avant Garde" w:eastAsia="Times New Roman" w:hAnsi="ITC Avant Garde"/>
          <w:bCs/>
          <w:color w:val="000000"/>
          <w:lang w:eastAsia="es-MX"/>
        </w:rPr>
        <w:t>:</w:t>
      </w:r>
    </w:p>
    <w:p w14:paraId="4C3F7DDC" w14:textId="77777777" w:rsidR="00E2222D" w:rsidRDefault="00D61C10" w:rsidP="00907F25">
      <w:pPr>
        <w:spacing w:after="240" w:line="360" w:lineRule="auto"/>
        <w:ind w:left="851" w:right="900"/>
        <w:jc w:val="both"/>
        <w:rPr>
          <w:rFonts w:ascii="ITC Avant Garde" w:eastAsia="Times New Roman" w:hAnsi="ITC Avant Garde"/>
          <w:bCs/>
          <w:color w:val="000000"/>
          <w:sz w:val="20"/>
          <w:lang w:eastAsia="es-MX"/>
        </w:rPr>
      </w:pPr>
      <w:r w:rsidRPr="00AB3B5B">
        <w:rPr>
          <w:rFonts w:ascii="ITC Avant Garde" w:eastAsia="Times New Roman" w:hAnsi="ITC Avant Garde"/>
          <w:bCs/>
          <w:color w:val="000000"/>
          <w:sz w:val="20"/>
          <w:lang w:eastAsia="es-MX"/>
        </w:rPr>
        <w:t>(…)</w:t>
      </w:r>
    </w:p>
    <w:p w14:paraId="4B66B4F0" w14:textId="39009D74" w:rsidR="00E2222D" w:rsidRDefault="00D61C10" w:rsidP="00907F25">
      <w:pPr>
        <w:spacing w:after="240" w:line="360" w:lineRule="auto"/>
        <w:ind w:left="851" w:right="900"/>
        <w:jc w:val="both"/>
        <w:rPr>
          <w:rFonts w:ascii="ITC Avant Garde" w:eastAsia="Times New Roman" w:hAnsi="ITC Avant Garde"/>
          <w:bCs/>
          <w:color w:val="000000"/>
          <w:sz w:val="20"/>
          <w:lang w:eastAsia="es-MX"/>
        </w:rPr>
      </w:pPr>
      <w:r w:rsidRPr="00AB3B5B">
        <w:rPr>
          <w:rFonts w:ascii="ITC Avant Garde" w:eastAsia="Times New Roman" w:hAnsi="ITC Avant Garde"/>
          <w:bCs/>
          <w:color w:val="000000"/>
          <w:sz w:val="20"/>
          <w:lang w:eastAsia="es-MX"/>
        </w:rPr>
        <w:lastRenderedPageBreak/>
        <w:t>Se destaca que el amparo fue concedido para el efecto de que el Pleno del Instituto Federal de Telecomunicaciones, deje insubsistente la resolución de veintitrés de agosto de dos mil dieciséis, dictada en el procedimiento administrativo de imposición de sanción E-IFT.UC.DG-SAN.II.0030/2016; y en su lugar, emita otra en la que reitere todas las consideraciones, excepto las relacionadas con la determinación del monto de la sanción, pues sobre esto deberá ajustarlo a lo indicado en el amparo en revisión 210/2017 que se le concedió, esto es, “…si en lo sucesivo la autoridad sancionadora (mediante otros procedimientos) estima que la quejosa incumplió con alguna obligación sancionable conforme a la fracción IV, del inciso B), del numeral 298 de la Ley Federal de Telecomunicaciones y Radiodifusión, al determinar el porcentaje mínimo de sanción procedente, podrá acudir al porcentaje mínimo previsto en el inciso A) del artículo 298 de la Ley, es decir, el 0.01% (cero punto cero uno por ciento) del ingreso del sujeto sancionado”.</w:t>
      </w:r>
    </w:p>
    <w:p w14:paraId="0E039775" w14:textId="77777777" w:rsidR="00E2222D" w:rsidRDefault="00D61C10" w:rsidP="00907F25">
      <w:pPr>
        <w:spacing w:after="240" w:line="360" w:lineRule="auto"/>
        <w:ind w:left="851" w:right="900"/>
        <w:jc w:val="both"/>
        <w:rPr>
          <w:rFonts w:ascii="ITC Avant Garde" w:eastAsia="Times New Roman" w:hAnsi="ITC Avant Garde"/>
          <w:bCs/>
          <w:color w:val="000000"/>
          <w:sz w:val="20"/>
          <w:lang w:eastAsia="es-MX"/>
        </w:rPr>
      </w:pPr>
      <w:r w:rsidRPr="00AB3B5B">
        <w:rPr>
          <w:rFonts w:ascii="ITC Avant Garde" w:eastAsia="Times New Roman" w:hAnsi="ITC Avant Garde"/>
          <w:bCs/>
          <w:color w:val="000000"/>
          <w:sz w:val="20"/>
          <w:lang w:eastAsia="es-MX"/>
        </w:rPr>
        <w:t xml:space="preserve">Con fundamento en los artículos 192, párrafo segundo y 193 de la Ley de Amparo, se requiere al Pleno del Instituto Federal de Telecomunicaciones </w:t>
      </w:r>
      <w:r w:rsidR="00AB3B5B" w:rsidRPr="00AB3B5B">
        <w:rPr>
          <w:rFonts w:ascii="ITC Avant Garde" w:eastAsia="Times New Roman" w:hAnsi="ITC Avant Garde"/>
          <w:bCs/>
          <w:color w:val="000000"/>
          <w:sz w:val="20"/>
          <w:lang w:eastAsia="es-MX"/>
        </w:rPr>
        <w:t>como autoridad directamente obligada a dar cumplimiento a la ejecutoria de amparo, para que en el plazo de tres días, contado a partir del día siguiente al que sea notificado el presente auto, remita las constancias con las que acredite haber llevado a cabo lo reseñado en los párrafos que anteceden.</w:t>
      </w:r>
    </w:p>
    <w:p w14:paraId="455B88E7" w14:textId="77777777" w:rsidR="00E2222D" w:rsidRDefault="00D61C10" w:rsidP="00907F25">
      <w:pPr>
        <w:spacing w:after="240" w:line="360" w:lineRule="auto"/>
        <w:ind w:left="851" w:right="900"/>
        <w:jc w:val="both"/>
        <w:rPr>
          <w:rFonts w:ascii="ITC Avant Garde" w:eastAsia="Times New Roman" w:hAnsi="ITC Avant Garde"/>
          <w:bCs/>
          <w:color w:val="000000"/>
          <w:sz w:val="20"/>
          <w:lang w:eastAsia="es-MX"/>
        </w:rPr>
      </w:pPr>
      <w:r w:rsidRPr="00AB3B5B">
        <w:rPr>
          <w:rFonts w:ascii="ITC Avant Garde" w:eastAsia="Times New Roman" w:hAnsi="ITC Avant Garde"/>
          <w:bCs/>
          <w:color w:val="000000"/>
          <w:sz w:val="20"/>
          <w:lang w:eastAsia="es-MX"/>
        </w:rPr>
        <w:t>(…)”</w:t>
      </w:r>
    </w:p>
    <w:p w14:paraId="080FDEE0" w14:textId="77777777" w:rsidR="00E2222D" w:rsidRDefault="00AB3B5B" w:rsidP="00907F25">
      <w:pPr>
        <w:spacing w:after="240" w:line="360" w:lineRule="auto"/>
        <w:ind w:right="-1"/>
        <w:jc w:val="both"/>
        <w:rPr>
          <w:rFonts w:ascii="ITC Avant Garde" w:eastAsia="Times New Roman" w:hAnsi="ITC Avant Garde"/>
          <w:bCs/>
          <w:color w:val="000000"/>
          <w:lang w:eastAsia="es-MX"/>
        </w:rPr>
      </w:pPr>
      <w:r w:rsidRPr="00AB3B5B">
        <w:rPr>
          <w:rFonts w:ascii="ITC Avant Garde" w:eastAsia="Times New Roman" w:hAnsi="ITC Avant Garde"/>
          <w:b/>
          <w:bCs/>
          <w:color w:val="000000"/>
          <w:lang w:eastAsia="es-MX"/>
        </w:rPr>
        <w:t>DÉCIMO QUINTO.</w:t>
      </w:r>
      <w:r>
        <w:rPr>
          <w:rFonts w:ascii="ITC Avant Garde" w:eastAsia="Times New Roman" w:hAnsi="ITC Avant Garde"/>
          <w:bCs/>
          <w:color w:val="000000"/>
          <w:lang w:eastAsia="es-MX"/>
        </w:rPr>
        <w:t xml:space="preserve"> Mediante acuerdo notificado el veinte de abril de dos mil dieciocho, el Juzgado concedió un plazo adicional de diez días hábiles para acreditar el cumplimiento dado al fallo protector.</w:t>
      </w:r>
    </w:p>
    <w:p w14:paraId="0716375F" w14:textId="77777777" w:rsidR="00E2222D" w:rsidRDefault="00AB3B5B" w:rsidP="00907F25">
      <w:pPr>
        <w:spacing w:after="240" w:line="360" w:lineRule="auto"/>
        <w:ind w:right="-1"/>
        <w:jc w:val="both"/>
        <w:rPr>
          <w:rFonts w:ascii="ITC Avant Garde" w:eastAsia="Times New Roman" w:hAnsi="ITC Avant Garde"/>
          <w:bCs/>
          <w:color w:val="000000"/>
          <w:lang w:eastAsia="es-MX"/>
        </w:rPr>
      </w:pPr>
      <w:r w:rsidRPr="00AB3B5B">
        <w:rPr>
          <w:rFonts w:ascii="ITC Avant Garde" w:eastAsia="Times New Roman" w:hAnsi="ITC Avant Garde"/>
          <w:b/>
          <w:bCs/>
          <w:color w:val="000000"/>
          <w:lang w:eastAsia="es-MX"/>
        </w:rPr>
        <w:t>DÉCIMO SEXTO.</w:t>
      </w:r>
      <w:r>
        <w:rPr>
          <w:rFonts w:ascii="ITC Avant Garde" w:eastAsia="Times New Roman" w:hAnsi="ITC Avant Garde"/>
          <w:bCs/>
          <w:color w:val="000000"/>
          <w:lang w:eastAsia="es-MX"/>
        </w:rPr>
        <w:t xml:space="preserve"> </w:t>
      </w:r>
      <w:r w:rsidRPr="00AB3B5B">
        <w:rPr>
          <w:rFonts w:ascii="ITC Avant Garde" w:eastAsia="Times New Roman" w:hAnsi="ITC Avant Garde"/>
          <w:bCs/>
          <w:color w:val="000000"/>
          <w:lang w:eastAsia="es-MX"/>
        </w:rPr>
        <w:t xml:space="preserve">Mediante resolución emitida en esta fecha, se dejó sin efectos la resolución de veintitrés </w:t>
      </w:r>
      <w:r>
        <w:rPr>
          <w:rFonts w:ascii="ITC Avant Garde" w:eastAsia="Times New Roman" w:hAnsi="ITC Avant Garde"/>
          <w:bCs/>
          <w:color w:val="000000"/>
          <w:lang w:eastAsia="es-MX"/>
        </w:rPr>
        <w:t>de agosto de dos mil dieciséis</w:t>
      </w:r>
      <w:r w:rsidRPr="00AB3B5B">
        <w:rPr>
          <w:rFonts w:ascii="ITC Avant Garde" w:eastAsia="Times New Roman" w:hAnsi="ITC Avant Garde"/>
          <w:bCs/>
          <w:color w:val="000000"/>
          <w:lang w:eastAsia="es-MX"/>
        </w:rPr>
        <w:t xml:space="preserve">, por lo que a efecto de dar cabal cumplimiento a la ejecutoria </w:t>
      </w:r>
      <w:r w:rsidR="00250345">
        <w:rPr>
          <w:rFonts w:ascii="ITC Avant Garde" w:eastAsia="Times New Roman" w:hAnsi="ITC Avant Garde"/>
          <w:bCs/>
          <w:color w:val="000000"/>
          <w:lang w:eastAsia="es-MX"/>
        </w:rPr>
        <w:t>dictada</w:t>
      </w:r>
      <w:r w:rsidRPr="00AB3B5B">
        <w:rPr>
          <w:rFonts w:ascii="ITC Avant Garde" w:eastAsia="Times New Roman" w:hAnsi="ITC Avant Garde"/>
          <w:bCs/>
          <w:color w:val="000000"/>
          <w:lang w:eastAsia="es-MX"/>
        </w:rPr>
        <w:t xml:space="preserve"> por el </w:t>
      </w:r>
      <w:r w:rsidRPr="00250345">
        <w:rPr>
          <w:rFonts w:ascii="ITC Avant Garde" w:eastAsia="Times New Roman" w:hAnsi="ITC Avant Garde"/>
          <w:b/>
          <w:bCs/>
          <w:color w:val="000000"/>
          <w:lang w:eastAsia="es-MX"/>
        </w:rPr>
        <w:t>TRIBUNAL COLEGIADO</w:t>
      </w:r>
      <w:r w:rsidRPr="00AB3B5B">
        <w:rPr>
          <w:rFonts w:ascii="ITC Avant Garde" w:eastAsia="Times New Roman" w:hAnsi="ITC Avant Garde"/>
          <w:bCs/>
          <w:color w:val="000000"/>
          <w:lang w:eastAsia="es-MX"/>
        </w:rPr>
        <w:t xml:space="preserve">, se procede a emitir </w:t>
      </w:r>
      <w:r w:rsidRPr="00AB3B5B">
        <w:rPr>
          <w:rFonts w:ascii="ITC Avant Garde" w:eastAsia="Times New Roman" w:hAnsi="ITC Avant Garde"/>
          <w:bCs/>
          <w:color w:val="000000"/>
          <w:lang w:eastAsia="es-MX"/>
        </w:rPr>
        <w:lastRenderedPageBreak/>
        <w:t xml:space="preserve">la presente resolución en estricto acato a las consideraciones señaladas en la </w:t>
      </w:r>
      <w:r w:rsidR="00250345">
        <w:rPr>
          <w:rFonts w:ascii="ITC Avant Garde" w:eastAsia="Times New Roman" w:hAnsi="ITC Avant Garde"/>
          <w:bCs/>
          <w:color w:val="000000"/>
          <w:lang w:eastAsia="es-MX"/>
        </w:rPr>
        <w:t>misma</w:t>
      </w:r>
      <w:r w:rsidRPr="00AB3B5B">
        <w:rPr>
          <w:rFonts w:ascii="ITC Avant Garde" w:eastAsia="Times New Roman" w:hAnsi="ITC Avant Garde"/>
          <w:bCs/>
          <w:color w:val="000000"/>
          <w:lang w:eastAsia="es-MX"/>
        </w:rPr>
        <w:t>, de conformidad con lo siguiente</w:t>
      </w:r>
      <w:r w:rsidR="00250345">
        <w:rPr>
          <w:rFonts w:ascii="ITC Avant Garde" w:eastAsia="Times New Roman" w:hAnsi="ITC Avant Garde"/>
          <w:bCs/>
          <w:color w:val="000000"/>
          <w:lang w:eastAsia="es-MX"/>
        </w:rPr>
        <w:t>:</w:t>
      </w:r>
    </w:p>
    <w:p w14:paraId="721D4D9E" w14:textId="05D32CBE" w:rsidR="00E2222D" w:rsidRPr="005B2638" w:rsidRDefault="006A7614" w:rsidP="00907F25">
      <w:pPr>
        <w:pStyle w:val="Ttulo2"/>
        <w:keepLines/>
        <w:spacing w:before="0" w:after="240" w:line="360" w:lineRule="auto"/>
        <w:jc w:val="center"/>
        <w:rPr>
          <w:rFonts w:ascii="ITC Avant Garde" w:eastAsiaTheme="majorEastAsia" w:hAnsi="ITC Avant Garde" w:cstheme="majorBidi"/>
          <w:bCs w:val="0"/>
          <w:i w:val="0"/>
          <w:iCs w:val="0"/>
          <w:color w:val="000000" w:themeColor="text1"/>
          <w:sz w:val="22"/>
          <w:szCs w:val="22"/>
        </w:rPr>
      </w:pPr>
      <w:r w:rsidRPr="005B2638">
        <w:rPr>
          <w:rFonts w:ascii="ITC Avant Garde" w:eastAsiaTheme="majorEastAsia" w:hAnsi="ITC Avant Garde" w:cstheme="majorBidi"/>
          <w:bCs w:val="0"/>
          <w:i w:val="0"/>
          <w:iCs w:val="0"/>
          <w:color w:val="000000" w:themeColor="text1"/>
          <w:sz w:val="22"/>
          <w:szCs w:val="22"/>
        </w:rPr>
        <w:t xml:space="preserve">CONSIDERANDO </w:t>
      </w:r>
    </w:p>
    <w:p w14:paraId="130B6138" w14:textId="77777777" w:rsidR="00E2222D" w:rsidRDefault="006A7614" w:rsidP="00907F25">
      <w:pPr>
        <w:spacing w:after="240" w:line="360" w:lineRule="auto"/>
        <w:jc w:val="both"/>
        <w:rPr>
          <w:rFonts w:ascii="ITC Avant Garde" w:hAnsi="ITC Avant Garde"/>
        </w:rPr>
      </w:pPr>
      <w:r w:rsidRPr="006A7614">
        <w:rPr>
          <w:rFonts w:ascii="ITC Avant Garde" w:eastAsia="Times New Roman" w:hAnsi="ITC Avant Garde"/>
          <w:b/>
          <w:bCs/>
          <w:color w:val="000000"/>
          <w:lang w:eastAsia="es-MX"/>
        </w:rPr>
        <w:t xml:space="preserve">PRIMERO. </w:t>
      </w:r>
      <w:r w:rsidR="00F32E58" w:rsidRPr="006B75E7">
        <w:rPr>
          <w:rFonts w:ascii="ITC Avant Garde" w:hAnsi="ITC Avant Garde"/>
        </w:rPr>
        <w:t xml:space="preserve">En sesión pública celebrada </w:t>
      </w:r>
      <w:r w:rsidR="00F32E58">
        <w:rPr>
          <w:rFonts w:ascii="ITC Avant Garde" w:hAnsi="ITC Avant Garde"/>
        </w:rPr>
        <w:t>el veintisiete de marzo de dos mil dieciocho</w:t>
      </w:r>
      <w:r w:rsidR="00F32E58" w:rsidRPr="006B75E7">
        <w:rPr>
          <w:rFonts w:ascii="ITC Avant Garde" w:hAnsi="ITC Avant Garde"/>
        </w:rPr>
        <w:t xml:space="preserve">, el </w:t>
      </w:r>
      <w:r w:rsidR="00F32E58" w:rsidRPr="00994845">
        <w:rPr>
          <w:rFonts w:ascii="ITC Avant Garde" w:hAnsi="ITC Avant Garde"/>
          <w:b/>
        </w:rPr>
        <w:t>TRIBUNAL COLEGIADO</w:t>
      </w:r>
      <w:r w:rsidR="00F32E58">
        <w:rPr>
          <w:rFonts w:ascii="ITC Avant Garde" w:hAnsi="ITC Avant Garde"/>
        </w:rPr>
        <w:t xml:space="preserve">, emitió la resolución en el amparo en revisión </w:t>
      </w:r>
      <w:r w:rsidR="00F32E58">
        <w:rPr>
          <w:rFonts w:ascii="ITC Avant Garde" w:hAnsi="ITC Avant Garde"/>
          <w:b/>
        </w:rPr>
        <w:t>55</w:t>
      </w:r>
      <w:r w:rsidR="00F32E58" w:rsidRPr="00821148">
        <w:rPr>
          <w:rFonts w:ascii="ITC Avant Garde" w:hAnsi="ITC Avant Garde"/>
          <w:b/>
        </w:rPr>
        <w:t>/201</w:t>
      </w:r>
      <w:r w:rsidR="00F32E58">
        <w:rPr>
          <w:rFonts w:ascii="ITC Avant Garde" w:hAnsi="ITC Avant Garde"/>
          <w:b/>
        </w:rPr>
        <w:t>7</w:t>
      </w:r>
      <w:r w:rsidR="00F32E58">
        <w:rPr>
          <w:rFonts w:ascii="ITC Avant Garde" w:hAnsi="ITC Avant Garde"/>
        </w:rPr>
        <w:t xml:space="preserve"> en la cual determinó conceder el amparo y protección de la Justicia de la Unión a </w:t>
      </w:r>
      <w:r w:rsidR="00994845" w:rsidRPr="00994845">
        <w:rPr>
          <w:rFonts w:ascii="ITC Avant Garde" w:hAnsi="ITC Avant Garde"/>
          <w:b/>
        </w:rPr>
        <w:t>MEGA CABLE</w:t>
      </w:r>
      <w:r w:rsidR="00F32E58">
        <w:rPr>
          <w:rFonts w:ascii="ITC Avant Garde" w:hAnsi="ITC Avant Garde"/>
        </w:rPr>
        <w:t>.</w:t>
      </w:r>
    </w:p>
    <w:p w14:paraId="4CB1EF20" w14:textId="77777777" w:rsidR="00E2222D" w:rsidRDefault="00F32E58" w:rsidP="00907F25">
      <w:pPr>
        <w:spacing w:after="240" w:line="360" w:lineRule="auto"/>
        <w:jc w:val="both"/>
        <w:rPr>
          <w:rFonts w:ascii="ITC Avant Garde" w:hAnsi="ITC Avant Garde"/>
        </w:rPr>
      </w:pPr>
      <w:r>
        <w:rPr>
          <w:rFonts w:ascii="ITC Avant Garde" w:hAnsi="ITC Avant Garde"/>
        </w:rPr>
        <w:t xml:space="preserve">En ese sentido, el Tribunal Colegiado concedió el amparo para el efecto de que </w:t>
      </w:r>
      <w:r w:rsidR="00994845">
        <w:rPr>
          <w:rFonts w:ascii="ITC Avant Garde" w:hAnsi="ITC Avant Garde"/>
        </w:rPr>
        <w:t xml:space="preserve">se deje insubsistente la resolución reclamada </w:t>
      </w:r>
      <w:r w:rsidR="00994845" w:rsidRPr="00994845">
        <w:rPr>
          <w:rFonts w:ascii="ITC Avant Garde" w:hAnsi="ITC Avant Garde"/>
        </w:rPr>
        <w:t xml:space="preserve">y, en su lugar, </w:t>
      </w:r>
      <w:r w:rsidR="00994845">
        <w:rPr>
          <w:rFonts w:ascii="ITC Avant Garde" w:hAnsi="ITC Avant Garde"/>
        </w:rPr>
        <w:t xml:space="preserve">se emita </w:t>
      </w:r>
      <w:r w:rsidR="00994845" w:rsidRPr="00994845">
        <w:rPr>
          <w:rFonts w:ascii="ITC Avant Garde" w:hAnsi="ITC Avant Garde"/>
        </w:rPr>
        <w:t xml:space="preserve">otra en la que </w:t>
      </w:r>
      <w:r w:rsidR="00994845">
        <w:rPr>
          <w:rFonts w:ascii="ITC Avant Garde" w:hAnsi="ITC Avant Garde"/>
        </w:rPr>
        <w:t xml:space="preserve">se </w:t>
      </w:r>
      <w:r w:rsidR="00994845" w:rsidRPr="00994845">
        <w:rPr>
          <w:rFonts w:ascii="ITC Avant Garde" w:hAnsi="ITC Avant Garde"/>
        </w:rPr>
        <w:t>reitere</w:t>
      </w:r>
      <w:r w:rsidR="00994845">
        <w:rPr>
          <w:rFonts w:ascii="ITC Avant Garde" w:hAnsi="ITC Avant Garde"/>
        </w:rPr>
        <w:t>n</w:t>
      </w:r>
      <w:r w:rsidR="00994845" w:rsidRPr="00994845">
        <w:rPr>
          <w:rFonts w:ascii="ITC Avant Garde" w:hAnsi="ITC Avant Garde"/>
        </w:rPr>
        <w:t xml:space="preserve"> todas las</w:t>
      </w:r>
      <w:r w:rsidR="00994845">
        <w:rPr>
          <w:rFonts w:ascii="ITC Avant Garde" w:hAnsi="ITC Avant Garde"/>
        </w:rPr>
        <w:t xml:space="preserve"> </w:t>
      </w:r>
      <w:r w:rsidR="00994845" w:rsidRPr="00994845">
        <w:rPr>
          <w:rFonts w:ascii="ITC Avant Garde" w:hAnsi="ITC Avant Garde"/>
        </w:rPr>
        <w:t>consideraciones, excepto las relacionadas con la determinación del</w:t>
      </w:r>
      <w:r w:rsidR="00994845">
        <w:rPr>
          <w:rFonts w:ascii="ITC Avant Garde" w:hAnsi="ITC Avant Garde"/>
        </w:rPr>
        <w:t xml:space="preserve"> </w:t>
      </w:r>
      <w:r w:rsidR="00994845" w:rsidRPr="00994845">
        <w:rPr>
          <w:rFonts w:ascii="ITC Avant Garde" w:hAnsi="ITC Avant Garde"/>
        </w:rPr>
        <w:t xml:space="preserve">monto de la sanción, pues sobre esto </w:t>
      </w:r>
      <w:r w:rsidR="00994845">
        <w:rPr>
          <w:rFonts w:ascii="ITC Avant Garde" w:hAnsi="ITC Avant Garde"/>
        </w:rPr>
        <w:t>se debe</w:t>
      </w:r>
      <w:r w:rsidR="00994845" w:rsidRPr="00994845">
        <w:rPr>
          <w:rFonts w:ascii="ITC Avant Garde" w:hAnsi="ITC Avant Garde"/>
        </w:rPr>
        <w:t xml:space="preserve"> ajustar</w:t>
      </w:r>
      <w:r w:rsidR="00994845">
        <w:rPr>
          <w:rFonts w:ascii="ITC Avant Garde" w:hAnsi="ITC Avant Garde"/>
        </w:rPr>
        <w:t xml:space="preserve"> la nueva determinación</w:t>
      </w:r>
      <w:r w:rsidR="00994845" w:rsidRPr="00994845">
        <w:rPr>
          <w:rFonts w:ascii="ITC Avant Garde" w:hAnsi="ITC Avant Garde"/>
        </w:rPr>
        <w:t xml:space="preserve"> a lo indicado amparo en revisión 210/2017 </w:t>
      </w:r>
      <w:r w:rsidR="00994845">
        <w:rPr>
          <w:rFonts w:ascii="ITC Avant Garde" w:hAnsi="ITC Avant Garde"/>
        </w:rPr>
        <w:t>del índice de la Segunda Sala de la Suprema Corte de Justicia de la Nación</w:t>
      </w:r>
      <w:r w:rsidR="00994845" w:rsidRPr="00994845">
        <w:rPr>
          <w:rFonts w:ascii="ITC Avant Garde" w:hAnsi="ITC Avant Garde"/>
        </w:rPr>
        <w:t>, esto es,</w:t>
      </w:r>
      <w:r w:rsidR="00994845">
        <w:rPr>
          <w:rFonts w:ascii="ITC Avant Garde" w:hAnsi="ITC Avant Garde"/>
        </w:rPr>
        <w:t xml:space="preserve"> </w:t>
      </w:r>
      <w:r w:rsidR="00994845" w:rsidRPr="00994845">
        <w:rPr>
          <w:rFonts w:ascii="ITC Avant Garde" w:hAnsi="ITC Avant Garde"/>
        </w:rPr>
        <w:t>“…si en lo sucesivo la autoridad sancionadora (mediante otros</w:t>
      </w:r>
      <w:r w:rsidR="00994845">
        <w:rPr>
          <w:rFonts w:ascii="ITC Avant Garde" w:hAnsi="ITC Avant Garde"/>
        </w:rPr>
        <w:t xml:space="preserve"> </w:t>
      </w:r>
      <w:r w:rsidR="00994845" w:rsidRPr="00994845">
        <w:rPr>
          <w:rFonts w:ascii="ITC Avant Garde" w:hAnsi="ITC Avant Garde"/>
        </w:rPr>
        <w:t>procedimientos) estima que la quejosa incumplió con alguna</w:t>
      </w:r>
      <w:r w:rsidR="00994845">
        <w:rPr>
          <w:rFonts w:ascii="ITC Avant Garde" w:hAnsi="ITC Avant Garde"/>
        </w:rPr>
        <w:t xml:space="preserve"> </w:t>
      </w:r>
      <w:r w:rsidR="00994845" w:rsidRPr="00994845">
        <w:rPr>
          <w:rFonts w:ascii="ITC Avant Garde" w:hAnsi="ITC Avant Garde"/>
        </w:rPr>
        <w:t>obligación sancionable conforme a la fracción IV, del inciso B), del</w:t>
      </w:r>
      <w:r w:rsidR="00994845">
        <w:rPr>
          <w:rFonts w:ascii="ITC Avant Garde" w:hAnsi="ITC Avant Garde"/>
        </w:rPr>
        <w:t xml:space="preserve"> </w:t>
      </w:r>
      <w:r w:rsidR="00994845" w:rsidRPr="00994845">
        <w:rPr>
          <w:rFonts w:ascii="ITC Avant Garde" w:hAnsi="ITC Avant Garde"/>
        </w:rPr>
        <w:t>numeral 298 de la Ley Federal de Telecomunicaciones y</w:t>
      </w:r>
      <w:r w:rsidR="00994845">
        <w:rPr>
          <w:rFonts w:ascii="ITC Avant Garde" w:hAnsi="ITC Avant Garde"/>
        </w:rPr>
        <w:t xml:space="preserve"> </w:t>
      </w:r>
      <w:r w:rsidR="00994845" w:rsidRPr="00994845">
        <w:rPr>
          <w:rFonts w:ascii="ITC Avant Garde" w:hAnsi="ITC Avant Garde"/>
        </w:rPr>
        <w:t>Radiodifusión, al determinar el porcentaje mínimo de sanción</w:t>
      </w:r>
      <w:r w:rsidR="00994845">
        <w:rPr>
          <w:rFonts w:ascii="ITC Avant Garde" w:hAnsi="ITC Avant Garde"/>
        </w:rPr>
        <w:t xml:space="preserve"> </w:t>
      </w:r>
      <w:r w:rsidR="00994845" w:rsidRPr="00994845">
        <w:rPr>
          <w:rFonts w:ascii="ITC Avant Garde" w:hAnsi="ITC Avant Garde"/>
        </w:rPr>
        <w:t>procedente, podrá acudir al porcentaje mínimo previsto en el</w:t>
      </w:r>
      <w:r w:rsidR="00994845">
        <w:rPr>
          <w:rFonts w:ascii="ITC Avant Garde" w:hAnsi="ITC Avant Garde"/>
        </w:rPr>
        <w:t xml:space="preserve"> </w:t>
      </w:r>
      <w:r w:rsidR="00994845" w:rsidRPr="00994845">
        <w:rPr>
          <w:rFonts w:ascii="ITC Avant Garde" w:hAnsi="ITC Avant Garde"/>
        </w:rPr>
        <w:t>inciso A) del artículo 298 de la Ley, es decir, el 0.01% (cero punto</w:t>
      </w:r>
      <w:r w:rsidR="00994845">
        <w:rPr>
          <w:rFonts w:ascii="ITC Avant Garde" w:hAnsi="ITC Avant Garde"/>
        </w:rPr>
        <w:t xml:space="preserve"> </w:t>
      </w:r>
      <w:r w:rsidR="00994845" w:rsidRPr="00994845">
        <w:rPr>
          <w:rFonts w:ascii="ITC Avant Garde" w:hAnsi="ITC Avant Garde"/>
        </w:rPr>
        <w:t>cero uno por ciento) del ingreso del sujeto sancionado</w:t>
      </w:r>
      <w:r w:rsidR="00994845">
        <w:rPr>
          <w:rFonts w:ascii="ITC Avant Garde" w:hAnsi="ITC Avant Garde"/>
        </w:rPr>
        <w:t>”</w:t>
      </w:r>
      <w:r>
        <w:rPr>
          <w:rFonts w:ascii="ITC Avant Garde" w:hAnsi="ITC Avant Garde"/>
        </w:rPr>
        <w:t>.</w:t>
      </w:r>
    </w:p>
    <w:p w14:paraId="74EB21E0" w14:textId="77777777" w:rsidR="00E2222D" w:rsidRDefault="00994845" w:rsidP="00907F25">
      <w:pPr>
        <w:spacing w:after="240" w:line="360" w:lineRule="auto"/>
        <w:jc w:val="both"/>
        <w:rPr>
          <w:rFonts w:ascii="ITC Avant Garde" w:hAnsi="ITC Avant Garde"/>
        </w:rPr>
      </w:pPr>
      <w:r>
        <w:rPr>
          <w:rFonts w:ascii="ITC Avant Garde" w:hAnsi="ITC Avant Garde"/>
        </w:rPr>
        <w:t>En ese sentido, d</w:t>
      </w:r>
      <w:r w:rsidR="00F32E58">
        <w:rPr>
          <w:rFonts w:ascii="ITC Avant Garde" w:hAnsi="ITC Avant Garde"/>
        </w:rPr>
        <w:t>el análisis de los efectos para los que fue concedida la protección de la Justicia de la Unión, se desprenden tres principales premisas a saber:</w:t>
      </w:r>
    </w:p>
    <w:p w14:paraId="50CC2435" w14:textId="612F76BD" w:rsidR="00F32E58" w:rsidRPr="00F9488D" w:rsidRDefault="00F32E58" w:rsidP="00907F25">
      <w:pPr>
        <w:pStyle w:val="Prrafodelista"/>
        <w:numPr>
          <w:ilvl w:val="0"/>
          <w:numId w:val="44"/>
        </w:numPr>
        <w:spacing w:after="240" w:line="360" w:lineRule="auto"/>
        <w:jc w:val="both"/>
        <w:rPr>
          <w:rFonts w:ascii="ITC Avant Garde" w:hAnsi="ITC Avant Garde"/>
        </w:rPr>
      </w:pPr>
      <w:r w:rsidRPr="00F9488D">
        <w:rPr>
          <w:rFonts w:ascii="ITC Avant Garde" w:hAnsi="ITC Avant Garde"/>
        </w:rPr>
        <w:t xml:space="preserve">Dejar </w:t>
      </w:r>
      <w:r>
        <w:rPr>
          <w:rFonts w:ascii="ITC Avant Garde" w:hAnsi="ITC Avant Garde"/>
        </w:rPr>
        <w:t>sin efectos</w:t>
      </w:r>
      <w:r w:rsidRPr="00F9488D">
        <w:rPr>
          <w:rFonts w:ascii="ITC Avant Garde" w:hAnsi="ITC Avant Garde"/>
        </w:rPr>
        <w:t xml:space="preserve"> la resolución de veintitrés de </w:t>
      </w:r>
      <w:r w:rsidR="00994845">
        <w:rPr>
          <w:rFonts w:ascii="ITC Avant Garde" w:hAnsi="ITC Avant Garde"/>
        </w:rPr>
        <w:t>agosto de dos mil dieciséis</w:t>
      </w:r>
      <w:r w:rsidRPr="00F9488D">
        <w:rPr>
          <w:rFonts w:ascii="ITC Avant Garde" w:hAnsi="ITC Avant Garde"/>
        </w:rPr>
        <w:t>.</w:t>
      </w:r>
    </w:p>
    <w:p w14:paraId="4295F100" w14:textId="465A24B3" w:rsidR="00F32E58" w:rsidRPr="00F9488D" w:rsidRDefault="00080518" w:rsidP="00907F25">
      <w:pPr>
        <w:pStyle w:val="Prrafodelista"/>
        <w:numPr>
          <w:ilvl w:val="0"/>
          <w:numId w:val="44"/>
        </w:numPr>
        <w:spacing w:after="240" w:line="360" w:lineRule="auto"/>
        <w:jc w:val="both"/>
        <w:rPr>
          <w:rFonts w:ascii="ITC Avant Garde" w:hAnsi="ITC Avant Garde"/>
        </w:rPr>
      </w:pPr>
      <w:r>
        <w:rPr>
          <w:rFonts w:ascii="ITC Avant Garde" w:hAnsi="ITC Avant Garde"/>
        </w:rPr>
        <w:t>Emitir una nueva en la que se reiteren</w:t>
      </w:r>
      <w:r w:rsidR="00F32E58" w:rsidRPr="00F9488D">
        <w:rPr>
          <w:rFonts w:ascii="ITC Avant Garde" w:hAnsi="ITC Avant Garde"/>
        </w:rPr>
        <w:t xml:space="preserve"> </w:t>
      </w:r>
      <w:r w:rsidR="00994845">
        <w:rPr>
          <w:rFonts w:ascii="ITC Avant Garde" w:hAnsi="ITC Avant Garde"/>
        </w:rPr>
        <w:t xml:space="preserve">todas </w:t>
      </w:r>
      <w:r w:rsidR="00F32E58" w:rsidRPr="00F9488D">
        <w:rPr>
          <w:rFonts w:ascii="ITC Avant Garde" w:hAnsi="ITC Avant Garde"/>
        </w:rPr>
        <w:t xml:space="preserve">las consideraciones </w:t>
      </w:r>
      <w:r>
        <w:rPr>
          <w:rFonts w:ascii="ITC Avant Garde" w:hAnsi="ITC Avant Garde"/>
        </w:rPr>
        <w:t xml:space="preserve">de la anterior </w:t>
      </w:r>
      <w:r w:rsidR="00994845">
        <w:rPr>
          <w:rFonts w:ascii="ITC Avant Garde" w:hAnsi="ITC Avant Garde"/>
        </w:rPr>
        <w:t>excepto las relacionadas con el monto de la sanción</w:t>
      </w:r>
      <w:r w:rsidR="00F32E58" w:rsidRPr="00F9488D">
        <w:rPr>
          <w:rFonts w:ascii="ITC Avant Garde" w:hAnsi="ITC Avant Garde"/>
        </w:rPr>
        <w:t>.</w:t>
      </w:r>
    </w:p>
    <w:p w14:paraId="64715969" w14:textId="77777777" w:rsidR="00E2222D" w:rsidRDefault="00080518" w:rsidP="00907F25">
      <w:pPr>
        <w:pStyle w:val="Prrafodelista"/>
        <w:numPr>
          <w:ilvl w:val="0"/>
          <w:numId w:val="44"/>
        </w:numPr>
        <w:spacing w:after="240" w:line="360" w:lineRule="auto"/>
        <w:jc w:val="both"/>
        <w:rPr>
          <w:rFonts w:ascii="ITC Avant Garde" w:hAnsi="ITC Avant Garde"/>
        </w:rPr>
      </w:pPr>
      <w:r>
        <w:rPr>
          <w:rFonts w:ascii="ITC Avant Garde" w:hAnsi="ITC Avant Garde"/>
        </w:rPr>
        <w:t>En la nueva resolución que se emita, para la determinación del monto se deberá ajustar a lo indicado</w:t>
      </w:r>
      <w:r w:rsidR="00994845">
        <w:rPr>
          <w:rFonts w:ascii="ITC Avant Garde" w:hAnsi="ITC Avant Garde"/>
        </w:rPr>
        <w:t xml:space="preserve"> por la Segunda Sala de la Suprema Corte de Justicia de la Nación al resolver el amparo en revisión 210/2017</w:t>
      </w:r>
      <w:r w:rsidR="00F32E58" w:rsidRPr="00F9488D">
        <w:rPr>
          <w:rFonts w:ascii="ITC Avant Garde" w:hAnsi="ITC Avant Garde"/>
        </w:rPr>
        <w:t>.</w:t>
      </w:r>
    </w:p>
    <w:p w14:paraId="26078FFA" w14:textId="77777777" w:rsidR="00E2222D" w:rsidRDefault="00F32E58" w:rsidP="00907F25">
      <w:pPr>
        <w:pStyle w:val="Textoindependiente"/>
        <w:spacing w:after="240" w:line="360" w:lineRule="auto"/>
        <w:jc w:val="both"/>
        <w:rPr>
          <w:rFonts w:ascii="ITC Avant Garde" w:hAnsi="ITC Avant Garde"/>
        </w:rPr>
      </w:pPr>
      <w:r>
        <w:rPr>
          <w:rFonts w:ascii="ITC Avant Garde" w:hAnsi="ITC Avant Garde"/>
        </w:rPr>
        <w:lastRenderedPageBreak/>
        <w:t xml:space="preserve">Así, tomando en consideración que como fue señalado en el resultando décimo </w:t>
      </w:r>
      <w:r w:rsidR="007B37A1">
        <w:rPr>
          <w:rFonts w:ascii="ITC Avant Garde" w:hAnsi="ITC Avant Garde"/>
        </w:rPr>
        <w:t>sexto</w:t>
      </w:r>
      <w:r>
        <w:rPr>
          <w:rFonts w:ascii="ITC Avant Garde" w:hAnsi="ITC Avant Garde"/>
        </w:rPr>
        <w:t xml:space="preserve"> de la presente resolución, en esta misma fecha se dejó sin efectos la resolución de </w:t>
      </w:r>
      <w:r w:rsidR="007B37A1">
        <w:rPr>
          <w:rFonts w:ascii="ITC Avant Garde" w:hAnsi="ITC Avant Garde"/>
        </w:rPr>
        <w:t>veintitrés de agosto de dos mil dieciséis</w:t>
      </w:r>
      <w:r w:rsidR="00080518">
        <w:rPr>
          <w:rFonts w:ascii="ITC Avant Garde" w:hAnsi="ITC Avant Garde"/>
        </w:rPr>
        <w:t>,</w:t>
      </w:r>
      <w:r>
        <w:rPr>
          <w:rFonts w:ascii="ITC Avant Garde" w:hAnsi="ITC Avant Garde"/>
        </w:rPr>
        <w:t xml:space="preserve"> en estricto cumplimiento a la ejecutoria de amparo, </w:t>
      </w:r>
      <w:r w:rsidR="007B37A1">
        <w:rPr>
          <w:rFonts w:ascii="ITC Avant Garde" w:hAnsi="ITC Avant Garde"/>
        </w:rPr>
        <w:t xml:space="preserve">lo procedente es que </w:t>
      </w:r>
      <w:r>
        <w:rPr>
          <w:rFonts w:ascii="ITC Avant Garde" w:hAnsi="ITC Avant Garde"/>
        </w:rPr>
        <w:t xml:space="preserve">se emita la presente resolución conforme a los lineamientos </w:t>
      </w:r>
      <w:r w:rsidR="007B37A1">
        <w:rPr>
          <w:rFonts w:ascii="ITC Avant Garde" w:hAnsi="ITC Avant Garde"/>
        </w:rPr>
        <w:t xml:space="preserve">establecidos </w:t>
      </w:r>
      <w:r>
        <w:rPr>
          <w:rFonts w:ascii="ITC Avant Garde" w:hAnsi="ITC Avant Garde"/>
        </w:rPr>
        <w:t>de la ejecutoria de mérito.</w:t>
      </w:r>
    </w:p>
    <w:p w14:paraId="15ACFD9F" w14:textId="77777777" w:rsidR="00E2222D" w:rsidRDefault="00F32E58" w:rsidP="00907F25">
      <w:pPr>
        <w:spacing w:after="240" w:line="360" w:lineRule="auto"/>
        <w:jc w:val="both"/>
        <w:rPr>
          <w:rFonts w:ascii="ITC Avant Garde" w:eastAsia="Times New Roman" w:hAnsi="ITC Avant Garde"/>
          <w:b/>
          <w:bCs/>
          <w:color w:val="000000"/>
          <w:lang w:eastAsia="es-MX"/>
        </w:rPr>
      </w:pPr>
      <w:r>
        <w:rPr>
          <w:rFonts w:ascii="ITC Avant Garde" w:hAnsi="ITC Avant Garde"/>
        </w:rPr>
        <w:t xml:space="preserve">En ese sentido, </w:t>
      </w:r>
      <w:r w:rsidR="007B37A1">
        <w:rPr>
          <w:rFonts w:ascii="ITC Avant Garde" w:hAnsi="ITC Avant Garde"/>
        </w:rPr>
        <w:t>se reiteran las consideraciones realizadas en la resolución que fue declarada insubsistente de conformidad con lo siguiente:</w:t>
      </w:r>
    </w:p>
    <w:p w14:paraId="6398D377" w14:textId="53430415" w:rsidR="00E2222D" w:rsidRDefault="007B37A1" w:rsidP="00907F25">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
          <w:bCs/>
          <w:smallCaps/>
          <w:color w:val="000000"/>
          <w:lang w:eastAsia="es-MX"/>
        </w:rPr>
        <w:t xml:space="preserve">SEGUNDO. </w:t>
      </w:r>
      <w:r w:rsidR="006A7614" w:rsidRPr="006A7614">
        <w:rPr>
          <w:rFonts w:ascii="ITC Avant Garde" w:eastAsia="Times New Roman" w:hAnsi="ITC Avant Garde"/>
          <w:b/>
          <w:bCs/>
          <w:smallCaps/>
          <w:color w:val="000000"/>
          <w:lang w:eastAsia="es-MX"/>
        </w:rPr>
        <w:t>Competencia</w:t>
      </w:r>
      <w:r w:rsidR="006A7614" w:rsidRPr="006A7614">
        <w:rPr>
          <w:rFonts w:ascii="ITC Avant Garde" w:eastAsia="Times New Roman" w:hAnsi="ITC Avant Garde"/>
          <w:b/>
          <w:bCs/>
          <w:color w:val="000000"/>
          <w:lang w:eastAsia="es-MX"/>
        </w:rPr>
        <w:t>.</w:t>
      </w:r>
    </w:p>
    <w:p w14:paraId="7B2C9195" w14:textId="77777777" w:rsidR="00E2222D" w:rsidRDefault="008A6D18" w:rsidP="00907F25">
      <w:pPr>
        <w:pStyle w:val="Textoindependiente"/>
        <w:spacing w:after="240" w:line="360" w:lineRule="auto"/>
        <w:ind w:right="-1"/>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 xml:space="preserve">El Pleno del </w:t>
      </w:r>
      <w:r w:rsidRPr="00293B70">
        <w:rPr>
          <w:rFonts w:ascii="ITC Avant Garde" w:eastAsia="Times New Roman" w:hAnsi="ITC Avant Garde"/>
          <w:b/>
          <w:bCs/>
          <w:color w:val="000000"/>
          <w:lang w:eastAsia="es-MX"/>
        </w:rPr>
        <w:t>Instituto</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es competente para conocer y resolver el presente procedimiento administrativo de imposición de sanción con fundamento en los artículos 14,</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segundo párrafo, </w:t>
      </w:r>
      <w:r w:rsidRPr="00D851B0">
        <w:rPr>
          <w:rFonts w:ascii="ITC Avant Garde" w:eastAsia="Times New Roman" w:hAnsi="ITC Avant Garde"/>
          <w:bCs/>
          <w:color w:val="000000"/>
          <w:lang w:eastAsia="es-MX"/>
        </w:rPr>
        <w:t>16,</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primer párrafo y</w:t>
      </w:r>
      <w:r w:rsidRPr="00D851B0">
        <w:rPr>
          <w:rFonts w:ascii="ITC Avant Garde" w:eastAsia="Times New Roman" w:hAnsi="ITC Avant Garde"/>
          <w:bCs/>
          <w:color w:val="000000"/>
          <w:lang w:eastAsia="es-MX"/>
        </w:rPr>
        <w:t xml:space="preserve"> 28</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párrafos, décimo quinto, décimo sexto y vigésimo, fracci</w:t>
      </w:r>
      <w:r>
        <w:rPr>
          <w:rFonts w:ascii="ITC Avant Garde" w:eastAsia="Times New Roman" w:hAnsi="ITC Avant Garde"/>
          <w:bCs/>
          <w:color w:val="000000"/>
          <w:lang w:eastAsia="es-MX"/>
        </w:rPr>
        <w:t>o</w:t>
      </w:r>
      <w:r w:rsidRPr="00D851B0">
        <w:rPr>
          <w:rFonts w:ascii="ITC Avant Garde" w:eastAsia="Times New Roman" w:hAnsi="ITC Avant Garde"/>
          <w:bCs/>
          <w:color w:val="000000"/>
          <w:lang w:eastAsia="es-MX"/>
        </w:rPr>
        <w:t>n</w:t>
      </w:r>
      <w:r>
        <w:rPr>
          <w:rFonts w:ascii="ITC Avant Garde" w:eastAsia="Times New Roman" w:hAnsi="ITC Avant Garde"/>
          <w:bCs/>
          <w:color w:val="000000"/>
          <w:lang w:eastAsia="es-MX"/>
        </w:rPr>
        <w:t>es</w:t>
      </w:r>
      <w:r w:rsidRPr="00D851B0">
        <w:rPr>
          <w:rFonts w:ascii="ITC Avant Garde" w:eastAsia="Times New Roman" w:hAnsi="ITC Avant Garde"/>
          <w:bCs/>
          <w:color w:val="000000"/>
          <w:lang w:eastAsia="es-MX"/>
        </w:rPr>
        <w:t xml:space="preserve"> I </w:t>
      </w:r>
      <w:r>
        <w:rPr>
          <w:rFonts w:ascii="ITC Avant Garde" w:eastAsia="Times New Roman" w:hAnsi="ITC Avant Garde"/>
          <w:bCs/>
          <w:color w:val="000000"/>
          <w:lang w:eastAsia="es-MX"/>
        </w:rPr>
        <w:t xml:space="preserve">y VII </w:t>
      </w:r>
      <w:r w:rsidRPr="00D851B0">
        <w:rPr>
          <w:rFonts w:ascii="ITC Avant Garde" w:eastAsia="Times New Roman" w:hAnsi="ITC Avant Garde"/>
          <w:bCs/>
          <w:color w:val="000000"/>
          <w:lang w:eastAsia="es-MX"/>
        </w:rPr>
        <w:t xml:space="preserve">de la </w:t>
      </w:r>
      <w:r>
        <w:rPr>
          <w:rFonts w:ascii="ITC Avant Garde" w:eastAsia="Times New Roman" w:hAnsi="ITC Avant Garde"/>
          <w:b/>
          <w:bCs/>
          <w:color w:val="000000"/>
          <w:lang w:eastAsia="es-MX"/>
        </w:rPr>
        <w:t>CPEUM</w:t>
      </w:r>
      <w:r w:rsidRPr="00D851B0">
        <w:rPr>
          <w:rFonts w:ascii="ITC Avant Garde" w:eastAsia="Times New Roman" w:hAnsi="ITC Avant Garde"/>
          <w:b/>
          <w:bCs/>
          <w:color w:val="000000"/>
          <w:lang w:eastAsia="es-MX"/>
        </w:rPr>
        <w:t xml:space="preserve">; </w:t>
      </w:r>
      <w:r w:rsidRPr="00D851B0">
        <w:rPr>
          <w:rFonts w:ascii="ITC Avant Garde" w:eastAsia="Times New Roman" w:hAnsi="ITC Avant Garde"/>
          <w:bCs/>
          <w:color w:val="000000"/>
          <w:lang w:eastAsia="es-MX"/>
        </w:rPr>
        <w:t>1, 2, 6, fracciones II, IV y VII, 7, 15 fracción XXX, 17, penúltimo y último párrafos</w:t>
      </w:r>
      <w:r w:rsidRPr="00717503">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297</w:t>
      </w:r>
      <w:r>
        <w:rPr>
          <w:rFonts w:ascii="ITC Avant Garde" w:eastAsia="Times New Roman" w:hAnsi="ITC Avant Garde"/>
          <w:bCs/>
          <w:color w:val="000000"/>
          <w:lang w:eastAsia="es-MX"/>
        </w:rPr>
        <w:t>,</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primer párrafo, </w:t>
      </w:r>
      <w:r w:rsidR="005B7D48">
        <w:rPr>
          <w:rFonts w:ascii="ITC Avant Garde" w:eastAsia="Times New Roman" w:hAnsi="ITC Avant Garde"/>
          <w:bCs/>
          <w:color w:val="000000"/>
          <w:lang w:eastAsia="es-MX"/>
        </w:rPr>
        <w:t xml:space="preserve">y </w:t>
      </w:r>
      <w:r>
        <w:rPr>
          <w:rFonts w:ascii="ITC Avant Garde" w:eastAsia="Times New Roman" w:hAnsi="ITC Avant Garde"/>
          <w:bCs/>
          <w:color w:val="000000"/>
          <w:lang w:eastAsia="es-MX"/>
        </w:rPr>
        <w:t xml:space="preserve">298, inciso </w:t>
      </w:r>
      <w:r w:rsidR="00055889">
        <w:rPr>
          <w:rFonts w:ascii="ITC Avant Garde" w:eastAsia="Times New Roman" w:hAnsi="ITC Avant Garde"/>
          <w:bCs/>
          <w:color w:val="000000"/>
          <w:lang w:eastAsia="es-MX"/>
        </w:rPr>
        <w:t>B</w:t>
      </w:r>
      <w:r>
        <w:rPr>
          <w:rFonts w:ascii="ITC Avant Garde" w:eastAsia="Times New Roman" w:hAnsi="ITC Avant Garde"/>
          <w:bCs/>
          <w:color w:val="000000"/>
          <w:lang w:eastAsia="es-MX"/>
        </w:rPr>
        <w:t>), fracción I</w:t>
      </w:r>
      <w:r w:rsidR="00055889">
        <w:rPr>
          <w:rFonts w:ascii="ITC Avant Garde" w:eastAsia="Times New Roman" w:hAnsi="ITC Avant Garde"/>
          <w:bCs/>
          <w:color w:val="000000"/>
          <w:lang w:eastAsia="es-MX"/>
        </w:rPr>
        <w:t xml:space="preserve">V, </w:t>
      </w:r>
      <w:r w:rsidRPr="00D851B0">
        <w:rPr>
          <w:rFonts w:ascii="ITC Avant Garde" w:eastAsia="Times New Roman" w:hAnsi="ITC Avant Garde"/>
          <w:bCs/>
          <w:color w:val="000000"/>
          <w:lang w:eastAsia="es-MX"/>
        </w:rPr>
        <w:t>de la</w:t>
      </w:r>
      <w:r>
        <w:rPr>
          <w:rFonts w:ascii="ITC Avant Garde" w:eastAsia="Times New Roman" w:hAnsi="ITC Avant Garde"/>
          <w:bCs/>
          <w:color w:val="000000"/>
          <w:lang w:eastAsia="es-MX"/>
        </w:rPr>
        <w:t xml:space="preserve"> </w:t>
      </w:r>
      <w:r w:rsidRPr="00D851B0">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2, 3, 8, 9, 12, 13, </w:t>
      </w:r>
      <w:r>
        <w:rPr>
          <w:rFonts w:ascii="ITC Avant Garde" w:eastAsia="Times New Roman" w:hAnsi="ITC Avant Garde"/>
          <w:bCs/>
          <w:color w:val="000000"/>
          <w:lang w:eastAsia="es-MX"/>
        </w:rPr>
        <w:t xml:space="preserve">14, </w:t>
      </w:r>
      <w:r w:rsidRPr="00D851B0">
        <w:rPr>
          <w:rFonts w:ascii="ITC Avant Garde" w:eastAsia="Times New Roman" w:hAnsi="ITC Avant Garde"/>
          <w:bCs/>
          <w:color w:val="000000"/>
          <w:lang w:eastAsia="es-MX"/>
        </w:rPr>
        <w:t xml:space="preserve">16, 18, 28, 49, 50, 51, 59, 70, fracciones II y VI, 72, 73, 74 y 75 de la </w:t>
      </w:r>
      <w:r w:rsidRPr="00D851B0">
        <w:rPr>
          <w:rFonts w:ascii="ITC Avant Garde" w:eastAsia="Times New Roman" w:hAnsi="ITC Avant Garde"/>
          <w:b/>
          <w:bCs/>
          <w:color w:val="000000"/>
          <w:lang w:eastAsia="es-MX"/>
        </w:rPr>
        <w:t>LFPA;</w:t>
      </w:r>
      <w:r w:rsidRPr="00D851B0">
        <w:rPr>
          <w:rFonts w:ascii="ITC Avant Garde" w:eastAsia="Times New Roman" w:hAnsi="ITC Avant Garde"/>
          <w:bCs/>
          <w:color w:val="000000"/>
          <w:lang w:eastAsia="es-MX"/>
        </w:rPr>
        <w:t xml:space="preserve"> y 1, 4, fracción I y 6, fracción XVII</w:t>
      </w:r>
      <w:r w:rsidR="005B7D48">
        <w:rPr>
          <w:rFonts w:ascii="ITC Avant Garde" w:eastAsia="Times New Roman" w:hAnsi="ITC Avant Garde"/>
          <w:bCs/>
          <w:color w:val="000000"/>
          <w:lang w:eastAsia="es-MX"/>
        </w:rPr>
        <w:t xml:space="preserve">, en relación con el 44, fracción II, </w:t>
      </w:r>
      <w:r w:rsidRPr="00D851B0">
        <w:rPr>
          <w:rFonts w:ascii="ITC Avant Garde" w:eastAsia="Times New Roman" w:hAnsi="ITC Avant Garde"/>
          <w:bCs/>
          <w:color w:val="000000"/>
          <w:lang w:eastAsia="es-MX"/>
        </w:rPr>
        <w:t>del Estatuto Orgánico del Instituto Federal de Telecomunicaciones</w:t>
      </w:r>
      <w:r>
        <w:rPr>
          <w:rFonts w:ascii="ITC Avant Garde" w:eastAsia="Times New Roman" w:hAnsi="ITC Avant Garde"/>
          <w:bCs/>
          <w:color w:val="000000"/>
          <w:lang w:eastAsia="es-MX"/>
        </w:rPr>
        <w:t xml:space="preserve"> </w:t>
      </w:r>
      <w:r w:rsidRPr="001105FF">
        <w:rPr>
          <w:rFonts w:ascii="ITC Avant Garde" w:eastAsia="Times New Roman" w:hAnsi="ITC Avant Garde"/>
          <w:b/>
          <w:bCs/>
          <w:color w:val="000000"/>
          <w:lang w:eastAsia="es-MX"/>
        </w:rPr>
        <w:t>(“ESTATUTO”).</w:t>
      </w:r>
    </w:p>
    <w:p w14:paraId="7F278601" w14:textId="77777777" w:rsidR="00E2222D" w:rsidRDefault="007B37A1" w:rsidP="00907F25">
      <w:pPr>
        <w:spacing w:after="240" w:line="360" w:lineRule="auto"/>
        <w:jc w:val="both"/>
        <w:rPr>
          <w:rFonts w:ascii="ITC Avant Garde" w:eastAsia="Times New Roman" w:hAnsi="ITC Avant Garde"/>
          <w:b/>
          <w:bCs/>
          <w:smallCaps/>
          <w:color w:val="000000"/>
          <w:lang w:eastAsia="es-MX"/>
        </w:rPr>
      </w:pPr>
      <w:r>
        <w:rPr>
          <w:rFonts w:ascii="ITC Avant Garde" w:eastAsia="Times New Roman" w:hAnsi="ITC Avant Garde"/>
          <w:b/>
          <w:bCs/>
          <w:color w:val="000000"/>
          <w:lang w:eastAsia="es-MX"/>
        </w:rPr>
        <w:t>TERCERO</w:t>
      </w:r>
      <w:r w:rsidR="006A7614" w:rsidRPr="006A7614">
        <w:rPr>
          <w:rFonts w:ascii="ITC Avant Garde" w:eastAsia="Times New Roman" w:hAnsi="ITC Avant Garde"/>
          <w:b/>
          <w:bCs/>
          <w:color w:val="000000"/>
          <w:lang w:eastAsia="es-MX"/>
        </w:rPr>
        <w:t xml:space="preserve">. </w:t>
      </w:r>
      <w:r w:rsidR="006A7614" w:rsidRPr="006A7614">
        <w:rPr>
          <w:rFonts w:ascii="ITC Avant Garde" w:eastAsia="Times New Roman" w:hAnsi="ITC Avant Garde"/>
          <w:b/>
          <w:bCs/>
          <w:smallCaps/>
          <w:color w:val="000000"/>
          <w:lang w:eastAsia="es-MX"/>
        </w:rPr>
        <w:t>Consideración previa</w:t>
      </w:r>
    </w:p>
    <w:p w14:paraId="61020ABB" w14:textId="77777777"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t>El artículo 6°</w:t>
      </w:r>
      <w:r w:rsidR="00CC264A">
        <w:rPr>
          <w:rFonts w:ascii="ITC Avant Garde" w:eastAsia="Times New Roman" w:hAnsi="ITC Avant Garde"/>
          <w:bCs/>
          <w:color w:val="000000"/>
          <w:lang w:eastAsia="es-MX"/>
        </w:rPr>
        <w:t>,</w:t>
      </w:r>
      <w:r w:rsidRPr="006A7614">
        <w:rPr>
          <w:rFonts w:ascii="ITC Avant Garde" w:eastAsia="Times New Roman" w:hAnsi="ITC Avant Garde"/>
          <w:bCs/>
          <w:color w:val="000000"/>
          <w:lang w:eastAsia="es-MX"/>
        </w:rPr>
        <w:t xml:space="preserve"> apartado B</w:t>
      </w:r>
      <w:r w:rsidR="00CC264A">
        <w:rPr>
          <w:rFonts w:ascii="ITC Avant Garde" w:eastAsia="Times New Roman" w:hAnsi="ITC Avant Garde"/>
          <w:bCs/>
          <w:color w:val="000000"/>
          <w:lang w:eastAsia="es-MX"/>
        </w:rPr>
        <w:t>,</w:t>
      </w:r>
      <w:r w:rsidRPr="006A7614">
        <w:rPr>
          <w:rFonts w:ascii="ITC Avant Garde" w:eastAsia="Times New Roman" w:hAnsi="ITC Avant Garde"/>
          <w:bCs/>
          <w:color w:val="000000"/>
          <w:lang w:eastAsia="es-MX"/>
        </w:rPr>
        <w:t xml:space="preserve"> fracción II de la </w:t>
      </w:r>
      <w:r w:rsidR="001105FF">
        <w:rPr>
          <w:rFonts w:ascii="ITC Avant Garde" w:eastAsia="Times New Roman" w:hAnsi="ITC Avant Garde"/>
          <w:b/>
          <w:bCs/>
          <w:color w:val="000000"/>
          <w:lang w:eastAsia="es-MX"/>
        </w:rPr>
        <w:t>CPEUM</w:t>
      </w:r>
      <w:r w:rsidR="00442056">
        <w:rPr>
          <w:rFonts w:ascii="ITC Avant Garde" w:eastAsia="Times New Roman" w:hAnsi="ITC Avant Garde"/>
          <w:b/>
          <w:bCs/>
          <w:color w:val="000000"/>
          <w:lang w:eastAsia="es-MX"/>
        </w:rPr>
        <w:t xml:space="preserve"> </w:t>
      </w:r>
      <w:r w:rsidRPr="006A7614">
        <w:rPr>
          <w:rFonts w:ascii="ITC Avant Garde" w:eastAsia="Times New Roman" w:hAnsi="ITC Avant Garde"/>
          <w:bCs/>
          <w:color w:val="000000"/>
          <w:lang w:eastAsia="es-MX"/>
        </w:rPr>
        <w:t>establece que las telecomunicaciones son servicios públicos de interés general, por lo que el Estado garantizará que los mismos sean prestados en condiciones de competencia, calidad, pluralidad, cobertura universal, interconexión, convergencia, continuidad, acceso libre y sin injerencias arbitrarias.</w:t>
      </w:r>
    </w:p>
    <w:p w14:paraId="2EA5DD3F" w14:textId="77777777"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t xml:space="preserve">Por su parte, el artículo 28 Constitucional dispone que el </w:t>
      </w:r>
      <w:r w:rsidRPr="006A7614">
        <w:rPr>
          <w:rFonts w:ascii="ITC Avant Garde" w:eastAsia="Times New Roman" w:hAnsi="ITC Avant Garde"/>
          <w:b/>
          <w:bCs/>
          <w:color w:val="000000"/>
          <w:lang w:eastAsia="es-MX"/>
        </w:rPr>
        <w:t>IFT</w:t>
      </w:r>
      <w:r w:rsidRPr="006A7614">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telecomunicaciones, para lo cual tendrá a su cargo la regulación, promoción y supervisión del uso, aprovechamiento y explotación del </w:t>
      </w:r>
      <w:r w:rsidRPr="006A7614">
        <w:rPr>
          <w:rFonts w:ascii="ITC Avant Garde" w:eastAsia="Times New Roman" w:hAnsi="ITC Avant Garde"/>
          <w:bCs/>
          <w:color w:val="000000"/>
          <w:lang w:eastAsia="es-MX"/>
        </w:rPr>
        <w:lastRenderedPageBreak/>
        <w:t>espectro radioeléctrico, las redes y la prestación de servicios de radiodifusión y telecomunicaciones.</w:t>
      </w:r>
    </w:p>
    <w:p w14:paraId="3659927F" w14:textId="77777777"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t xml:space="preserve">Consecuente con lo anterior, el </w:t>
      </w:r>
      <w:r w:rsidRPr="00B07D65">
        <w:rPr>
          <w:rFonts w:ascii="ITC Avant Garde" w:eastAsia="Times New Roman" w:hAnsi="ITC Avant Garde"/>
          <w:b/>
          <w:bCs/>
          <w:color w:val="000000"/>
          <w:lang w:eastAsia="es-MX"/>
        </w:rPr>
        <w:t>Instituto</w:t>
      </w:r>
      <w:r w:rsidRPr="006A7614">
        <w:rPr>
          <w:rFonts w:ascii="ITC Avant Garde" w:eastAsia="Times New Roman" w:hAnsi="ITC Avant Garde"/>
          <w:bCs/>
          <w:color w:val="000000"/>
          <w:lang w:eastAsia="es-MX"/>
        </w:rPr>
        <w:t xml:space="preserve"> es el encargado de vigilar la debida observancia a lo dispuesto en las concesiones, permisos y autorizaciones que se otorguen para prestar los servicios de </w:t>
      </w:r>
      <w:r w:rsidR="007B37A1" w:rsidRPr="006A7614">
        <w:rPr>
          <w:rFonts w:ascii="ITC Avant Garde" w:eastAsia="Times New Roman" w:hAnsi="ITC Avant Garde"/>
          <w:bCs/>
          <w:color w:val="000000"/>
          <w:lang w:eastAsia="es-MX"/>
        </w:rPr>
        <w:t>telecomunicaciones,</w:t>
      </w:r>
      <w:r w:rsidRPr="006A7614">
        <w:rPr>
          <w:rFonts w:ascii="ITC Avant Garde" w:eastAsia="Times New Roman" w:hAnsi="ITC Avant Garde"/>
          <w:bCs/>
          <w:color w:val="000000"/>
          <w:lang w:eastAsia="es-MX"/>
        </w:rPr>
        <w:t xml:space="preserve"> </w:t>
      </w:r>
      <w:r w:rsidR="005B7D48">
        <w:rPr>
          <w:rFonts w:ascii="ITC Avant Garde" w:eastAsia="Times New Roman" w:hAnsi="ITC Avant Garde"/>
          <w:bCs/>
          <w:color w:val="000000"/>
          <w:lang w:eastAsia="es-MX"/>
        </w:rPr>
        <w:t xml:space="preserve">así como a que se cumpla con la normatividad en la materia, </w:t>
      </w:r>
      <w:r w:rsidRPr="006A7614">
        <w:rPr>
          <w:rFonts w:ascii="ITC Avant Garde" w:eastAsia="Times New Roman" w:hAnsi="ITC Avant Garde"/>
          <w:bCs/>
          <w:color w:val="000000"/>
          <w:lang w:eastAsia="es-MX"/>
        </w:rPr>
        <w:t xml:space="preserve">a fin de asegurar que la prestación de dichos servicios se realice de conformidad con las disposiciones jurídicas aplicables. </w:t>
      </w:r>
    </w:p>
    <w:p w14:paraId="6B1CD512" w14:textId="77777777"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t xml:space="preserve">Bajo estas consideraciones, el ejercicio de las facultades de supervisión y verificación por parte del </w:t>
      </w:r>
      <w:r w:rsidRPr="00B07D65">
        <w:rPr>
          <w:rFonts w:ascii="ITC Avant Garde" w:eastAsia="Times New Roman" w:hAnsi="ITC Avant Garde"/>
          <w:b/>
          <w:bCs/>
          <w:color w:val="000000"/>
          <w:lang w:eastAsia="es-MX"/>
        </w:rPr>
        <w:t>Instituto</w:t>
      </w:r>
      <w:r w:rsidRPr="006A7614">
        <w:rPr>
          <w:rFonts w:ascii="ITC Avant Garde" w:eastAsia="Times New Roman" w:hAnsi="ITC Avant Garde"/>
          <w:bCs/>
          <w:color w:val="000000"/>
          <w:lang w:eastAsia="es-MX"/>
        </w:rPr>
        <w:t>, traen aparejada la relativa a imponer sanciones por el incumplimiento a la normatividad en la materia o bien a lo dispuesto en los títulos de concesión o permisos respectivos, cuyo objetivo es corregir e inhibir las conductas que se consideren contrarias al sano desarrollo de los sectores de telecomunicaciones y radiodifusión.</w:t>
      </w:r>
    </w:p>
    <w:p w14:paraId="2A8D1B2F" w14:textId="77777777"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t xml:space="preserve">En tal sentido, la Unidad de Cumplimiento del propio </w:t>
      </w:r>
      <w:r w:rsidR="00442056" w:rsidRPr="00B14C4F">
        <w:rPr>
          <w:rFonts w:ascii="ITC Avant Garde" w:eastAsia="Times New Roman" w:hAnsi="ITC Avant Garde"/>
          <w:b/>
          <w:bCs/>
          <w:color w:val="000000"/>
          <w:lang w:eastAsia="es-MX"/>
        </w:rPr>
        <w:t>Instituto</w:t>
      </w:r>
      <w:r w:rsidR="00442056" w:rsidRPr="006A7614">
        <w:rPr>
          <w:rFonts w:ascii="ITC Avant Garde" w:eastAsia="Times New Roman" w:hAnsi="ITC Avant Garde"/>
          <w:bCs/>
          <w:color w:val="000000"/>
          <w:lang w:eastAsia="es-MX"/>
        </w:rPr>
        <w:t>,</w:t>
      </w:r>
      <w:r w:rsidR="006A2F01" w:rsidRPr="006A2F01">
        <w:rPr>
          <w:rFonts w:ascii="ITC Avant Garde" w:eastAsia="Times New Roman" w:hAnsi="ITC Avant Garde"/>
          <w:bCs/>
          <w:color w:val="000000"/>
          <w:lang w:eastAsia="es-MX"/>
        </w:rPr>
        <w:t xml:space="preserve"> </w:t>
      </w:r>
      <w:r w:rsidR="006A2F01" w:rsidRPr="0065481B">
        <w:rPr>
          <w:rFonts w:ascii="ITC Avant Garde" w:eastAsia="Times New Roman" w:hAnsi="ITC Avant Garde"/>
          <w:bCs/>
          <w:color w:val="000000"/>
          <w:lang w:eastAsia="es-MX"/>
        </w:rPr>
        <w:t xml:space="preserve">en ejercicio de las facultades conferidas en el artículo 41, en relación con el 44 fracción I </w:t>
      </w:r>
      <w:r w:rsidR="00127246" w:rsidRPr="0065481B">
        <w:rPr>
          <w:rFonts w:ascii="ITC Avant Garde" w:eastAsia="Times New Roman" w:hAnsi="ITC Avant Garde"/>
          <w:bCs/>
          <w:color w:val="000000"/>
          <w:lang w:eastAsia="es-MX"/>
        </w:rPr>
        <w:t xml:space="preserve">del </w:t>
      </w:r>
      <w:r w:rsidR="00127246" w:rsidRPr="0065481B">
        <w:rPr>
          <w:rFonts w:ascii="ITC Avant Garde" w:eastAsia="Times New Roman" w:hAnsi="ITC Avant Garde"/>
          <w:b/>
          <w:bCs/>
          <w:color w:val="000000"/>
          <w:lang w:eastAsia="es-MX"/>
        </w:rPr>
        <w:t>ESTATUTO</w:t>
      </w:r>
      <w:r w:rsidR="00127246" w:rsidRPr="0065481B">
        <w:rPr>
          <w:rFonts w:ascii="ITC Avant Garde" w:eastAsia="Times New Roman" w:hAnsi="ITC Avant Garde"/>
          <w:bCs/>
          <w:color w:val="000000"/>
          <w:lang w:eastAsia="es-MX"/>
        </w:rPr>
        <w:t>,</w:t>
      </w:r>
      <w:r w:rsidR="00127246" w:rsidRPr="006A7614">
        <w:rPr>
          <w:rFonts w:ascii="ITC Avant Garde" w:eastAsia="Times New Roman" w:hAnsi="ITC Avant Garde"/>
          <w:bCs/>
          <w:color w:val="000000"/>
          <w:lang w:eastAsia="es-MX"/>
        </w:rPr>
        <w:t xml:space="preserve"> llevó a cabo la sustanciación del procedimiento administrativo de imposición de sanción en contra de</w:t>
      </w:r>
      <w:r w:rsidR="00127246" w:rsidRPr="006A7614">
        <w:rPr>
          <w:rFonts w:ascii="ITC Avant Garde" w:eastAsia="Times New Roman" w:hAnsi="ITC Avant Garde"/>
          <w:b/>
          <w:bCs/>
          <w:color w:val="000000"/>
          <w:lang w:eastAsia="es-MX"/>
        </w:rPr>
        <w:t xml:space="preserve"> </w:t>
      </w:r>
      <w:r w:rsidR="00127246">
        <w:rPr>
          <w:rFonts w:ascii="ITC Avant Garde" w:eastAsia="Times New Roman" w:hAnsi="ITC Avant Garde"/>
          <w:b/>
          <w:bCs/>
          <w:color w:val="000000"/>
          <w:lang w:eastAsia="es-MX"/>
        </w:rPr>
        <w:t>MEGA CABLE</w:t>
      </w:r>
      <w:r w:rsidR="00127246" w:rsidRPr="006A7614">
        <w:rPr>
          <w:rFonts w:ascii="ITC Avant Garde" w:eastAsia="Times New Roman" w:hAnsi="ITC Avant Garde"/>
          <w:b/>
          <w:bCs/>
          <w:color w:val="000000"/>
          <w:lang w:eastAsia="es-MX"/>
        </w:rPr>
        <w:t xml:space="preserve">, </w:t>
      </w:r>
      <w:r w:rsidRPr="006A7614">
        <w:rPr>
          <w:rFonts w:ascii="ITC Avant Garde" w:eastAsia="Times New Roman" w:hAnsi="ITC Avant Garde"/>
          <w:bCs/>
          <w:color w:val="000000"/>
          <w:lang w:eastAsia="es-MX"/>
        </w:rPr>
        <w:t xml:space="preserve">al considerar que incumplió lo dispuesto </w:t>
      </w:r>
      <w:r w:rsidR="003466C7" w:rsidRPr="00B215CD">
        <w:rPr>
          <w:rFonts w:ascii="ITC Avant Garde" w:hAnsi="ITC Avant Garde"/>
          <w:color w:val="000000"/>
        </w:rPr>
        <w:t xml:space="preserve">en el </w:t>
      </w:r>
      <w:r w:rsidR="001105FF">
        <w:rPr>
          <w:rFonts w:ascii="ITC Avant Garde" w:hAnsi="ITC Avant Garde"/>
          <w:b/>
        </w:rPr>
        <w:t>Artículo 12</w:t>
      </w:r>
      <w:r w:rsidR="001105FF">
        <w:rPr>
          <w:rFonts w:ascii="ITC Avant Garde" w:hAnsi="ITC Avant Garde"/>
        </w:rPr>
        <w:t xml:space="preserve"> de los </w:t>
      </w:r>
      <w:r w:rsidR="001105FF">
        <w:rPr>
          <w:rFonts w:ascii="ITC Avant Garde" w:hAnsi="ITC Avant Garde"/>
          <w:b/>
        </w:rPr>
        <w:t xml:space="preserve">LINEAMIENTOS, </w:t>
      </w:r>
      <w:r w:rsidR="001105FF">
        <w:rPr>
          <w:rFonts w:ascii="ITC Avant Garde" w:hAnsi="ITC Avant Garde"/>
        </w:rPr>
        <w:t xml:space="preserve">sus respectivas modificaciones contenidas en el </w:t>
      </w:r>
      <w:r w:rsidR="001105FF">
        <w:rPr>
          <w:rFonts w:ascii="ITC Avant Garde" w:hAnsi="ITC Avant Garde"/>
          <w:b/>
        </w:rPr>
        <w:t xml:space="preserve">ACUERDO MODIFICATORIO; </w:t>
      </w:r>
      <w:r w:rsidR="001105FF">
        <w:rPr>
          <w:rFonts w:ascii="ITC Avant Garde" w:hAnsi="ITC Avant Garde"/>
        </w:rPr>
        <w:t xml:space="preserve">el </w:t>
      </w:r>
      <w:r w:rsidR="001105FF">
        <w:rPr>
          <w:rFonts w:ascii="ITC Avant Garde" w:hAnsi="ITC Avant Garde"/>
          <w:b/>
        </w:rPr>
        <w:t xml:space="preserve">LISTADO </w:t>
      </w:r>
      <w:r w:rsidR="001105FF">
        <w:rPr>
          <w:rFonts w:ascii="ITC Avant Garde" w:hAnsi="ITC Avant Garde"/>
        </w:rPr>
        <w:t xml:space="preserve">y sus correspondientes </w:t>
      </w:r>
      <w:r w:rsidR="001105FF">
        <w:rPr>
          <w:rFonts w:ascii="ITC Avant Garde" w:hAnsi="ITC Avant Garde"/>
          <w:b/>
        </w:rPr>
        <w:t>ACTUALIZACIONES,</w:t>
      </w:r>
      <w:r w:rsidR="005B7D48">
        <w:rPr>
          <w:rFonts w:ascii="ITC Avant Garde" w:hAnsi="ITC Avant Garde"/>
        </w:rPr>
        <w:t xml:space="preserve"> toda vez que al momento de la visita de verificación respectiva se detectó que no estaba retransmitiendo el canal multiprogramado 11.2 del Instituto Politécnico Nacional identificado como Once Niños.</w:t>
      </w:r>
    </w:p>
    <w:p w14:paraId="332D9246" w14:textId="12B0FAAB"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t xml:space="preserve">Ahora bien, para determinar la procedencia en la imposición de una sanción, la </w:t>
      </w:r>
      <w:r w:rsidR="00250345">
        <w:rPr>
          <w:rFonts w:ascii="ITC Avant Garde" w:eastAsia="Times New Roman" w:hAnsi="ITC Avant Garde"/>
          <w:b/>
          <w:bCs/>
          <w:color w:val="000000"/>
          <w:lang w:eastAsia="es-MX"/>
        </w:rPr>
        <w:t>LFTR</w:t>
      </w:r>
      <w:r w:rsidRPr="006A7614">
        <w:rPr>
          <w:rFonts w:ascii="ITC Avant Garde" w:eastAsia="Times New Roman" w:hAnsi="ITC Avant Garde"/>
          <w:bCs/>
          <w:color w:val="000000"/>
          <w:lang w:eastAsia="es-MX"/>
        </w:rPr>
        <w:t xml:space="preserve"> aplicable en el caso en concreto, no sólo establece obligaciones para los concesionarios y permisionarios, sino también señala supuestos de incumplimiento específicos y las consecuencias jurídicas a las que se harán acreedores en caso de infringir la normatividad en la materia.</w:t>
      </w:r>
    </w:p>
    <w:p w14:paraId="2B60C1FD" w14:textId="77777777"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lastRenderedPageBreak/>
        <w:t>Es decir, al pretender imponer una sanción, esta autoridad debe analizar minuciosamente la conducta que se le imputa al presunto infractor y determinar si la misma es susceptible de ser sancionada en términos del precepto legal o normativo que se considera violado.</w:t>
      </w:r>
    </w:p>
    <w:p w14:paraId="0148FFB4" w14:textId="77777777"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t xml:space="preserve">En este orden de ideas, la </w:t>
      </w:r>
      <w:r w:rsidR="001105FF">
        <w:rPr>
          <w:rFonts w:ascii="ITC Avant Garde" w:eastAsia="Times New Roman" w:hAnsi="ITC Avant Garde"/>
          <w:b/>
          <w:bCs/>
          <w:color w:val="000000"/>
          <w:lang w:eastAsia="es-MX"/>
        </w:rPr>
        <w:t>SCJN</w:t>
      </w:r>
      <w:r w:rsidRPr="006A7614">
        <w:rPr>
          <w:rFonts w:ascii="ITC Avant Garde" w:eastAsia="Times New Roman" w:hAnsi="ITC Avant Garde"/>
          <w:bCs/>
          <w:color w:val="000000"/>
          <w:lang w:eastAsia="es-MX"/>
        </w:rPr>
        <w:t xml:space="preserve"> ha sostenido que el desarrollo jurisprudencial de los principios del derecho penal en el campo administrativo sancionador irá formando los principios propios para este campo del </w:t>
      </w:r>
      <w:r w:rsidRPr="006A7614">
        <w:rPr>
          <w:rFonts w:ascii="ITC Avant Garde" w:eastAsia="Times New Roman" w:hAnsi="ITC Avant Garde"/>
          <w:bCs/>
          <w:i/>
          <w:color w:val="000000"/>
          <w:lang w:eastAsia="es-MX"/>
        </w:rPr>
        <w:t>ius puniendi</w:t>
      </w:r>
      <w:r w:rsidRPr="006A7614">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14:paraId="02E99261" w14:textId="77777777"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t xml:space="preserve">Lo anterior considerando que el derecho administrativo sancionador y el derecho penal son manifestaciones de la potestad punitiva del Estado y dada la unidad de éstos, en la interpretación constitucional de los principios del derecho administrativo sancionador debe </w:t>
      </w:r>
      <w:r w:rsidR="00247945">
        <w:rPr>
          <w:rFonts w:ascii="ITC Avant Garde" w:eastAsia="Times New Roman" w:hAnsi="ITC Avant Garde"/>
          <w:bCs/>
          <w:color w:val="000000"/>
          <w:lang w:eastAsia="es-MX"/>
        </w:rPr>
        <w:t>acudirse</w:t>
      </w:r>
      <w:r w:rsidRPr="006A7614">
        <w:rPr>
          <w:rFonts w:ascii="ITC Avant Garde" w:eastAsia="Times New Roman" w:hAnsi="ITC Avant Garde"/>
          <w:bCs/>
          <w:color w:val="000000"/>
          <w:lang w:eastAsia="es-MX"/>
        </w:rPr>
        <w:t xml:space="preserve"> al 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14:paraId="260618F6" w14:textId="77777777" w:rsidR="00E2222D" w:rsidRDefault="00247945" w:rsidP="00907F25">
      <w:pPr>
        <w:tabs>
          <w:tab w:val="left" w:pos="9356"/>
        </w:tabs>
        <w:spacing w:after="240" w:line="360" w:lineRule="auto"/>
        <w:jc w:val="both"/>
        <w:rPr>
          <w:rFonts w:ascii="ITC Avant Garde" w:hAnsi="ITC Avant Garde"/>
          <w:i/>
          <w:color w:val="000000"/>
        </w:rPr>
      </w:pPr>
      <w:r>
        <w:rPr>
          <w:rFonts w:ascii="ITC Avant Garde" w:eastAsia="Times New Roman" w:hAnsi="ITC Avant Garde"/>
          <w:bCs/>
          <w:color w:val="000000"/>
          <w:lang w:eastAsia="es-MX"/>
        </w:rPr>
        <w:t>En tal sentido</w:t>
      </w:r>
      <w:r w:rsidR="00A15A87">
        <w:rPr>
          <w:rFonts w:ascii="ITC Avant Garde" w:eastAsia="Times New Roman" w:hAnsi="ITC Avant Garde"/>
          <w:bCs/>
          <w:color w:val="000000"/>
          <w:lang w:eastAsia="es-MX"/>
        </w:rPr>
        <w:t xml:space="preserve">, </w:t>
      </w:r>
      <w:r w:rsidR="00653770" w:rsidRPr="00B215CD">
        <w:rPr>
          <w:rFonts w:ascii="ITC Avant Garde" w:hAnsi="ITC Avant Garde"/>
          <w:color w:val="000000"/>
        </w:rPr>
        <w:t xml:space="preserve">el </w:t>
      </w:r>
      <w:r w:rsidR="00653770" w:rsidRPr="00B215CD">
        <w:rPr>
          <w:rFonts w:ascii="ITC Avant Garde" w:hAnsi="ITC Avant Garde"/>
          <w:b/>
          <w:color w:val="000000"/>
        </w:rPr>
        <w:t>Artículo 12</w:t>
      </w:r>
      <w:r w:rsidR="00653770" w:rsidRPr="00B215CD">
        <w:rPr>
          <w:rFonts w:ascii="ITC Avant Garde" w:hAnsi="ITC Avant Garde"/>
          <w:color w:val="000000"/>
        </w:rPr>
        <w:t xml:space="preserve"> de los </w:t>
      </w:r>
      <w:r w:rsidR="001105FF">
        <w:rPr>
          <w:rFonts w:ascii="ITC Avant Garde" w:hAnsi="ITC Avant Garde"/>
          <w:b/>
          <w:color w:val="000000"/>
        </w:rPr>
        <w:t>LINEAMIENTOS</w:t>
      </w:r>
      <w:r w:rsidR="00653770" w:rsidRPr="00B215CD">
        <w:rPr>
          <w:rFonts w:ascii="ITC Avant Garde" w:hAnsi="ITC Avant Garde"/>
          <w:b/>
          <w:color w:val="000000"/>
        </w:rPr>
        <w:t xml:space="preserve">, </w:t>
      </w:r>
      <w:r w:rsidR="00653770" w:rsidRPr="00B215CD">
        <w:rPr>
          <w:rFonts w:ascii="ITC Avant Garde" w:hAnsi="ITC Avant Garde"/>
          <w:color w:val="000000"/>
        </w:rPr>
        <w:t>en la parte que interesa establece lo siguiente</w:t>
      </w:r>
      <w:r w:rsidR="00653770" w:rsidRPr="00B215CD">
        <w:rPr>
          <w:rFonts w:ascii="ITC Avant Garde" w:eastAsia="Times New Roman" w:hAnsi="ITC Avant Garde"/>
          <w:bCs/>
          <w:color w:val="000000"/>
          <w:lang w:eastAsia="es-MX"/>
        </w:rPr>
        <w:t>:</w:t>
      </w:r>
    </w:p>
    <w:p w14:paraId="1B570966" w14:textId="77777777" w:rsidR="00E2222D" w:rsidRDefault="006B21AD" w:rsidP="00907F25">
      <w:pPr>
        <w:spacing w:after="240" w:line="360" w:lineRule="auto"/>
        <w:ind w:left="851" w:right="900"/>
        <w:jc w:val="both"/>
        <w:rPr>
          <w:rFonts w:ascii="ITC Avant Garde" w:hAnsi="ITC Avant Garde" w:cs="Arial"/>
          <w:i/>
          <w:sz w:val="20"/>
          <w:lang w:val="es-ES"/>
        </w:rPr>
      </w:pPr>
      <w:r w:rsidRPr="00250345">
        <w:rPr>
          <w:rFonts w:ascii="ITC Avant Garde" w:hAnsi="ITC Avant Garde" w:cs="Arial"/>
          <w:b/>
          <w:i/>
          <w:sz w:val="20"/>
          <w:lang w:val="es-ES"/>
        </w:rPr>
        <w:t xml:space="preserve">Artículo 12.- </w:t>
      </w:r>
      <w:r w:rsidRPr="00250345">
        <w:rPr>
          <w:rFonts w:ascii="ITC Avant Garde" w:hAnsi="ITC Avant Garde" w:cs="Arial"/>
          <w:b/>
          <w:i/>
          <w:sz w:val="20"/>
          <w:u w:val="single"/>
          <w:lang w:val="es-ES"/>
        </w:rPr>
        <w:t>Los Concesionarios de Televisión Restringida deberán retransmitir todas las Señales Radiodifundidas de Instituciones Públicas Federales, de Manera Gratuita y No Discriminatoria, en Forma Íntegra y Sin Modificaciones, Simultánea, incluyendo, en su caso, la publicidad, y con la Misma Calidad de la Señal Radiodifundida.</w:t>
      </w:r>
      <w:r w:rsidRPr="00250345">
        <w:rPr>
          <w:rFonts w:ascii="ITC Avant Garde" w:hAnsi="ITC Avant Garde" w:cs="Arial"/>
          <w:i/>
          <w:sz w:val="20"/>
          <w:lang w:val="es-ES"/>
        </w:rPr>
        <w:t xml:space="preserve"> </w:t>
      </w:r>
      <w:r w:rsidRPr="00250345">
        <w:rPr>
          <w:rFonts w:ascii="ITC Avant Garde" w:hAnsi="ITC Avant Garde" w:cs="Arial"/>
          <w:b/>
          <w:i/>
          <w:sz w:val="20"/>
          <w:u w:val="single"/>
          <w:lang w:val="es-ES"/>
        </w:rPr>
        <w:t>También deberán incluir aquélla realizada a través de Multiprogramación,</w:t>
      </w:r>
      <w:r w:rsidRPr="00250345">
        <w:rPr>
          <w:rFonts w:ascii="ITC Avant Garde" w:hAnsi="ITC Avant Garde" w:cs="Arial"/>
          <w:i/>
          <w:sz w:val="20"/>
          <w:lang w:val="es-ES"/>
        </w:rPr>
        <w:t xml:space="preserve"> salvo que el Canal de Programación no corresponda al de una Institución Pública Federal.</w:t>
      </w:r>
    </w:p>
    <w:p w14:paraId="0FF31EF0" w14:textId="77777777" w:rsidR="00E2222D" w:rsidRDefault="006B21AD" w:rsidP="00907F25">
      <w:pPr>
        <w:spacing w:after="240" w:line="360" w:lineRule="auto"/>
        <w:ind w:left="851" w:right="900"/>
        <w:jc w:val="both"/>
        <w:rPr>
          <w:rFonts w:ascii="ITC Avant Garde" w:hAnsi="ITC Avant Garde" w:cs="Arial"/>
          <w:i/>
          <w:sz w:val="20"/>
          <w:lang w:val="es-ES"/>
        </w:rPr>
      </w:pPr>
      <w:r w:rsidRPr="00250345">
        <w:rPr>
          <w:rFonts w:ascii="ITC Avant Garde" w:hAnsi="ITC Avant Garde" w:cs="Arial"/>
          <w:b/>
          <w:i/>
          <w:sz w:val="20"/>
          <w:u w:val="single"/>
          <w:lang w:val="es-ES"/>
        </w:rPr>
        <w:lastRenderedPageBreak/>
        <w:t>Las Instituciones Públicas Federales que transmiten señales radiodifundidas al día de hoy son</w:t>
      </w:r>
      <w:r w:rsidRPr="00250345">
        <w:rPr>
          <w:rFonts w:ascii="ITC Avant Garde" w:hAnsi="ITC Avant Garde" w:cs="Arial"/>
          <w:i/>
          <w:sz w:val="20"/>
          <w:lang w:val="es-ES"/>
        </w:rPr>
        <w:t xml:space="preserve">, por su propia naturaleza jurídica, </w:t>
      </w:r>
      <w:r w:rsidRPr="00250345">
        <w:rPr>
          <w:rFonts w:ascii="ITC Avant Garde" w:hAnsi="ITC Avant Garde" w:cs="Arial"/>
          <w:b/>
          <w:i/>
          <w:sz w:val="20"/>
          <w:u w:val="single"/>
          <w:lang w:val="es-ES"/>
        </w:rPr>
        <w:t xml:space="preserve">la </w:t>
      </w:r>
      <w:r w:rsidRPr="00250345">
        <w:rPr>
          <w:rFonts w:ascii="ITC Avant Garde" w:hAnsi="ITC Avant Garde" w:cs="Arial"/>
          <w:i/>
          <w:sz w:val="20"/>
          <w:lang w:val="es-ES"/>
        </w:rPr>
        <w:t>Universidad Nacional Autónoma de México,</w:t>
      </w:r>
      <w:r w:rsidRPr="00250345">
        <w:rPr>
          <w:rFonts w:ascii="ITC Avant Garde" w:hAnsi="ITC Avant Garde" w:cs="Arial"/>
          <w:b/>
          <w:i/>
          <w:sz w:val="20"/>
          <w:u w:val="single"/>
          <w:lang w:val="es-ES"/>
        </w:rPr>
        <w:t xml:space="preserve"> el Instituto Politécnico Nacional, </w:t>
      </w:r>
      <w:r w:rsidRPr="00250345">
        <w:rPr>
          <w:rFonts w:ascii="ITC Avant Garde" w:hAnsi="ITC Avant Garde" w:cs="Arial"/>
          <w:i/>
          <w:sz w:val="20"/>
          <w:lang w:val="es-ES"/>
        </w:rPr>
        <w:t>el Organismo Promotor de Medios Audiovisuales y Televisión Metropolitana, S.A. de C.V.</w:t>
      </w:r>
    </w:p>
    <w:p w14:paraId="1B15900D" w14:textId="77777777" w:rsidR="00E2222D" w:rsidRDefault="006B21AD" w:rsidP="00907F25">
      <w:pPr>
        <w:spacing w:after="240" w:line="360" w:lineRule="auto"/>
        <w:ind w:left="851" w:right="900"/>
        <w:jc w:val="both"/>
        <w:rPr>
          <w:rFonts w:ascii="ITC Avant Garde" w:hAnsi="ITC Avant Garde" w:cs="Arial"/>
          <w:b/>
          <w:i/>
          <w:sz w:val="20"/>
          <w:u w:val="single"/>
          <w:lang w:val="es-ES"/>
        </w:rPr>
      </w:pPr>
      <w:r w:rsidRPr="00250345">
        <w:rPr>
          <w:rFonts w:ascii="ITC Avant Garde" w:hAnsi="ITC Avant Garde" w:cs="Arial"/>
          <w:b/>
          <w:i/>
          <w:sz w:val="20"/>
          <w:u w:val="single"/>
          <w:lang w:val="es-ES"/>
        </w:rPr>
        <w:t>Para efectos de claridad, el Instituto mantendrá y actualizará permanentemente en su sitio electrónico, el listado completo de las instituciones públicas federales para los efectos que nos ocupan.</w:t>
      </w:r>
    </w:p>
    <w:p w14:paraId="3E623081" w14:textId="77777777" w:rsidR="00E2222D" w:rsidRDefault="006B21AD" w:rsidP="00907F25">
      <w:pPr>
        <w:spacing w:after="240" w:line="360" w:lineRule="auto"/>
        <w:ind w:left="851" w:right="900"/>
        <w:jc w:val="both"/>
        <w:rPr>
          <w:rFonts w:ascii="ITC Avant Garde" w:hAnsi="ITC Avant Garde" w:cs="Arial"/>
          <w:b/>
          <w:i/>
          <w:sz w:val="20"/>
          <w:u w:val="single"/>
          <w:lang w:val="es-ES"/>
        </w:rPr>
      </w:pPr>
      <w:r w:rsidRPr="00250345">
        <w:rPr>
          <w:rFonts w:ascii="ITC Avant Garde" w:hAnsi="ITC Avant Garde" w:cs="Arial"/>
          <w:b/>
          <w:i/>
          <w:sz w:val="20"/>
          <w:u w:val="single"/>
          <w:lang w:val="es-ES"/>
        </w:rPr>
        <w:t>Los Concesionarios de Televisión Restringida Terrenal que no tengan acceso a las Señales Radiodifundidas de Instituciones Públicas Federales en la Misma Zona de Cobertura, estarán obligados a retransmitir dichas señales una vez que el Instituto publique en el Diario Oficial de la Federación que las mismas se encuentren disponibles en su zona de cobertura por el medio que corresponda para su retransmisión, ya sea satélite, microondas, fibra óptica o cualquier otro idóneo, en términos de este artículo.</w:t>
      </w:r>
    </w:p>
    <w:p w14:paraId="07285A90" w14:textId="77777777" w:rsidR="00E2222D" w:rsidRDefault="006B21AD" w:rsidP="00907F25">
      <w:pPr>
        <w:spacing w:after="240" w:line="360" w:lineRule="auto"/>
        <w:ind w:left="851" w:right="900"/>
        <w:jc w:val="both"/>
        <w:rPr>
          <w:rFonts w:ascii="ITC Avant Garde" w:hAnsi="ITC Avant Garde" w:cs="Arial"/>
          <w:i/>
          <w:sz w:val="20"/>
          <w:lang w:val="es-ES"/>
        </w:rPr>
      </w:pPr>
      <w:r w:rsidRPr="00250345">
        <w:rPr>
          <w:rFonts w:ascii="ITC Avant Garde" w:hAnsi="ITC Avant Garde" w:cs="Arial"/>
          <w:i/>
          <w:sz w:val="20"/>
          <w:lang w:val="es-ES"/>
        </w:rPr>
        <w:t>La misma regla a que se refiere el párrafo anterior será aplicable para los Concesionarios de Televisión Restringida Vía Satélite cuando su centro de transmisión y control se encuentre fuera de la zona de cobertura de la Señal Radiodifundida de Instituciones Públicas Federales.</w:t>
      </w:r>
    </w:p>
    <w:p w14:paraId="1DFE7866" w14:textId="77777777" w:rsidR="00E2222D" w:rsidRDefault="006B21AD" w:rsidP="00907F25">
      <w:pPr>
        <w:spacing w:after="240" w:line="360" w:lineRule="auto"/>
        <w:ind w:left="851" w:right="900"/>
        <w:jc w:val="both"/>
        <w:rPr>
          <w:rFonts w:ascii="ITC Avant Garde" w:hAnsi="ITC Avant Garde" w:cs="Arial"/>
          <w:i/>
          <w:sz w:val="20"/>
          <w:lang w:val="es-ES"/>
        </w:rPr>
      </w:pPr>
      <w:r w:rsidRPr="00250345">
        <w:rPr>
          <w:rFonts w:ascii="ITC Avant Garde" w:hAnsi="ITC Avant Garde" w:cs="Arial"/>
          <w:i/>
          <w:sz w:val="20"/>
          <w:lang w:val="es-ES"/>
        </w:rPr>
        <w:t xml:space="preserve">En los casos a que se refieren los dos párrafos anteriores, las instituciones públicas federales que deseen que sus Señales Radiodifundidas sean retransmitidas, deberán realizar las acciones necesarias para hacer disponibles sus señales a través de satélite, microondas, fibra óptica o cualquier otro medio idóneo. En estos casos, las instituciones públicas federales deberán informar al Instituto el medio y las características técnicas con que consideran que sus Señales Radiodifundidas se encuentran disponibles. El Instituto, en un plazo no mayor a 30 días naturales contados a partir del día siguiente en que la institución pública federal proporcione la información correspondiente, determinará si, efectivamente, desde el punto de vista técnico, las Señales Radiodifundidas de dichas instituciones se encuentran disponibles para su retransmisión. En caso contrario, le hará del </w:t>
      </w:r>
      <w:r w:rsidRPr="00250345">
        <w:rPr>
          <w:rFonts w:ascii="ITC Avant Garde" w:hAnsi="ITC Avant Garde" w:cs="Arial"/>
          <w:i/>
          <w:sz w:val="20"/>
          <w:lang w:val="es-ES"/>
        </w:rPr>
        <w:lastRenderedPageBreak/>
        <w:t>conocimiento los elementos técnicos que considere aplicables para lograr su disponibilidad.</w:t>
      </w:r>
    </w:p>
    <w:p w14:paraId="12E38B5E" w14:textId="77777777" w:rsidR="00E2222D" w:rsidRDefault="006B21AD" w:rsidP="00907F25">
      <w:pPr>
        <w:spacing w:after="240" w:line="360" w:lineRule="auto"/>
        <w:ind w:left="851" w:right="900"/>
        <w:jc w:val="both"/>
        <w:rPr>
          <w:rFonts w:ascii="ITC Avant Garde" w:hAnsi="ITC Avant Garde" w:cs="Arial"/>
          <w:i/>
          <w:lang w:val="es-ES"/>
        </w:rPr>
      </w:pPr>
      <w:r w:rsidRPr="00250345">
        <w:rPr>
          <w:rFonts w:ascii="ITC Avant Garde" w:hAnsi="ITC Avant Garde" w:cs="Arial"/>
          <w:b/>
          <w:i/>
          <w:sz w:val="20"/>
          <w:u w:val="single"/>
          <w:lang w:val="es-ES"/>
        </w:rPr>
        <w:t>De considerarse que tales Señales Radiodifundidas efectivamente se encuentran disponibles, el Instituto publicará en el Diario Oficial de la Federación un listado de éstas, con lo cual se hará exigible la obligación de los Concesionarios de Televisión Restringida correspondientes para retransmitirlas</w:t>
      </w:r>
      <w:r w:rsidRPr="00250345">
        <w:rPr>
          <w:rFonts w:ascii="ITC Avant Garde" w:hAnsi="ITC Avant Garde" w:cs="Arial"/>
          <w:i/>
          <w:sz w:val="20"/>
          <w:lang w:val="es-ES"/>
        </w:rPr>
        <w:t>. Los costos asociados a la obtención de dichas Señales Radiodifundidas del medio de que se trate y su retransmisión correrán a cargo del Concesionario de Televisión Restringida.”.</w:t>
      </w:r>
    </w:p>
    <w:p w14:paraId="78E546CA" w14:textId="77777777" w:rsidR="00E2222D" w:rsidRDefault="00947B1A" w:rsidP="00907F25">
      <w:pPr>
        <w:tabs>
          <w:tab w:val="left" w:pos="2257"/>
        </w:tabs>
        <w:spacing w:after="240" w:line="360" w:lineRule="auto"/>
        <w:jc w:val="both"/>
        <w:rPr>
          <w:rFonts w:ascii="ITC Avant Garde" w:hAnsi="ITC Avant Garde" w:cs="Arial"/>
        </w:rPr>
      </w:pPr>
      <w:r w:rsidRPr="00947B1A">
        <w:rPr>
          <w:rFonts w:ascii="ITC Avant Garde" w:hAnsi="ITC Avant Garde" w:cs="Arial"/>
        </w:rPr>
        <w:t xml:space="preserve">Asimismo, </w:t>
      </w:r>
      <w:r w:rsidR="00086E2A">
        <w:rPr>
          <w:rFonts w:ascii="ITC Avant Garde" w:hAnsi="ITC Avant Garde" w:cs="Arial"/>
        </w:rPr>
        <w:t xml:space="preserve">en </w:t>
      </w:r>
      <w:r w:rsidR="006B21AD">
        <w:rPr>
          <w:rFonts w:ascii="ITC Avant Garde" w:hAnsi="ITC Avant Garde" w:cs="Arial"/>
        </w:rPr>
        <w:t xml:space="preserve">el </w:t>
      </w:r>
      <w:r w:rsidR="006B21AD">
        <w:rPr>
          <w:rFonts w:ascii="ITC Avant Garde" w:hAnsi="ITC Avant Garde"/>
          <w:b/>
        </w:rPr>
        <w:t xml:space="preserve">ACUERDO MODIFICATORIO; </w:t>
      </w:r>
      <w:r w:rsidR="006B21AD">
        <w:rPr>
          <w:rFonts w:ascii="ITC Avant Garde" w:hAnsi="ITC Avant Garde"/>
        </w:rPr>
        <w:t xml:space="preserve">el </w:t>
      </w:r>
      <w:r w:rsidR="006B21AD">
        <w:rPr>
          <w:rFonts w:ascii="ITC Avant Garde" w:hAnsi="ITC Avant Garde"/>
          <w:b/>
        </w:rPr>
        <w:t xml:space="preserve">LISTADO </w:t>
      </w:r>
      <w:r w:rsidR="006B21AD">
        <w:rPr>
          <w:rFonts w:ascii="ITC Avant Garde" w:hAnsi="ITC Avant Garde"/>
        </w:rPr>
        <w:t xml:space="preserve">y sus correspondientes </w:t>
      </w:r>
      <w:r w:rsidR="006B21AD">
        <w:rPr>
          <w:rFonts w:ascii="ITC Avant Garde" w:hAnsi="ITC Avant Garde"/>
          <w:b/>
        </w:rPr>
        <w:t>ACTUALIZACIONES,</w:t>
      </w:r>
      <w:r w:rsidRPr="00947B1A">
        <w:rPr>
          <w:rFonts w:ascii="ITC Avant Garde" w:hAnsi="ITC Avant Garde"/>
          <w:b/>
        </w:rPr>
        <w:t xml:space="preserve"> </w:t>
      </w:r>
      <w:r w:rsidRPr="00947B1A">
        <w:rPr>
          <w:rFonts w:ascii="ITC Avant Garde" w:hAnsi="ITC Avant Garde" w:cs="Arial"/>
        </w:rPr>
        <w:t xml:space="preserve">se precisan las características técnicas de las señales radiodifundidas de las Instituciones Públicas Federales a fin de que los Concesionarios de Televisión Restringida se encuentren en posibilidades de retransmitir dichas señales, obligación exigible a partir </w:t>
      </w:r>
      <w:r w:rsidR="005B7D48">
        <w:rPr>
          <w:rFonts w:ascii="ITC Avant Garde" w:hAnsi="ITC Avant Garde" w:cs="Arial"/>
        </w:rPr>
        <w:t xml:space="preserve">de que el </w:t>
      </w:r>
      <w:r w:rsidR="006B21AD">
        <w:rPr>
          <w:rFonts w:ascii="ITC Avant Garde" w:hAnsi="ITC Avant Garde" w:cs="Arial"/>
          <w:b/>
        </w:rPr>
        <w:t>Instituto</w:t>
      </w:r>
      <w:r w:rsidR="005B7D48">
        <w:rPr>
          <w:rFonts w:ascii="ITC Avant Garde" w:hAnsi="ITC Avant Garde" w:cs="Arial"/>
          <w:b/>
        </w:rPr>
        <w:t xml:space="preserve"> </w:t>
      </w:r>
      <w:r w:rsidR="005B7D48">
        <w:rPr>
          <w:rFonts w:ascii="ITC Avant Garde" w:hAnsi="ITC Avant Garde" w:cs="Arial"/>
        </w:rPr>
        <w:t>consideró que las respectivas señales se encontraban disponibles para su retransmisión, que en el caso específico del canal 11.2 Once Niños fue a través de</w:t>
      </w:r>
      <w:r w:rsidR="006B21AD">
        <w:rPr>
          <w:rFonts w:ascii="ITC Avant Garde" w:hAnsi="ITC Avant Garde" w:cs="Arial"/>
        </w:rPr>
        <w:t xml:space="preserve"> las </w:t>
      </w:r>
      <w:r w:rsidR="006B21AD">
        <w:rPr>
          <w:rFonts w:ascii="ITC Avant Garde" w:hAnsi="ITC Avant Garde"/>
          <w:b/>
        </w:rPr>
        <w:t>ACTUALIZACIONES</w:t>
      </w:r>
      <w:r w:rsidR="005B7D48">
        <w:rPr>
          <w:rFonts w:ascii="ITC Avant Garde" w:hAnsi="ITC Avant Garde"/>
          <w:b/>
        </w:rPr>
        <w:t xml:space="preserve"> </w:t>
      </w:r>
      <w:r w:rsidR="005B7D48" w:rsidRPr="005B7D48">
        <w:rPr>
          <w:rFonts w:ascii="ITC Avant Garde" w:hAnsi="ITC Avant Garde"/>
        </w:rPr>
        <w:t xml:space="preserve">publicado en el </w:t>
      </w:r>
      <w:r w:rsidR="005B7D48" w:rsidRPr="005B7D48">
        <w:rPr>
          <w:rFonts w:ascii="ITC Avant Garde" w:hAnsi="ITC Avant Garde"/>
          <w:b/>
        </w:rPr>
        <w:t>DOF</w:t>
      </w:r>
      <w:r w:rsidR="005B7D48">
        <w:rPr>
          <w:rFonts w:ascii="ITC Avant Garde" w:hAnsi="ITC Avant Garde"/>
        </w:rPr>
        <w:t xml:space="preserve"> el veintiuno de octubre de dos mil catorce.</w:t>
      </w:r>
    </w:p>
    <w:p w14:paraId="4E86AD5D" w14:textId="77777777" w:rsidR="00E2222D" w:rsidRDefault="00A63731" w:rsidP="00907F25">
      <w:pPr>
        <w:tabs>
          <w:tab w:val="left" w:pos="2257"/>
        </w:tabs>
        <w:spacing w:after="240" w:line="360" w:lineRule="auto"/>
        <w:jc w:val="both"/>
        <w:rPr>
          <w:rFonts w:ascii="ITC Avant Garde" w:hAnsi="ITC Avant Garde" w:cs="Arial"/>
        </w:rPr>
      </w:pPr>
      <w:r>
        <w:rPr>
          <w:rFonts w:ascii="ITC Avant Garde" w:hAnsi="ITC Avant Garde" w:cs="Arial"/>
        </w:rPr>
        <w:t xml:space="preserve">Al respecto, </w:t>
      </w:r>
      <w:r w:rsidR="006B21AD">
        <w:rPr>
          <w:rFonts w:ascii="ITC Avant Garde" w:hAnsi="ITC Avant Garde" w:cs="Arial"/>
        </w:rPr>
        <w:t xml:space="preserve">en el </w:t>
      </w:r>
      <w:r w:rsidR="006B21AD">
        <w:rPr>
          <w:rFonts w:ascii="ITC Avant Garde" w:hAnsi="ITC Avant Garde"/>
          <w:b/>
        </w:rPr>
        <w:t>ACUERDO MODIFICATORIO</w:t>
      </w:r>
      <w:r w:rsidR="006B21AD">
        <w:rPr>
          <w:rFonts w:ascii="ITC Avant Garde" w:hAnsi="ITC Avant Garde"/>
        </w:rPr>
        <w:t xml:space="preserve"> se </w:t>
      </w:r>
      <w:r>
        <w:rPr>
          <w:rFonts w:ascii="ITC Avant Garde" w:hAnsi="ITC Avant Garde"/>
        </w:rPr>
        <w:t>señala lo siguiente:</w:t>
      </w:r>
    </w:p>
    <w:p w14:paraId="45DA4BEF" w14:textId="0ED9A474" w:rsidR="00A63731" w:rsidRPr="00250345" w:rsidRDefault="00EE5A50" w:rsidP="00907F25">
      <w:pPr>
        <w:tabs>
          <w:tab w:val="left" w:pos="2257"/>
        </w:tabs>
        <w:spacing w:after="240" w:line="360" w:lineRule="auto"/>
        <w:ind w:left="851" w:right="900"/>
        <w:jc w:val="center"/>
        <w:rPr>
          <w:rFonts w:ascii="ITC Avant Garde" w:eastAsia="Times New Roman" w:hAnsi="ITC Avant Garde"/>
          <w:b/>
          <w:bCs/>
          <w:i/>
          <w:color w:val="000000"/>
          <w:sz w:val="20"/>
          <w:lang w:eastAsia="es-MX"/>
        </w:rPr>
      </w:pPr>
      <w:r w:rsidRPr="00250345">
        <w:rPr>
          <w:rFonts w:ascii="ITC Avant Garde" w:eastAsia="Times New Roman" w:hAnsi="ITC Avant Garde"/>
          <w:b/>
          <w:bCs/>
          <w:i/>
          <w:color w:val="000000"/>
          <w:sz w:val="20"/>
          <w:lang w:eastAsia="es-MX"/>
        </w:rPr>
        <w:t>“</w:t>
      </w:r>
      <w:r w:rsidR="00A63731" w:rsidRPr="00250345">
        <w:rPr>
          <w:rFonts w:ascii="ITC Avant Garde" w:eastAsia="Times New Roman" w:hAnsi="ITC Avant Garde"/>
          <w:b/>
          <w:bCs/>
          <w:i/>
          <w:color w:val="000000"/>
          <w:sz w:val="20"/>
          <w:lang w:eastAsia="es-MX"/>
        </w:rPr>
        <w:t xml:space="preserve">CONSIDERANDOS </w:t>
      </w:r>
    </w:p>
    <w:p w14:paraId="156C0E77" w14:textId="77777777" w:rsidR="00E2222D" w:rsidRDefault="00A63731" w:rsidP="00907F25">
      <w:pPr>
        <w:tabs>
          <w:tab w:val="left" w:pos="2257"/>
        </w:tabs>
        <w:spacing w:after="240" w:line="360" w:lineRule="auto"/>
        <w:ind w:left="851" w:right="900"/>
        <w:jc w:val="both"/>
        <w:rPr>
          <w:rFonts w:ascii="ITC Avant Garde" w:hAnsi="ITC Avant Garde" w:cs="Arial"/>
          <w:b/>
          <w:i/>
          <w:sz w:val="20"/>
        </w:rPr>
      </w:pPr>
      <w:r w:rsidRPr="00250345">
        <w:rPr>
          <w:rFonts w:ascii="ITC Avant Garde" w:hAnsi="ITC Avant Garde" w:cs="Arial"/>
          <w:b/>
          <w:i/>
          <w:sz w:val="20"/>
        </w:rPr>
        <w:t>…</w:t>
      </w:r>
    </w:p>
    <w:p w14:paraId="08AD6B25"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rPr>
        <w:t>QUINTO. Necesidad de adecuar los Lineamientos a las disposiciones de la LFTR</w:t>
      </w:r>
      <w:r w:rsidRPr="00250345">
        <w:rPr>
          <w:rFonts w:ascii="ITC Avant Garde" w:hAnsi="ITC Avant Garde" w:cs="Arial"/>
          <w:i/>
          <w:sz w:val="20"/>
        </w:rPr>
        <w:t xml:space="preserve">. El 27 de febrero 2014, se publicaron en el DOF los Lineamientos, atendiendo a lo dispuesto por la fracción I del artículo Octavo Transitorio del Decreto Constitucional. </w:t>
      </w:r>
    </w:p>
    <w:p w14:paraId="51F06045"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Por otro lado, de conformidad con el artículo Cuarto Transitorio del Decreto Constitucional, el Congreso de la Unión debía expedir un solo ordenamiento legal que regulara de manera convergente, el uso, aprovechamiento y </w:t>
      </w:r>
      <w:r w:rsidRPr="00250345">
        <w:rPr>
          <w:rFonts w:ascii="ITC Avant Garde" w:hAnsi="ITC Avant Garde" w:cs="Arial"/>
          <w:i/>
          <w:sz w:val="20"/>
        </w:rPr>
        <w:lastRenderedPageBreak/>
        <w:t xml:space="preserve">explotación del espectro radioeléctrico, las redes de telecomunicaciones, así como la prestación de servicios de radiodifusión y telecomunicaciones. </w:t>
      </w:r>
    </w:p>
    <w:p w14:paraId="4F37F2E3"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En ese orden de ideas, </w:t>
      </w:r>
      <w:r w:rsidRPr="00250345">
        <w:rPr>
          <w:rFonts w:ascii="ITC Avant Garde" w:hAnsi="ITC Avant Garde" w:cs="Arial"/>
          <w:b/>
          <w:i/>
          <w:sz w:val="20"/>
          <w:u w:val="single"/>
        </w:rPr>
        <w:t>el 14 de julio de 2014, se publicó en el DOF el Decreto de Ley</w:t>
      </w:r>
      <w:r w:rsidRPr="00250345">
        <w:rPr>
          <w:rFonts w:ascii="ITC Avant Garde" w:hAnsi="ITC Avant Garde" w:cs="Arial"/>
          <w:i/>
          <w:sz w:val="20"/>
        </w:rPr>
        <w:t xml:space="preserve">, el cual, de conformidad con su artículo Primero Transitorio, entró en vigor a los 30 días naturales siguientes a su publicación, esto es, el 13 de agosto de 2014. </w:t>
      </w:r>
    </w:p>
    <w:p w14:paraId="7D1D7BDA"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u w:val="single"/>
        </w:rPr>
        <w:t>Ahora bien, toda vez que el 13 de agosto de 2014 entró en vigor el Decreto de Ley, el cual contiene la legislación a que hace referencia el artículo Cuarto Transitorio del Decreto Constitucional, es decir, la LFTR, resultó necesario hacer un análisis del contenido de los Lineamientos para adecuarlos a lo previsto en ésta</w:t>
      </w:r>
      <w:r w:rsidRPr="00250345">
        <w:rPr>
          <w:rFonts w:ascii="ITC Avant Garde" w:hAnsi="ITC Avant Garde" w:cs="Arial"/>
          <w:i/>
          <w:sz w:val="20"/>
        </w:rPr>
        <w:t xml:space="preserve">. </w:t>
      </w:r>
    </w:p>
    <w:p w14:paraId="05F5D938"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u w:val="single"/>
        </w:rPr>
        <w:t>Por lo anterior, y atendiendo a las prescripciones de los artículos 159, 164, 165, 166, 167, 168, 169 y 232 de la LFTR resulta necesario adecuar los Lineamientos al nuevo marco jurídico de la retransmisión de señales</w:t>
      </w:r>
      <w:r w:rsidRPr="00250345">
        <w:rPr>
          <w:rFonts w:ascii="ITC Avant Garde" w:hAnsi="ITC Avant Garde" w:cs="Arial"/>
          <w:i/>
          <w:sz w:val="20"/>
        </w:rPr>
        <w:t xml:space="preserve"> contenido en tal ordenamiento; adecuaciones que se realizan para el debido ejercicio de las facultades conferidas al Instituto en el tema de referencia, con motivo de la legislación que en materia de telecomunicaciones y radiodifusión emitió el Congreso de la Unión. </w:t>
      </w:r>
    </w:p>
    <w:p w14:paraId="2C44E5E4"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u w:val="single"/>
        </w:rPr>
        <w:t>Asimismo, se torna necesario realizar adecuaciones con fines de precisión y claridad, las cuales no constituyen cambios en el sentido originario de los Lineamientos</w:t>
      </w:r>
      <w:r w:rsidRPr="00250345">
        <w:rPr>
          <w:rFonts w:ascii="ITC Avant Garde" w:hAnsi="ITC Avant Garde" w:cs="Arial"/>
          <w:i/>
          <w:sz w:val="20"/>
        </w:rPr>
        <w:t xml:space="preserve">. </w:t>
      </w:r>
    </w:p>
    <w:p w14:paraId="6C3B9DFC"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rPr>
        <w:t>SEXTO. Adecuaciones a los Lineamientos.-</w:t>
      </w:r>
      <w:r w:rsidRPr="00250345">
        <w:rPr>
          <w:rFonts w:ascii="ITC Avant Garde" w:hAnsi="ITC Avant Garde" w:cs="Arial"/>
          <w:i/>
          <w:sz w:val="20"/>
        </w:rPr>
        <w:t xml:space="preserve"> En términos de lo siguiente, se considera procedente modificar los Lineamientos: </w:t>
      </w:r>
    </w:p>
    <w:p w14:paraId="25803C4B"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En los artículos 1 y 2 se consideró procedente adicionar en su parte final la mención específica de los artículos aplicables de la LFTR, en aras de brindar precisión a los Lineamientos. </w:t>
      </w:r>
    </w:p>
    <w:p w14:paraId="65305773"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u w:val="single"/>
        </w:rPr>
        <w:t xml:space="preserve">Asimismo, resulta práctico modificar el contenido del artículo 11 de los Lineamientos para clarificar que las señales radiodifundidas deberán ser </w:t>
      </w:r>
      <w:r w:rsidRPr="00250345">
        <w:rPr>
          <w:rFonts w:ascii="ITC Avant Garde" w:hAnsi="ITC Avant Garde" w:cs="Arial"/>
          <w:b/>
          <w:i/>
          <w:sz w:val="20"/>
          <w:u w:val="single"/>
        </w:rPr>
        <w:lastRenderedPageBreak/>
        <w:t>retransmitidas por los Concesionarios de Televisión Restringida</w:t>
      </w:r>
      <w:r w:rsidRPr="00250345">
        <w:rPr>
          <w:rFonts w:ascii="ITC Avant Garde" w:hAnsi="ITC Avant Garde" w:cs="Arial"/>
          <w:i/>
          <w:sz w:val="20"/>
        </w:rPr>
        <w:t xml:space="preserve"> en todos y cada uno de sus paquetes con la misma calidad con la que son radiodifundidas, realizándolo, según sea el caso, con la mayor calidad disponible tomando en cuenta inicialmente las características de la red del concesionario de televisión restringida y las condiciones con las cuales el suscriptor o usuario contrató los servicios de televisión restringida. </w:t>
      </w:r>
    </w:p>
    <w:p w14:paraId="7D75947B"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Es decir, en caso de que las señales radiodifundidas a retransmitir se encuentren disponibles en alta definición, los usuarios del concesionario de televisión restringida que de acuerdo a su paquete contratado puedan técnicamente gozar de éstas deberán contar con dichas señales con calidad de alta definición. Es claro que de esta forma se logra retransmitir la señal con la misma calidad o definición de imagen y sonido con que se radiodifundió. </w:t>
      </w:r>
    </w:p>
    <w:p w14:paraId="5D630AB0"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Asimismo, los usuarios del concesionario de televisión restringida que no tengan acceso a un servicio en alta definición, deberán gozar de dichas señales en definición estándar o con la mayor definición de imagen y sonido que permita su paquete. </w:t>
      </w:r>
    </w:p>
    <w:p w14:paraId="3463B7AE"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De igual forma, y únicamente para efectos de claridad formal y debida identificación, se incorpora el número de fracción correspondiente a cada definición del artículo 3. </w:t>
      </w:r>
    </w:p>
    <w:p w14:paraId="04E11946"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u w:val="single"/>
        </w:rPr>
        <w:t>Se modifica el artículo 12 a efecto de que sea la UMCA quien atienda, tramite y resuelva las solicitudes a que se refieren sus párrafos cuarto a séptimo</w:t>
      </w:r>
      <w:r w:rsidRPr="00250345">
        <w:rPr>
          <w:rFonts w:ascii="ITC Avant Garde" w:hAnsi="ITC Avant Garde" w:cs="Arial"/>
          <w:i/>
          <w:sz w:val="20"/>
        </w:rPr>
        <w:t xml:space="preserve">, así como para que solicite en términos del Estatuto Orgánico del Instituto la publicación correspondiente en el DOF. Ello obedece a la necesidad de simplificar administrativamente su atención y que las potenciales modificaciones sean atendidas en un marco de agilidad y eficacia. </w:t>
      </w:r>
    </w:p>
    <w:p w14:paraId="1074955E" w14:textId="77777777" w:rsidR="00E2222D"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En ese tenor de ideas, resulta procedente emitir las modificaciones a los Lineamientos en términos del presente considerando. </w:t>
      </w:r>
    </w:p>
    <w:p w14:paraId="4C2550F2" w14:textId="4A935018" w:rsidR="00A63731" w:rsidRPr="00250345" w:rsidRDefault="00A63731"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u w:val="single"/>
        </w:rPr>
        <w:lastRenderedPageBreak/>
        <w:t>Finalmente, debe señalarse que con excepción de la modificación que nos ocupa</w:t>
      </w:r>
      <w:r w:rsidRPr="00250345">
        <w:rPr>
          <w:rFonts w:ascii="ITC Avant Garde" w:hAnsi="ITC Avant Garde" w:cs="Arial"/>
          <w:i/>
          <w:sz w:val="20"/>
        </w:rPr>
        <w:t xml:space="preserve">, el resto de los Lineamientos permanece en los mismos términos que fue publicado en el Diario Oficial de la Federación el 27 de febrero de 2014. </w:t>
      </w:r>
    </w:p>
    <w:p w14:paraId="186D74B6" w14:textId="77777777" w:rsidR="00E2222D"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w:t>
      </w:r>
    </w:p>
    <w:p w14:paraId="710D980F" w14:textId="77777777" w:rsidR="00E2222D" w:rsidRDefault="00867C73" w:rsidP="00907F25">
      <w:pPr>
        <w:tabs>
          <w:tab w:val="left" w:pos="2257"/>
        </w:tabs>
        <w:spacing w:after="240" w:line="360" w:lineRule="auto"/>
        <w:ind w:left="851" w:right="900"/>
        <w:jc w:val="center"/>
        <w:rPr>
          <w:rFonts w:ascii="ITC Avant Garde" w:hAnsi="ITC Avant Garde" w:cs="Arial"/>
          <w:b/>
          <w:i/>
          <w:sz w:val="20"/>
        </w:rPr>
      </w:pPr>
      <w:r w:rsidRPr="00250345">
        <w:rPr>
          <w:rFonts w:ascii="ITC Avant Garde" w:hAnsi="ITC Avant Garde" w:cs="Arial"/>
          <w:b/>
          <w:i/>
          <w:sz w:val="20"/>
        </w:rPr>
        <w:t>ACUERDO</w:t>
      </w:r>
    </w:p>
    <w:p w14:paraId="539B58BC" w14:textId="3A23234A" w:rsidR="00867C73" w:rsidRPr="00250345"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rPr>
        <w:t>ÚNICO.-</w:t>
      </w:r>
      <w:r w:rsidRPr="00250345">
        <w:rPr>
          <w:rFonts w:ascii="ITC Avant Garde" w:hAnsi="ITC Avant Garde" w:cs="Arial"/>
          <w:i/>
          <w:sz w:val="20"/>
        </w:rPr>
        <w:t xml:space="preserve"> Se </w:t>
      </w:r>
      <w:r w:rsidRPr="00250345">
        <w:rPr>
          <w:rFonts w:ascii="ITC Avant Garde" w:hAnsi="ITC Avant Garde" w:cs="Arial"/>
          <w:b/>
          <w:i/>
          <w:sz w:val="20"/>
        </w:rPr>
        <w:t>MODIFICAN</w:t>
      </w:r>
      <w:r w:rsidRPr="00250345">
        <w:rPr>
          <w:rFonts w:ascii="ITC Avant Garde" w:hAnsi="ITC Avant Garde" w:cs="Arial"/>
          <w:i/>
          <w:sz w:val="20"/>
        </w:rPr>
        <w:t xml:space="preserve"> los artículos 1, 2, 3, 7, 11, 12 párrafos segundo, cuarto, sexto y séptimo, 13, 14 y 16 y se </w:t>
      </w:r>
      <w:r w:rsidRPr="00250345">
        <w:rPr>
          <w:rFonts w:ascii="ITC Avant Garde" w:hAnsi="ITC Avant Garde" w:cs="Arial"/>
          <w:b/>
          <w:i/>
          <w:sz w:val="20"/>
        </w:rPr>
        <w:t>ADICIONAN</w:t>
      </w:r>
      <w:r w:rsidRPr="00250345">
        <w:rPr>
          <w:rFonts w:ascii="ITC Avant Garde" w:hAnsi="ITC Avant Garde" w:cs="Arial"/>
          <w:i/>
          <w:sz w:val="20"/>
        </w:rPr>
        <w:t xml:space="preserve"> los artículos 5, párrafos segundo y tercero, 6, párrafos tercero y cuarto y 12, párrafos octavo y noveno,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al tenor de lo expuesto en el considerando Sexto del presente Acuerdo, para quedar como sigue</w:t>
      </w:r>
      <w:r w:rsidRPr="00250345">
        <w:rPr>
          <w:rStyle w:val="Refdenotaalpie"/>
          <w:rFonts w:ascii="ITC Avant Garde" w:hAnsi="ITC Avant Garde" w:cs="Arial"/>
          <w:i/>
          <w:sz w:val="20"/>
        </w:rPr>
        <w:footnoteReference w:id="5"/>
      </w:r>
      <w:r w:rsidRPr="00250345">
        <w:rPr>
          <w:rFonts w:ascii="ITC Avant Garde" w:hAnsi="ITC Avant Garde" w:cs="Arial"/>
          <w:i/>
          <w:sz w:val="20"/>
        </w:rPr>
        <w:t xml:space="preserve"> :</w:t>
      </w:r>
    </w:p>
    <w:p w14:paraId="66EB5F0D" w14:textId="77777777" w:rsidR="00E2222D"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w:t>
      </w:r>
    </w:p>
    <w:p w14:paraId="1B8C4182" w14:textId="77777777" w:rsidR="00E2222D"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u w:val="single"/>
        </w:rPr>
        <w:t>XIV.</w:t>
      </w:r>
      <w:r w:rsidRPr="00250345">
        <w:rPr>
          <w:rFonts w:ascii="ITC Avant Garde" w:hAnsi="ITC Avant Garde" w:cs="Arial"/>
          <w:i/>
          <w:sz w:val="20"/>
        </w:rPr>
        <w:t xml:space="preserve"> MULTIPROGRAMACIÓN.- Es la distribución de varias Señales Radiodifundidas dentro del mismo Canal de Transmisión, cada una de las cuales constituye un Canal de Programación.</w:t>
      </w:r>
    </w:p>
    <w:p w14:paraId="299B8DC1" w14:textId="6EAA6FB4" w:rsidR="00867C73" w:rsidRPr="00250345"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b/>
          <w:i/>
          <w:sz w:val="20"/>
          <w:u w:val="single"/>
        </w:rPr>
        <w:t>XVIII.</w:t>
      </w:r>
      <w:r w:rsidRPr="00250345">
        <w:rPr>
          <w:rFonts w:ascii="ITC Avant Garde" w:hAnsi="ITC Avant Garde" w:cs="Arial"/>
          <w:i/>
          <w:sz w:val="20"/>
        </w:rPr>
        <w:t xml:space="preserve"> SEÑALES RADIODIFUNDIDAS DE INSTITUCIONES PÚBLICAS FEDERALES.- Son las Señales Radiodifundidas transmitidas por Concesionarios de Televisión Radiodifundida y por permisionarios de televisión radiodifundida que tengan el carácter de instituciones públicas federales en términos de las disposiciones normativas correspondientes, y que coinciden con las transmitidas por las estaciones XHUNAM-TV (canal 20), XEIPN-TDT (canal 33), XEIMT-TDT (canal 23) y XHOPMA-TDT (canal 30) de la Ciudad de México, respectivamente, incluyendo las de multiprogramación en dichos canales.</w:t>
      </w:r>
    </w:p>
    <w:p w14:paraId="4F99F18A" w14:textId="77777777" w:rsidR="00867C73" w:rsidRPr="00250345"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lastRenderedPageBreak/>
        <w:t xml:space="preserve">… </w:t>
      </w:r>
    </w:p>
    <w:p w14:paraId="5FD41F76" w14:textId="77777777" w:rsidR="00867C73" w:rsidRPr="00250345"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Artículo 12.-… </w:t>
      </w:r>
    </w:p>
    <w:p w14:paraId="67C7D405" w14:textId="77777777" w:rsidR="00867C73" w:rsidRPr="00250345"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Las Instituciones Públicas Federales que transmiten señales radiodifundidas al día de hoy son, por su propia naturaleza jurídica, la Universidad Nacional Autónoma de México, </w:t>
      </w:r>
      <w:r w:rsidRPr="00250345">
        <w:rPr>
          <w:rFonts w:ascii="ITC Avant Garde" w:hAnsi="ITC Avant Garde" w:cs="Arial"/>
          <w:b/>
          <w:i/>
          <w:sz w:val="20"/>
          <w:u w:val="single"/>
        </w:rPr>
        <w:t>el Instituto Politécnico Nacional</w:t>
      </w:r>
      <w:r w:rsidRPr="00250345">
        <w:rPr>
          <w:rFonts w:ascii="ITC Avant Garde" w:hAnsi="ITC Avant Garde" w:cs="Arial"/>
          <w:i/>
          <w:sz w:val="20"/>
        </w:rPr>
        <w:t>, el</w:t>
      </w:r>
      <w:r w:rsidRPr="00250345">
        <w:rPr>
          <w:rFonts w:ascii="ITC Avant Garde" w:hAnsi="ITC Avant Garde" w:cs="Arial"/>
          <w:b/>
          <w:i/>
          <w:sz w:val="20"/>
        </w:rPr>
        <w:t xml:space="preserve"> </w:t>
      </w:r>
      <w:r w:rsidRPr="00250345">
        <w:rPr>
          <w:rFonts w:ascii="ITC Avant Garde" w:hAnsi="ITC Avant Garde" w:cs="Arial"/>
          <w:i/>
          <w:sz w:val="20"/>
        </w:rPr>
        <w:t>Sistema Público de Radiodifusión del Estado Mexicano y Televisión Metropolitana, S.A. de C.V.</w:t>
      </w:r>
    </w:p>
    <w:p w14:paraId="683E9045" w14:textId="77777777" w:rsidR="00E2222D"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w:t>
      </w:r>
    </w:p>
    <w:p w14:paraId="447F64A4" w14:textId="6EB9C81A" w:rsidR="00867C73" w:rsidRPr="00250345"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 xml:space="preserve">Artículo 16.- El incumplimiento a lo dispuesto en los presentes lineamientos será sancionado por el Instituto en términos de </w:t>
      </w:r>
      <w:r w:rsidRPr="00250345">
        <w:rPr>
          <w:rFonts w:ascii="ITC Avant Garde" w:hAnsi="ITC Avant Garde" w:cs="Arial"/>
          <w:b/>
          <w:i/>
          <w:sz w:val="20"/>
          <w:u w:val="single"/>
        </w:rPr>
        <w:t>la Ley</w:t>
      </w:r>
      <w:r w:rsidRPr="00250345">
        <w:rPr>
          <w:rFonts w:ascii="ITC Avant Garde" w:hAnsi="ITC Avant Garde" w:cs="Arial"/>
          <w:i/>
          <w:sz w:val="20"/>
        </w:rPr>
        <w:t xml:space="preserve"> y de las </w:t>
      </w:r>
      <w:r w:rsidRPr="00250345">
        <w:rPr>
          <w:rFonts w:ascii="ITC Avant Garde" w:hAnsi="ITC Avant Garde" w:cs="Arial"/>
          <w:b/>
          <w:i/>
          <w:sz w:val="20"/>
          <w:u w:val="single"/>
        </w:rPr>
        <w:t>demás</w:t>
      </w:r>
      <w:r w:rsidRPr="00250345">
        <w:rPr>
          <w:rFonts w:ascii="ITC Avant Garde" w:hAnsi="ITC Avant Garde" w:cs="Arial"/>
          <w:i/>
          <w:sz w:val="20"/>
        </w:rPr>
        <w:t xml:space="preserve"> disposiciones normativas aplicables.</w:t>
      </w:r>
    </w:p>
    <w:p w14:paraId="5E058C1F" w14:textId="77777777" w:rsidR="00E2222D" w:rsidRDefault="00867C73" w:rsidP="00907F25">
      <w:pPr>
        <w:tabs>
          <w:tab w:val="left" w:pos="2257"/>
        </w:tabs>
        <w:spacing w:after="240" w:line="360" w:lineRule="auto"/>
        <w:ind w:left="851" w:right="900"/>
        <w:jc w:val="both"/>
        <w:rPr>
          <w:rFonts w:ascii="ITC Avant Garde" w:hAnsi="ITC Avant Garde" w:cs="Arial"/>
          <w:i/>
          <w:sz w:val="20"/>
        </w:rPr>
      </w:pPr>
      <w:r w:rsidRPr="00250345">
        <w:rPr>
          <w:rFonts w:ascii="ITC Avant Garde" w:hAnsi="ITC Avant Garde" w:cs="Arial"/>
          <w:i/>
          <w:sz w:val="20"/>
        </w:rPr>
        <w:t>…”</w:t>
      </w:r>
    </w:p>
    <w:p w14:paraId="6CB9CF8A" w14:textId="77777777" w:rsidR="00E2222D" w:rsidRDefault="00867C73" w:rsidP="00907F25">
      <w:pPr>
        <w:spacing w:after="240" w:line="360" w:lineRule="auto"/>
        <w:contextualSpacing/>
        <w:jc w:val="both"/>
        <w:rPr>
          <w:rFonts w:ascii="ITC Avant Garde" w:hAnsi="ITC Avant Garde" w:cs="Arial"/>
        </w:rPr>
      </w:pPr>
      <w:r>
        <w:rPr>
          <w:rFonts w:ascii="ITC Avant Garde" w:hAnsi="ITC Avant Garde" w:cs="Arial"/>
        </w:rPr>
        <w:t>Ahora bien</w:t>
      </w:r>
      <w:r w:rsidR="00947B1A" w:rsidRPr="00947B1A">
        <w:rPr>
          <w:rFonts w:ascii="ITC Avant Garde" w:hAnsi="ITC Avant Garde" w:cs="Arial"/>
        </w:rPr>
        <w:t xml:space="preserve">, el </w:t>
      </w:r>
      <w:r w:rsidR="00135140">
        <w:rPr>
          <w:rFonts w:ascii="ITC Avant Garde" w:hAnsi="ITC Avant Garde" w:cs="Arial"/>
          <w:b/>
        </w:rPr>
        <w:t>LISTADO</w:t>
      </w:r>
      <w:r w:rsidR="00947B1A" w:rsidRPr="00947B1A">
        <w:rPr>
          <w:rFonts w:ascii="ITC Avant Garde" w:hAnsi="ITC Avant Garde" w:cs="Arial"/>
          <w:b/>
        </w:rPr>
        <w:t xml:space="preserve"> </w:t>
      </w:r>
      <w:r w:rsidR="003B3196">
        <w:rPr>
          <w:rFonts w:ascii="ITC Avant Garde" w:hAnsi="ITC Avant Garde" w:cs="Arial"/>
        </w:rPr>
        <w:t xml:space="preserve">publicado en el </w:t>
      </w:r>
      <w:r w:rsidR="003B3196">
        <w:rPr>
          <w:rFonts w:ascii="ITC Avant Garde" w:hAnsi="ITC Avant Garde" w:cs="Arial"/>
          <w:b/>
        </w:rPr>
        <w:t xml:space="preserve">DOF </w:t>
      </w:r>
      <w:r w:rsidR="003B3196">
        <w:rPr>
          <w:rFonts w:ascii="ITC Avant Garde" w:hAnsi="ITC Avant Garde" w:cs="Arial"/>
        </w:rPr>
        <w:t xml:space="preserve">el seis de mayo de dos mil catorce, </w:t>
      </w:r>
      <w:r w:rsidR="008F2600">
        <w:rPr>
          <w:rFonts w:ascii="ITC Avant Garde" w:hAnsi="ITC Avant Garde" w:cs="Arial"/>
        </w:rPr>
        <w:t>señaló</w:t>
      </w:r>
      <w:r w:rsidR="003B3196">
        <w:rPr>
          <w:rFonts w:ascii="ITC Avant Garde" w:hAnsi="ITC Avant Garde" w:cs="Arial"/>
        </w:rPr>
        <w:t xml:space="preserve"> lo siguiente</w:t>
      </w:r>
      <w:r w:rsidR="00947B1A" w:rsidRPr="00947B1A">
        <w:rPr>
          <w:rFonts w:ascii="ITC Avant Garde" w:hAnsi="ITC Avant Garde" w:cs="Arial"/>
        </w:rPr>
        <w:t>:</w:t>
      </w:r>
    </w:p>
    <w:p w14:paraId="13C73CD1" w14:textId="15DD7AB9" w:rsidR="00947B1A" w:rsidRPr="00250345" w:rsidRDefault="00947B1A" w:rsidP="00907F25">
      <w:pPr>
        <w:spacing w:after="240" w:line="360" w:lineRule="auto"/>
        <w:ind w:left="851" w:right="900"/>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“LISTADO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 el 27 de febrero de 2014.</w:t>
      </w:r>
    </w:p>
    <w:p w14:paraId="70E688BF" w14:textId="77777777" w:rsidR="00E2222D" w:rsidRDefault="00867C73" w:rsidP="00907F25">
      <w:pPr>
        <w:spacing w:after="240" w:line="360" w:lineRule="auto"/>
        <w:ind w:left="851" w:right="900"/>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w:t>
      </w:r>
    </w:p>
    <w:p w14:paraId="5CAA65BA" w14:textId="6BF0620D"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b)   Instituto Politécnico Nacional.</w:t>
      </w:r>
    </w:p>
    <w:p w14:paraId="100D74D4" w14:textId="77777777"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1) Canal 11</w:t>
      </w:r>
    </w:p>
    <w:p w14:paraId="6F479DD6" w14:textId="77777777"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Satélite: SATMEX 6</w:t>
      </w:r>
    </w:p>
    <w:p w14:paraId="297F1D1E" w14:textId="77777777"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lastRenderedPageBreak/>
        <w:t>Transpondedor: 6C1</w:t>
      </w:r>
    </w:p>
    <w:p w14:paraId="0C8CE3D7" w14:textId="77777777"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Compresión: DVBS2</w:t>
      </w:r>
    </w:p>
    <w:p w14:paraId="140D5DB7" w14:textId="77777777"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Modulación: 8PSK</w:t>
      </w:r>
    </w:p>
    <w:p w14:paraId="5FD0E835" w14:textId="77777777"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FEC: 5/6</w:t>
      </w:r>
    </w:p>
    <w:p w14:paraId="6C6911F7" w14:textId="77777777"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Frecuencia: 3,829.65 MHz</w:t>
      </w:r>
    </w:p>
    <w:p w14:paraId="15E33355" w14:textId="77777777"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Polarización de Bajada: Horizontal</w:t>
      </w:r>
    </w:p>
    <w:p w14:paraId="48350E6F" w14:textId="77777777" w:rsidR="003B3196" w:rsidRPr="00250345" w:rsidRDefault="003B3196" w:rsidP="00907F25">
      <w:pPr>
        <w:shd w:val="clear" w:color="auto" w:fill="FFFFFF"/>
        <w:spacing w:after="240" w:line="360" w:lineRule="auto"/>
        <w:ind w:left="851" w:right="900" w:firstLine="1418"/>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Programa: 02</w:t>
      </w:r>
    </w:p>
    <w:p w14:paraId="367787E6" w14:textId="77777777" w:rsidR="00947B1A" w:rsidRPr="00250345" w:rsidRDefault="00A57C90" w:rsidP="00907F25">
      <w:pPr>
        <w:spacing w:after="240" w:line="360" w:lineRule="auto"/>
        <w:ind w:left="851" w:right="900"/>
        <w:jc w:val="both"/>
        <w:rPr>
          <w:rFonts w:ascii="ITC Avant Garde" w:eastAsia="Times New Roman" w:hAnsi="ITC Avant Garde"/>
          <w:bCs/>
          <w:i/>
          <w:color w:val="000000"/>
          <w:sz w:val="20"/>
          <w:lang w:eastAsia="es-MX"/>
        </w:rPr>
      </w:pPr>
      <w:r w:rsidRPr="00250345">
        <w:rPr>
          <w:rFonts w:ascii="ITC Avant Garde" w:eastAsia="Times New Roman" w:hAnsi="ITC Avant Garde"/>
          <w:bCs/>
          <w:i/>
          <w:color w:val="000000"/>
          <w:sz w:val="20"/>
          <w:lang w:eastAsia="es-MX"/>
        </w:rPr>
        <w:t>…</w:t>
      </w:r>
    </w:p>
    <w:p w14:paraId="76B518A1" w14:textId="77777777" w:rsidR="00E2222D" w:rsidRDefault="00947B1A" w:rsidP="00907F25">
      <w:pPr>
        <w:pStyle w:val="Listavistosa-nfasis11"/>
        <w:spacing w:after="240" w:line="360" w:lineRule="auto"/>
        <w:ind w:left="851" w:right="900"/>
        <w:jc w:val="both"/>
        <w:rPr>
          <w:rFonts w:ascii="ITC Avant Garde" w:eastAsia="Times New Roman" w:hAnsi="ITC Avant Garde"/>
          <w:bCs/>
          <w:i/>
          <w:color w:val="000000"/>
          <w:lang w:eastAsia="es-MX"/>
        </w:rPr>
      </w:pPr>
      <w:r w:rsidRPr="00250345">
        <w:rPr>
          <w:rFonts w:ascii="ITC Avant Garde" w:eastAsia="Times New Roman" w:hAnsi="ITC Avant Garde"/>
          <w:bCs/>
          <w:i/>
          <w:color w:val="000000"/>
          <w:sz w:val="20"/>
          <w:lang w:eastAsia="es-MX"/>
        </w:rPr>
        <w:t>La obligación de los Concesionarios de Televisión Restringida para retransmitir las señales radiodifundidas de Instituciones Públicas Federales que se enlistan, en términos de los párrafos cuarto, quinto, sexto y séptimo de los Lineamientos, se hará exigible a partir del día siguiente de la publicación del presente listado en el Diario Oficial de la Federación.”</w:t>
      </w:r>
      <w:r w:rsidRPr="00310D70">
        <w:rPr>
          <w:rFonts w:ascii="ITC Avant Garde" w:eastAsia="Times New Roman" w:hAnsi="ITC Avant Garde"/>
          <w:bCs/>
          <w:i/>
          <w:color w:val="000000"/>
          <w:lang w:eastAsia="es-MX"/>
        </w:rPr>
        <w:t xml:space="preserve"> </w:t>
      </w:r>
    </w:p>
    <w:p w14:paraId="4A3A6563" w14:textId="77777777" w:rsidR="00E2222D" w:rsidRDefault="003B3196" w:rsidP="00907F25">
      <w:pPr>
        <w:spacing w:after="240" w:line="360" w:lineRule="auto"/>
        <w:jc w:val="both"/>
        <w:rPr>
          <w:rFonts w:ascii="ITC Avant Garde" w:hAnsi="ITC Avant Garde" w:cs="Arial"/>
        </w:rPr>
      </w:pPr>
      <w:r w:rsidRPr="008F2600">
        <w:rPr>
          <w:rFonts w:ascii="ITC Avant Garde" w:hAnsi="ITC Avant Garde" w:cs="Arial"/>
        </w:rPr>
        <w:t xml:space="preserve">Al respecto, el </w:t>
      </w:r>
      <w:r w:rsidR="00135140">
        <w:rPr>
          <w:rFonts w:ascii="ITC Avant Garde" w:hAnsi="ITC Avant Garde" w:cs="Arial"/>
          <w:b/>
        </w:rPr>
        <w:t>LISTADO</w:t>
      </w:r>
      <w:r w:rsidRPr="008F2600">
        <w:rPr>
          <w:rFonts w:ascii="ITC Avant Garde" w:hAnsi="ITC Avant Garde" w:cs="Arial"/>
        </w:rPr>
        <w:t xml:space="preserve"> tuvo dos </w:t>
      </w:r>
      <w:r w:rsidR="00135140">
        <w:rPr>
          <w:rFonts w:ascii="ITC Avant Garde" w:hAnsi="ITC Avant Garde"/>
          <w:b/>
        </w:rPr>
        <w:t>ACTUALIZACIONES</w:t>
      </w:r>
      <w:r w:rsidRPr="008F2600">
        <w:rPr>
          <w:rFonts w:ascii="ITC Avant Garde" w:hAnsi="ITC Avant Garde" w:cs="Arial"/>
        </w:rPr>
        <w:t xml:space="preserve">, mismas que fueron publicadas en el </w:t>
      </w:r>
      <w:r w:rsidR="00135140">
        <w:rPr>
          <w:rFonts w:ascii="ITC Avant Garde" w:hAnsi="ITC Avant Garde" w:cs="Arial"/>
          <w:b/>
        </w:rPr>
        <w:t>DOF</w:t>
      </w:r>
      <w:r w:rsidRPr="008F2600">
        <w:rPr>
          <w:rFonts w:ascii="ITC Avant Garde" w:hAnsi="ITC Avant Garde" w:cs="Arial"/>
        </w:rPr>
        <w:t xml:space="preserve"> el veintiuno de octubre de dos mil catorce y </w:t>
      </w:r>
      <w:r w:rsidR="00135140">
        <w:rPr>
          <w:rFonts w:ascii="ITC Avant Garde" w:hAnsi="ITC Avant Garde" w:cs="Arial"/>
        </w:rPr>
        <w:t>veinte de noviembre</w:t>
      </w:r>
      <w:r w:rsidRPr="008F2600">
        <w:rPr>
          <w:rFonts w:ascii="ITC Avant Garde" w:hAnsi="ITC Avant Garde" w:cs="Arial"/>
        </w:rPr>
        <w:t xml:space="preserve"> de dos mil quince, las cuales </w:t>
      </w:r>
      <w:r w:rsidR="00A94B9E" w:rsidRPr="008F2600">
        <w:rPr>
          <w:rFonts w:ascii="ITC Avant Garde" w:hAnsi="ITC Avant Garde" w:cs="Arial"/>
        </w:rPr>
        <w:t>establecen lo siguiente:</w:t>
      </w:r>
    </w:p>
    <w:p w14:paraId="521F93AB" w14:textId="77777777" w:rsidR="00E2222D" w:rsidRDefault="00135140" w:rsidP="00907F25">
      <w:pPr>
        <w:pStyle w:val="Listavistosa-nfasis11"/>
        <w:numPr>
          <w:ilvl w:val="0"/>
          <w:numId w:val="29"/>
        </w:numPr>
        <w:spacing w:after="240" w:line="360" w:lineRule="auto"/>
        <w:ind w:left="851" w:right="900" w:hanging="567"/>
        <w:jc w:val="both"/>
        <w:rPr>
          <w:rFonts w:ascii="ITC Avant Garde" w:hAnsi="ITC Avant Garde" w:cs="Arial"/>
          <w:sz w:val="20"/>
        </w:rPr>
      </w:pPr>
      <w:r w:rsidRPr="00250345">
        <w:rPr>
          <w:rFonts w:ascii="ITC Avant Garde" w:hAnsi="ITC Avant Garde"/>
          <w:sz w:val="20"/>
        </w:rPr>
        <w:t>La</w:t>
      </w:r>
      <w:r w:rsidR="00A94B9E" w:rsidRPr="00250345">
        <w:rPr>
          <w:rFonts w:ascii="ITC Avant Garde" w:hAnsi="ITC Avant Garde"/>
          <w:b/>
          <w:sz w:val="20"/>
        </w:rPr>
        <w:t xml:space="preserve"> </w:t>
      </w:r>
      <w:r w:rsidR="00A94B9E" w:rsidRPr="00250345">
        <w:rPr>
          <w:rFonts w:ascii="ITC Avant Garde" w:hAnsi="ITC Avant Garde"/>
          <w:sz w:val="20"/>
        </w:rPr>
        <w:t xml:space="preserve">publicada </w:t>
      </w:r>
      <w:r w:rsidR="00A94B9E" w:rsidRPr="00250345">
        <w:rPr>
          <w:rFonts w:ascii="ITC Avant Garde" w:hAnsi="ITC Avant Garde" w:cs="Arial"/>
          <w:sz w:val="20"/>
        </w:rPr>
        <w:t>e</w:t>
      </w:r>
      <w:r w:rsidR="00A15A87" w:rsidRPr="00250345">
        <w:rPr>
          <w:rFonts w:ascii="ITC Avant Garde" w:hAnsi="ITC Avant Garde" w:cs="Arial"/>
          <w:sz w:val="20"/>
        </w:rPr>
        <w:t>l</w:t>
      </w:r>
      <w:r w:rsidR="00947B1A" w:rsidRPr="00250345">
        <w:rPr>
          <w:rFonts w:ascii="ITC Avant Garde" w:hAnsi="ITC Avant Garde" w:cs="Arial"/>
          <w:sz w:val="20"/>
        </w:rPr>
        <w:t xml:space="preserve"> veintiuno de octubre de dos mil catorce</w:t>
      </w:r>
      <w:r w:rsidR="00A94B9E" w:rsidRPr="00250345">
        <w:rPr>
          <w:rFonts w:ascii="ITC Avant Garde" w:hAnsi="ITC Avant Garde" w:cs="Arial"/>
          <w:sz w:val="20"/>
        </w:rPr>
        <w:t xml:space="preserve"> en el </w:t>
      </w:r>
      <w:r w:rsidRPr="00250345">
        <w:rPr>
          <w:rFonts w:ascii="ITC Avant Garde" w:hAnsi="ITC Avant Garde" w:cs="Arial"/>
          <w:b/>
          <w:sz w:val="20"/>
        </w:rPr>
        <w:t>DOF</w:t>
      </w:r>
      <w:r w:rsidR="00947B1A" w:rsidRPr="00250345">
        <w:rPr>
          <w:rFonts w:ascii="ITC Avant Garde" w:hAnsi="ITC Avant Garde" w:cs="Arial"/>
          <w:sz w:val="20"/>
        </w:rPr>
        <w:t xml:space="preserve">, en su parte relativa al Instituto Politécnico Nacional, </w:t>
      </w:r>
      <w:r w:rsidR="00A94B9E" w:rsidRPr="00250345">
        <w:rPr>
          <w:rFonts w:ascii="ITC Avant Garde" w:hAnsi="ITC Avant Garde" w:cs="Arial"/>
          <w:sz w:val="20"/>
        </w:rPr>
        <w:t>señaló:</w:t>
      </w:r>
    </w:p>
    <w:p w14:paraId="38064A0A" w14:textId="3D507183" w:rsidR="00A94B9E"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w:t>
      </w:r>
    </w:p>
    <w:p w14:paraId="645330D5"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b) Instituto Politécnico Nacional.</w:t>
      </w:r>
    </w:p>
    <w:p w14:paraId="668534FE" w14:textId="77777777" w:rsidR="00947B1A" w:rsidRPr="00250345" w:rsidRDefault="00947B1A" w:rsidP="00907F25">
      <w:pPr>
        <w:spacing w:after="240" w:line="360" w:lineRule="auto"/>
        <w:ind w:left="851" w:right="900"/>
        <w:jc w:val="both"/>
        <w:rPr>
          <w:rFonts w:ascii="ITC Avant Garde" w:eastAsia="Times New Roman" w:hAnsi="ITC Avant Garde"/>
          <w:b/>
          <w:bCs/>
          <w:i/>
          <w:sz w:val="20"/>
          <w:u w:val="single"/>
          <w:lang w:eastAsia="es-MX"/>
        </w:rPr>
      </w:pPr>
      <w:r w:rsidRPr="00250345">
        <w:rPr>
          <w:rFonts w:ascii="ITC Avant Garde" w:eastAsia="Times New Roman" w:hAnsi="ITC Avant Garde"/>
          <w:b/>
          <w:bCs/>
          <w:i/>
          <w:sz w:val="20"/>
          <w:u w:val="single"/>
          <w:lang w:eastAsia="es-MX"/>
        </w:rPr>
        <w:t>Canal 11 (junto con el canal multiprogramado 11.2)</w:t>
      </w:r>
    </w:p>
    <w:p w14:paraId="1F4ED768"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Satélite: SATMEX 6</w:t>
      </w:r>
    </w:p>
    <w:p w14:paraId="2EAA702C"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lastRenderedPageBreak/>
        <w:t>Transpondedor: 6C1</w:t>
      </w:r>
    </w:p>
    <w:p w14:paraId="5B9E1516"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Compresión: DVBS2</w:t>
      </w:r>
    </w:p>
    <w:p w14:paraId="5A9BC34F"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Modulación: 8PSK</w:t>
      </w:r>
    </w:p>
    <w:p w14:paraId="24A09122"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FEC: 2/3</w:t>
      </w:r>
    </w:p>
    <w:p w14:paraId="3EEC7A40"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Frecuencia: 3,828.95 MHz</w:t>
      </w:r>
    </w:p>
    <w:p w14:paraId="111ACC3C"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Polarización de Bajada: Horizontal</w:t>
      </w:r>
    </w:p>
    <w:p w14:paraId="4C19CB40"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Programa Principal: 0001</w:t>
      </w:r>
    </w:p>
    <w:p w14:paraId="14972B99" w14:textId="77777777" w:rsidR="00947B1A" w:rsidRPr="00250345"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Programa Secundario: 0002</w:t>
      </w:r>
    </w:p>
    <w:p w14:paraId="25A3ECD8" w14:textId="77777777" w:rsidR="00E2222D" w:rsidRDefault="00947B1A" w:rsidP="00907F25">
      <w:pPr>
        <w:spacing w:after="240" w:line="360" w:lineRule="auto"/>
        <w:ind w:left="851" w:right="900"/>
        <w:jc w:val="both"/>
        <w:rPr>
          <w:rFonts w:ascii="ITC Avant Garde" w:eastAsia="Times New Roman" w:hAnsi="ITC Avant Garde"/>
          <w:bCs/>
          <w:i/>
          <w:sz w:val="20"/>
          <w:lang w:eastAsia="es-MX"/>
        </w:rPr>
      </w:pPr>
      <w:r w:rsidRPr="00250345">
        <w:rPr>
          <w:rFonts w:ascii="ITC Avant Garde" w:eastAsia="Times New Roman" w:hAnsi="ITC Avant Garde"/>
          <w:bCs/>
          <w:i/>
          <w:sz w:val="20"/>
          <w:lang w:eastAsia="es-MX"/>
        </w:rPr>
        <w:t>…”</w:t>
      </w:r>
    </w:p>
    <w:p w14:paraId="52F523DA" w14:textId="77777777" w:rsidR="00E2222D" w:rsidRDefault="008F2600" w:rsidP="00907F25">
      <w:pPr>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D</w:t>
      </w:r>
      <w:r w:rsidR="00947B1A" w:rsidRPr="00B215CD">
        <w:rPr>
          <w:rFonts w:ascii="ITC Avant Garde" w:eastAsia="Times New Roman" w:hAnsi="ITC Avant Garde"/>
          <w:bCs/>
          <w:color w:val="000000"/>
          <w:lang w:eastAsia="es-MX"/>
        </w:rPr>
        <w:t xml:space="preserve">e las disposiciones descritas podemos concluir que es obligación de los concesionarios de Televisión Restringida retransmitir todas las Señales Radiodifundidas de Instituciones Públicas Federales, de manera gratuita y no discriminatoria, en forma </w:t>
      </w:r>
      <w:r w:rsidR="0086575B" w:rsidRPr="00B215CD">
        <w:rPr>
          <w:rFonts w:ascii="ITC Avant Garde" w:eastAsia="Times New Roman" w:hAnsi="ITC Avant Garde"/>
          <w:bCs/>
          <w:color w:val="000000"/>
          <w:lang w:eastAsia="es-MX"/>
        </w:rPr>
        <w:t>íntegra, simultánea y sin modificaciones, incluyendo la publicidad, con la misma calidad de señal que se radiodifunde, bajo los parámetros técnicos establecidos para ello.</w:t>
      </w:r>
    </w:p>
    <w:p w14:paraId="770F5227" w14:textId="77777777" w:rsidR="00E2222D" w:rsidRDefault="0086575B" w:rsidP="00907F25">
      <w:pPr>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 xml:space="preserve">En tal sentido el ordenamiento aplicable en la materia establece cuál es la consecuencia de incumplir con las condiciones establecidas en los respectivos títulos de concesión, así como con las disposiciones emitidas por el </w:t>
      </w:r>
      <w:r w:rsidR="00135140">
        <w:rPr>
          <w:rFonts w:ascii="ITC Avant Garde" w:eastAsia="Times New Roman" w:hAnsi="ITC Avant Garde"/>
          <w:b/>
          <w:bCs/>
          <w:color w:val="000000"/>
          <w:lang w:eastAsia="es-MX"/>
        </w:rPr>
        <w:t>IFT</w:t>
      </w:r>
      <w:r w:rsidRPr="00B215CD">
        <w:rPr>
          <w:rFonts w:ascii="ITC Avant Garde" w:eastAsia="Times New Roman" w:hAnsi="ITC Avant Garde"/>
          <w:bCs/>
          <w:color w:val="000000"/>
          <w:lang w:eastAsia="es-MX"/>
        </w:rPr>
        <w:t>, con lo cual se cumple con el aducido principio de tipicidad al precisar cuáles son las consecuencias jurídicas de lle</w:t>
      </w:r>
      <w:r w:rsidR="0038425B" w:rsidRPr="00B215CD">
        <w:rPr>
          <w:rFonts w:ascii="ITC Avant Garde" w:eastAsia="Times New Roman" w:hAnsi="ITC Avant Garde"/>
          <w:bCs/>
          <w:color w:val="000000"/>
          <w:lang w:eastAsia="es-MX"/>
        </w:rPr>
        <w:t>var a cabo determinada conducta</w:t>
      </w:r>
      <w:r w:rsidR="00F9419F">
        <w:rPr>
          <w:rFonts w:ascii="ITC Avant Garde" w:eastAsia="Times New Roman" w:hAnsi="ITC Avant Garde"/>
          <w:bCs/>
          <w:color w:val="000000"/>
          <w:lang w:eastAsia="es-MX"/>
        </w:rPr>
        <w:t>.</w:t>
      </w:r>
    </w:p>
    <w:p w14:paraId="35A9076E" w14:textId="77777777" w:rsidR="00E2222D" w:rsidRDefault="0086575B" w:rsidP="00907F25">
      <w:pPr>
        <w:spacing w:after="240" w:line="360" w:lineRule="auto"/>
        <w:jc w:val="both"/>
        <w:rPr>
          <w:rFonts w:ascii="ITC Avant Garde" w:eastAsia="Times New Roman" w:hAnsi="ITC Avant Garde"/>
          <w:bCs/>
          <w:color w:val="000000"/>
          <w:lang w:eastAsia="es-MX"/>
        </w:rPr>
      </w:pPr>
      <w:r w:rsidRPr="0086575B">
        <w:rPr>
          <w:rFonts w:ascii="ITC Avant Garde" w:eastAsia="Times New Roman" w:hAnsi="ITC Avant Garde"/>
          <w:bCs/>
          <w:color w:val="000000"/>
          <w:lang w:eastAsia="es-MX"/>
        </w:rPr>
        <w:t xml:space="preserve">En efecto, la </w:t>
      </w:r>
      <w:r w:rsidR="00250345">
        <w:rPr>
          <w:rFonts w:ascii="ITC Avant Garde" w:eastAsia="Times New Roman" w:hAnsi="ITC Avant Garde"/>
          <w:b/>
          <w:bCs/>
          <w:color w:val="000000"/>
          <w:lang w:eastAsia="es-MX"/>
        </w:rPr>
        <w:t>LFTR</w:t>
      </w:r>
      <w:r w:rsidRPr="0086575B">
        <w:rPr>
          <w:rFonts w:ascii="ITC Avant Garde" w:eastAsia="Times New Roman" w:hAnsi="ITC Avant Garde"/>
          <w:b/>
          <w:bCs/>
          <w:color w:val="000000"/>
          <w:lang w:eastAsia="es-MX"/>
        </w:rPr>
        <w:t xml:space="preserve"> </w:t>
      </w:r>
      <w:r w:rsidRPr="0086575B">
        <w:rPr>
          <w:rFonts w:ascii="ITC Avant Garde" w:eastAsia="Times New Roman" w:hAnsi="ITC Avant Garde"/>
          <w:bCs/>
          <w:color w:val="000000"/>
          <w:lang w:eastAsia="es-MX"/>
        </w:rPr>
        <w:t>en su</w:t>
      </w:r>
      <w:r w:rsidRPr="0086575B">
        <w:rPr>
          <w:rFonts w:ascii="ITC Avant Garde" w:eastAsia="Times New Roman" w:hAnsi="ITC Avant Garde"/>
          <w:b/>
          <w:bCs/>
          <w:color w:val="000000"/>
          <w:lang w:eastAsia="es-MX"/>
        </w:rPr>
        <w:t xml:space="preserve"> </w:t>
      </w:r>
      <w:r w:rsidRPr="0086575B">
        <w:rPr>
          <w:rFonts w:ascii="ITC Avant Garde" w:eastAsia="Times New Roman" w:hAnsi="ITC Avant Garde"/>
          <w:bCs/>
          <w:color w:val="000000"/>
          <w:lang w:eastAsia="es-MX"/>
        </w:rPr>
        <w:t>artículo 298, apartado B) fracción IV, señala lo siguiente:</w:t>
      </w:r>
    </w:p>
    <w:p w14:paraId="7205A4A7" w14:textId="77777777" w:rsidR="00E2222D" w:rsidRDefault="0086575B" w:rsidP="00907F25">
      <w:pPr>
        <w:spacing w:after="240" w:line="360" w:lineRule="auto"/>
        <w:ind w:left="851" w:right="900"/>
        <w:jc w:val="both"/>
        <w:rPr>
          <w:rFonts w:ascii="ITC Avant Garde" w:hAnsi="ITC Avant Garde"/>
          <w:i/>
          <w:color w:val="000000"/>
          <w:sz w:val="20"/>
          <w:lang w:val="x-none"/>
        </w:rPr>
      </w:pPr>
      <w:r w:rsidRPr="00250345">
        <w:rPr>
          <w:rFonts w:ascii="ITC Avant Garde" w:hAnsi="ITC Avant Garde"/>
          <w:i/>
          <w:color w:val="000000"/>
          <w:sz w:val="20"/>
          <w:lang w:val="x-none"/>
        </w:rPr>
        <w:t>“</w:t>
      </w:r>
      <w:r w:rsidRPr="00250345">
        <w:rPr>
          <w:rFonts w:ascii="ITC Avant Garde" w:hAnsi="ITC Avant Garde"/>
          <w:b/>
          <w:i/>
          <w:color w:val="000000"/>
          <w:sz w:val="20"/>
          <w:lang w:val="x-none"/>
        </w:rPr>
        <w:t>Artículo 298.</w:t>
      </w:r>
      <w:r w:rsidRPr="00250345">
        <w:rPr>
          <w:rFonts w:ascii="ITC Avant Garde" w:hAnsi="ITC Avant Garde"/>
          <w:i/>
          <w:color w:val="000000"/>
          <w:sz w:val="20"/>
          <w:lang w:val="x-none"/>
        </w:rPr>
        <w:t xml:space="preserve"> Las infracciones a lo dispuesto en esta Ley </w:t>
      </w:r>
      <w:r w:rsidRPr="00250345">
        <w:rPr>
          <w:rFonts w:ascii="ITC Avant Garde" w:hAnsi="ITC Avant Garde"/>
          <w:b/>
          <w:i/>
          <w:color w:val="000000"/>
          <w:sz w:val="20"/>
          <w:u w:val="single"/>
          <w:lang w:val="x-none"/>
        </w:rPr>
        <w:t>y a las disposiciones que deriven de ella</w:t>
      </w:r>
      <w:r w:rsidRPr="00250345">
        <w:rPr>
          <w:rFonts w:ascii="ITC Avant Garde" w:hAnsi="ITC Avant Garde"/>
          <w:i/>
          <w:color w:val="000000"/>
          <w:sz w:val="20"/>
          <w:lang w:val="x-none"/>
        </w:rPr>
        <w:t xml:space="preserve">, se sancionarán por el Instituto de conformidad con lo </w:t>
      </w:r>
      <w:r w:rsidRPr="00250345">
        <w:rPr>
          <w:rFonts w:ascii="ITC Avant Garde" w:hAnsi="ITC Avant Garde"/>
          <w:i/>
          <w:color w:val="000000"/>
          <w:sz w:val="20"/>
          <w:lang w:val="x-none"/>
        </w:rPr>
        <w:lastRenderedPageBreak/>
        <w:t xml:space="preserve">siguiente: </w:t>
      </w:r>
      <w:r w:rsidRPr="00250345">
        <w:rPr>
          <w:rFonts w:ascii="ITC Avant Garde" w:hAnsi="ITC Avant Garde"/>
          <w:i/>
          <w:color w:val="000000"/>
          <w:sz w:val="20"/>
          <w:lang w:val="x-none"/>
        </w:rPr>
        <w:cr/>
        <w:t>…</w:t>
      </w:r>
    </w:p>
    <w:p w14:paraId="1D9200E8" w14:textId="308ED171" w:rsidR="0086575B" w:rsidRPr="00250345" w:rsidRDefault="0086575B" w:rsidP="00907F25">
      <w:pPr>
        <w:spacing w:after="240" w:line="360" w:lineRule="auto"/>
        <w:ind w:left="851" w:right="900"/>
        <w:jc w:val="both"/>
        <w:rPr>
          <w:rFonts w:ascii="ITC Avant Garde" w:hAnsi="ITC Avant Garde"/>
          <w:i/>
          <w:color w:val="000000"/>
          <w:sz w:val="20"/>
          <w:lang w:val="x-none"/>
        </w:rPr>
      </w:pPr>
      <w:r w:rsidRPr="00250345">
        <w:rPr>
          <w:rFonts w:ascii="ITC Avant Garde" w:hAnsi="ITC Avant Garde"/>
          <w:i/>
          <w:color w:val="000000"/>
          <w:sz w:val="20"/>
          <w:lang w:val="x-none"/>
        </w:rPr>
        <w:t xml:space="preserve">B). Con multa por el equivalente de </w:t>
      </w:r>
      <w:r w:rsidRPr="00250345">
        <w:rPr>
          <w:rFonts w:ascii="ITC Avant Garde" w:hAnsi="ITC Avant Garde"/>
          <w:b/>
          <w:i/>
          <w:color w:val="000000"/>
          <w:sz w:val="20"/>
          <w:u w:val="single"/>
          <w:lang w:val="x-none"/>
        </w:rPr>
        <w:t>1%</w:t>
      </w:r>
      <w:r w:rsidR="00080518">
        <w:rPr>
          <w:rStyle w:val="Refdenotaalpie"/>
          <w:rFonts w:ascii="ITC Avant Garde" w:hAnsi="ITC Avant Garde"/>
          <w:b/>
          <w:i/>
          <w:color w:val="000000"/>
          <w:sz w:val="20"/>
          <w:u w:val="single"/>
          <w:lang w:val="x-none"/>
        </w:rPr>
        <w:footnoteReference w:id="6"/>
      </w:r>
      <w:r w:rsidRPr="00250345">
        <w:rPr>
          <w:rFonts w:ascii="ITC Avant Garde" w:hAnsi="ITC Avant Garde"/>
          <w:b/>
          <w:i/>
          <w:color w:val="000000"/>
          <w:sz w:val="20"/>
          <w:u w:val="single"/>
          <w:lang w:val="x-none"/>
        </w:rPr>
        <w:t xml:space="preserve"> hasta 3% de los ingresos del concesionario o autorizado</w:t>
      </w:r>
      <w:r w:rsidRPr="00250345">
        <w:rPr>
          <w:rFonts w:ascii="ITC Avant Garde" w:hAnsi="ITC Avant Garde"/>
          <w:i/>
          <w:color w:val="000000"/>
          <w:sz w:val="20"/>
          <w:lang w:val="x-none"/>
        </w:rPr>
        <w:t xml:space="preserve"> por:</w:t>
      </w:r>
    </w:p>
    <w:p w14:paraId="29728E0A" w14:textId="77777777" w:rsidR="00E2222D" w:rsidRDefault="0086575B" w:rsidP="00907F25">
      <w:pPr>
        <w:spacing w:after="240" w:line="360" w:lineRule="auto"/>
        <w:ind w:left="851" w:right="900"/>
        <w:jc w:val="both"/>
        <w:rPr>
          <w:rFonts w:ascii="ITC Avant Garde" w:hAnsi="ITC Avant Garde"/>
          <w:i/>
          <w:color w:val="000000"/>
          <w:sz w:val="20"/>
          <w:lang w:val="x-none"/>
        </w:rPr>
      </w:pPr>
      <w:r w:rsidRPr="00250345">
        <w:rPr>
          <w:rFonts w:ascii="ITC Avant Garde" w:hAnsi="ITC Avant Garde"/>
          <w:i/>
          <w:color w:val="000000"/>
          <w:sz w:val="20"/>
        </w:rPr>
        <w:t>…</w:t>
      </w:r>
    </w:p>
    <w:p w14:paraId="1D2B0AF9" w14:textId="77777777" w:rsidR="00E2222D" w:rsidRDefault="0086575B" w:rsidP="00907F25">
      <w:pPr>
        <w:spacing w:after="240" w:line="360" w:lineRule="auto"/>
        <w:ind w:left="851" w:right="900"/>
        <w:jc w:val="both"/>
        <w:rPr>
          <w:rFonts w:ascii="ITC Avant Garde" w:eastAsia="Times New Roman" w:hAnsi="ITC Avant Garde"/>
          <w:bCs/>
          <w:color w:val="000000"/>
          <w:sz w:val="20"/>
          <w:lang w:eastAsia="es-MX"/>
        </w:rPr>
      </w:pPr>
      <w:r w:rsidRPr="00250345">
        <w:rPr>
          <w:rFonts w:ascii="ITC Avant Garde" w:hAnsi="ITC Avant Garde"/>
          <w:b/>
          <w:i/>
          <w:color w:val="000000"/>
          <w:sz w:val="20"/>
        </w:rPr>
        <w:t>IV.</w:t>
      </w:r>
      <w:r w:rsidRPr="00250345">
        <w:rPr>
          <w:rFonts w:ascii="ITC Avant Garde" w:hAnsi="ITC Avant Garde"/>
          <w:i/>
          <w:color w:val="000000"/>
          <w:sz w:val="20"/>
        </w:rPr>
        <w:t xml:space="preserve"> </w:t>
      </w:r>
      <w:r w:rsidRPr="00250345">
        <w:rPr>
          <w:rFonts w:ascii="ITC Avant Garde" w:hAnsi="ITC Avant Garde"/>
          <w:b/>
          <w:i/>
          <w:color w:val="000000"/>
          <w:sz w:val="20"/>
          <w:u w:val="single"/>
        </w:rPr>
        <w:t>Otras violaciones a esta Ley, a los Reglamentos, a las disposiciones administrativas, planes técnicos fundamentales y demás disposiciones emitidas por el Instituto</w:t>
      </w:r>
      <w:r w:rsidRPr="00250345">
        <w:rPr>
          <w:rFonts w:ascii="ITC Avant Garde" w:hAnsi="ITC Avant Garde"/>
          <w:i/>
          <w:color w:val="000000"/>
          <w:sz w:val="20"/>
        </w:rPr>
        <w:t>; así como a las concesiones o autorizaciones que no estén expresamente contempladas en el presente capítulo…”</w:t>
      </w:r>
      <w:r w:rsidRPr="00250345" w:rsidDel="0086575B">
        <w:rPr>
          <w:rFonts w:ascii="ITC Avant Garde" w:eastAsia="Times New Roman" w:hAnsi="ITC Avant Garde"/>
          <w:bCs/>
          <w:i/>
          <w:color w:val="000000"/>
          <w:sz w:val="18"/>
          <w:szCs w:val="20"/>
          <w:lang w:eastAsia="es-MX"/>
        </w:rPr>
        <w:t xml:space="preserve"> </w:t>
      </w:r>
    </w:p>
    <w:p w14:paraId="43073F3D" w14:textId="2ABFDA6B" w:rsidR="00947B1A" w:rsidRPr="00B215CD" w:rsidRDefault="0038425B" w:rsidP="00907F25">
      <w:pPr>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De lo anterior</w:t>
      </w:r>
      <w:r w:rsidR="00947B1A" w:rsidRPr="00B215CD">
        <w:rPr>
          <w:rFonts w:ascii="ITC Avant Garde" w:eastAsia="Times New Roman" w:hAnsi="ITC Avant Garde"/>
          <w:bCs/>
          <w:color w:val="000000"/>
          <w:lang w:eastAsia="es-MX"/>
        </w:rPr>
        <w:t xml:space="preserve">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14:paraId="0CFA67FD" w14:textId="77777777" w:rsidR="00E2222D" w:rsidRDefault="00947B1A" w:rsidP="00907F25">
      <w:pPr>
        <w:pStyle w:val="Textoindependiente"/>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w:t>
      </w:r>
      <w:r w:rsidR="0038425B" w:rsidRPr="00B215CD">
        <w:rPr>
          <w:rFonts w:ascii="ITC Avant Garde" w:eastAsia="Times New Roman" w:hAnsi="ITC Avant Garde"/>
          <w:bCs/>
          <w:color w:val="000000"/>
          <w:lang w:eastAsia="es-MX"/>
        </w:rPr>
        <w:t>telecomunicaciones</w:t>
      </w:r>
      <w:r w:rsidRPr="00B215CD">
        <w:rPr>
          <w:rFonts w:ascii="ITC Avant Garde" w:eastAsia="Times New Roman" w:hAnsi="ITC Avant Garde"/>
          <w:bCs/>
          <w:color w:val="000000"/>
          <w:lang w:eastAsia="es-MX"/>
        </w:rPr>
        <w:t xml:space="preserve">, el artículo 297, párrafo primero, de la </w:t>
      </w:r>
      <w:r w:rsidR="00250345">
        <w:rPr>
          <w:rFonts w:ascii="ITC Avant Garde" w:eastAsia="Times New Roman" w:hAnsi="ITC Avant Garde"/>
          <w:b/>
          <w:bCs/>
          <w:color w:val="000000"/>
          <w:lang w:eastAsia="es-MX"/>
        </w:rPr>
        <w:t>LFTR</w:t>
      </w:r>
      <w:r w:rsidRPr="00B215CD">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00135140">
        <w:rPr>
          <w:rFonts w:ascii="ITC Avant Garde" w:eastAsia="Times New Roman" w:hAnsi="ITC Avant Garde"/>
          <w:b/>
          <w:bCs/>
          <w:color w:val="000000"/>
          <w:lang w:eastAsia="es-MX"/>
        </w:rPr>
        <w:t>LFPA</w:t>
      </w:r>
      <w:r w:rsidRPr="00B215CD">
        <w:rPr>
          <w:rFonts w:ascii="ITC Avant Garde" w:eastAsia="Times New Roman" w:hAnsi="ITC Avant Garde"/>
          <w:bCs/>
          <w:color w:val="000000"/>
          <w:lang w:eastAsia="es-MX"/>
        </w:rPr>
        <w:t>, la cual prevé dentro de su Título Cuarto, Capítulo Único, el procedimiento para la imposición de infracciones y sanciones administrativas.</w:t>
      </w:r>
    </w:p>
    <w:p w14:paraId="69E81350" w14:textId="77777777" w:rsidR="00E2222D" w:rsidRDefault="00947B1A" w:rsidP="00907F25">
      <w:pPr>
        <w:pStyle w:val="Textoindependiente"/>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 xml:space="preserve">En efecto, los artículos 70 y 72 de la </w:t>
      </w:r>
      <w:r w:rsidRPr="00B215CD">
        <w:rPr>
          <w:rFonts w:ascii="ITC Avant Garde" w:eastAsia="Times New Roman" w:hAnsi="ITC Avant Garde"/>
          <w:b/>
          <w:bCs/>
          <w:color w:val="000000"/>
          <w:lang w:eastAsia="es-MX"/>
        </w:rPr>
        <w:t>LFPA</w:t>
      </w:r>
      <w:r w:rsidRPr="00B215CD">
        <w:rPr>
          <w:rFonts w:ascii="ITC Avant Garde" w:eastAsia="Times New Roman" w:hAnsi="ITC Avant Garde"/>
          <w:bCs/>
          <w:color w:val="000000"/>
          <w:lang w:eastAsia="es-MX"/>
        </w:rPr>
        <w:t xml:space="preserve">, establecen que para la imposición de una sanción, se deben cubrir dos premisas: i) que la sanción se encuentre prevista en la ley y ii) que previo a la imposición de la misma, la autoridad competente notifique al presunto infractor el inicio del procedimiento respectivo, otorgando al efecto un plazo </w:t>
      </w:r>
      <w:r w:rsidRPr="00B215CD">
        <w:rPr>
          <w:rFonts w:ascii="ITC Avant Garde" w:eastAsia="Times New Roman" w:hAnsi="ITC Avant Garde"/>
          <w:bCs/>
          <w:color w:val="000000"/>
          <w:lang w:eastAsia="es-MX"/>
        </w:rPr>
        <w:lastRenderedPageBreak/>
        <w:t>de quince días para que el presunto infractor exponga lo que a su derecho convenga, y en su caso aporte las pruebas con que cuente.</w:t>
      </w:r>
    </w:p>
    <w:p w14:paraId="4FE339CF" w14:textId="77777777" w:rsidR="00E2222D" w:rsidRDefault="006A7614" w:rsidP="00907F25">
      <w:pPr>
        <w:spacing w:after="240" w:line="360" w:lineRule="auto"/>
        <w:jc w:val="both"/>
        <w:rPr>
          <w:rFonts w:ascii="ITC Avant Garde" w:hAnsi="ITC Avant Garde"/>
          <w:b/>
        </w:rPr>
      </w:pPr>
      <w:r w:rsidRPr="006A7614">
        <w:rPr>
          <w:rFonts w:ascii="ITC Avant Garde" w:eastAsia="Times New Roman" w:hAnsi="ITC Avant Garde"/>
          <w:bCs/>
          <w:color w:val="000000"/>
          <w:lang w:val="x-none" w:eastAsia="es-MX"/>
        </w:rPr>
        <w:t xml:space="preserve">Así las cosas, al iniciarse el procedimiento administrativo de imposición de sanción en contra de </w:t>
      </w:r>
      <w:r w:rsidR="00135140">
        <w:rPr>
          <w:rFonts w:ascii="ITC Avant Garde" w:eastAsia="Times New Roman" w:hAnsi="ITC Avant Garde"/>
          <w:b/>
          <w:bCs/>
          <w:color w:val="000000"/>
          <w:lang w:eastAsia="es-MX"/>
        </w:rPr>
        <w:t>MEGA CABL</w:t>
      </w:r>
      <w:r w:rsidR="00C2594E">
        <w:rPr>
          <w:rFonts w:ascii="ITC Avant Garde" w:eastAsia="Times New Roman" w:hAnsi="ITC Avant Garde"/>
          <w:b/>
          <w:bCs/>
          <w:color w:val="000000"/>
          <w:lang w:eastAsia="es-MX"/>
        </w:rPr>
        <w:t>E</w:t>
      </w:r>
      <w:r w:rsidR="0094452B">
        <w:rPr>
          <w:rFonts w:ascii="ITC Avant Garde" w:eastAsia="Times New Roman" w:hAnsi="ITC Avant Garde"/>
          <w:b/>
          <w:bCs/>
          <w:color w:val="000000"/>
          <w:lang w:val="x-none" w:eastAsia="es-MX"/>
        </w:rPr>
        <w:t xml:space="preserve"> </w:t>
      </w:r>
      <w:r w:rsidRPr="006A7614">
        <w:rPr>
          <w:rFonts w:ascii="ITC Avant Garde" w:eastAsia="Times New Roman" w:hAnsi="ITC Avant Garde"/>
          <w:bCs/>
          <w:color w:val="000000"/>
          <w:lang w:val="x-none" w:eastAsia="es-MX"/>
        </w:rPr>
        <w:t>se presumió el incumplimiento al</w:t>
      </w:r>
      <w:r w:rsidR="00306D05">
        <w:rPr>
          <w:rFonts w:ascii="ITC Avant Garde" w:eastAsia="Times New Roman" w:hAnsi="ITC Avant Garde"/>
          <w:bCs/>
          <w:color w:val="000000"/>
          <w:lang w:eastAsia="es-MX"/>
        </w:rPr>
        <w:t xml:space="preserve"> </w:t>
      </w:r>
      <w:r w:rsidR="00135140">
        <w:rPr>
          <w:rFonts w:ascii="ITC Avant Garde" w:hAnsi="ITC Avant Garde"/>
          <w:b/>
        </w:rPr>
        <w:t>Artículo 12</w:t>
      </w:r>
      <w:r w:rsidR="00135140">
        <w:rPr>
          <w:rFonts w:ascii="ITC Avant Garde" w:hAnsi="ITC Avant Garde"/>
        </w:rPr>
        <w:t xml:space="preserve"> de los </w:t>
      </w:r>
      <w:r w:rsidR="00135140">
        <w:rPr>
          <w:rFonts w:ascii="ITC Avant Garde" w:hAnsi="ITC Avant Garde"/>
          <w:b/>
        </w:rPr>
        <w:t xml:space="preserve">LINEAMIENTOS, </w:t>
      </w:r>
      <w:r w:rsidR="00135140">
        <w:rPr>
          <w:rFonts w:ascii="ITC Avant Garde" w:hAnsi="ITC Avant Garde"/>
        </w:rPr>
        <w:t xml:space="preserve">sus respectivas modificaciones contenidas en el </w:t>
      </w:r>
      <w:r w:rsidR="00135140">
        <w:rPr>
          <w:rFonts w:ascii="ITC Avant Garde" w:hAnsi="ITC Avant Garde"/>
          <w:b/>
        </w:rPr>
        <w:t xml:space="preserve">ACUERDO MODIFICATORIO; </w:t>
      </w:r>
      <w:r w:rsidR="00135140">
        <w:rPr>
          <w:rFonts w:ascii="ITC Avant Garde" w:hAnsi="ITC Avant Garde"/>
        </w:rPr>
        <w:t xml:space="preserve">el </w:t>
      </w:r>
      <w:r w:rsidR="00135140">
        <w:rPr>
          <w:rFonts w:ascii="ITC Avant Garde" w:hAnsi="ITC Avant Garde"/>
          <w:b/>
        </w:rPr>
        <w:t xml:space="preserve">LISTADO </w:t>
      </w:r>
      <w:r w:rsidR="00135140">
        <w:rPr>
          <w:rFonts w:ascii="ITC Avant Garde" w:hAnsi="ITC Avant Garde"/>
        </w:rPr>
        <w:t xml:space="preserve">y sus correspondientes </w:t>
      </w:r>
      <w:r w:rsidR="00135140">
        <w:rPr>
          <w:rFonts w:ascii="ITC Avant Garde" w:hAnsi="ITC Avant Garde"/>
          <w:b/>
        </w:rPr>
        <w:t>ACTUALIZACIONES,</w:t>
      </w:r>
      <w:r w:rsidR="00947B1A">
        <w:rPr>
          <w:rFonts w:ascii="ITC Avant Garde" w:hAnsi="ITC Avant Garde"/>
          <w:b/>
        </w:rPr>
        <w:t xml:space="preserve"> </w:t>
      </w:r>
      <w:r w:rsidRPr="006A7614">
        <w:rPr>
          <w:rFonts w:ascii="ITC Avant Garde" w:eastAsia="Times New Roman" w:hAnsi="ITC Avant Garde"/>
          <w:bCs/>
          <w:color w:val="000000"/>
          <w:lang w:val="x-none" w:eastAsia="es-MX"/>
        </w:rPr>
        <w:t>ya que</w:t>
      </w:r>
      <w:r w:rsidR="00576799">
        <w:rPr>
          <w:rFonts w:ascii="ITC Avant Garde" w:hAnsi="ITC Avant Garde"/>
        </w:rPr>
        <w:t xml:space="preserve"> derivado de lo</w:t>
      </w:r>
      <w:r w:rsidR="00947B1A">
        <w:rPr>
          <w:rFonts w:ascii="ITC Avant Garde" w:hAnsi="ITC Avant Garde"/>
        </w:rPr>
        <w:t xml:space="preserve">s hechos detectados </w:t>
      </w:r>
      <w:r w:rsidR="00576799">
        <w:rPr>
          <w:rFonts w:ascii="ITC Avant Garde" w:hAnsi="ITC Avant Garde"/>
        </w:rPr>
        <w:t>durante la visita</w:t>
      </w:r>
      <w:r w:rsidR="004926B1">
        <w:rPr>
          <w:rFonts w:ascii="ITC Avant Garde" w:hAnsi="ITC Avant Garde"/>
        </w:rPr>
        <w:t xml:space="preserve"> de verificación practicada</w:t>
      </w:r>
      <w:r w:rsidR="00576799">
        <w:rPr>
          <w:rFonts w:ascii="ITC Avant Garde" w:hAnsi="ITC Avant Garde"/>
        </w:rPr>
        <w:t xml:space="preserve">, se observó que no </w:t>
      </w:r>
      <w:r w:rsidR="00947B1A">
        <w:rPr>
          <w:rFonts w:ascii="ITC Avant Garde" w:hAnsi="ITC Avant Garde"/>
        </w:rPr>
        <w:t xml:space="preserve">transmitía </w:t>
      </w:r>
      <w:r w:rsidR="0038425B">
        <w:rPr>
          <w:rFonts w:ascii="ITC Avant Garde" w:hAnsi="ITC Avant Garde"/>
        </w:rPr>
        <w:t xml:space="preserve">en su sistema de televisión por cable </w:t>
      </w:r>
      <w:r w:rsidR="00BD4045" w:rsidRPr="00BD4045">
        <w:rPr>
          <w:rFonts w:ascii="ITC Avant Garde" w:eastAsia="Times New Roman" w:hAnsi="ITC Avant Garde"/>
          <w:bCs/>
          <w:color w:val="000000"/>
          <w:lang w:eastAsia="es-MX"/>
        </w:rPr>
        <w:t>la señ</w:t>
      </w:r>
      <w:r w:rsidR="00743300">
        <w:rPr>
          <w:rFonts w:ascii="ITC Avant Garde" w:eastAsia="Times New Roman" w:hAnsi="ITC Avant Garde"/>
          <w:bCs/>
          <w:color w:val="000000"/>
          <w:lang w:eastAsia="es-MX"/>
        </w:rPr>
        <w:t xml:space="preserve">al </w:t>
      </w:r>
      <w:r w:rsidR="0038425B">
        <w:rPr>
          <w:rFonts w:ascii="ITC Avant Garde" w:eastAsia="Times New Roman" w:hAnsi="ITC Avant Garde"/>
          <w:bCs/>
          <w:color w:val="000000"/>
          <w:lang w:eastAsia="es-MX"/>
        </w:rPr>
        <w:t xml:space="preserve">del canal multiprogramado 11.2 identificado como </w:t>
      </w:r>
      <w:r w:rsidR="00743300" w:rsidRPr="004926B1">
        <w:rPr>
          <w:rFonts w:ascii="ITC Avant Garde" w:eastAsia="Times New Roman" w:hAnsi="ITC Avant Garde"/>
          <w:b/>
          <w:bCs/>
          <w:color w:val="000000"/>
          <w:lang w:eastAsia="es-MX"/>
        </w:rPr>
        <w:t xml:space="preserve">Once </w:t>
      </w:r>
      <w:r w:rsidR="004926B1" w:rsidRPr="004926B1">
        <w:rPr>
          <w:rFonts w:ascii="ITC Avant Garde" w:eastAsia="Times New Roman" w:hAnsi="ITC Avant Garde"/>
          <w:b/>
          <w:bCs/>
          <w:color w:val="000000"/>
          <w:lang w:eastAsia="es-MX"/>
        </w:rPr>
        <w:t>N</w:t>
      </w:r>
      <w:r w:rsidR="00743300" w:rsidRPr="004926B1">
        <w:rPr>
          <w:rFonts w:ascii="ITC Avant Garde" w:eastAsia="Times New Roman" w:hAnsi="ITC Avant Garde"/>
          <w:b/>
          <w:bCs/>
          <w:color w:val="000000"/>
          <w:lang w:eastAsia="es-MX"/>
        </w:rPr>
        <w:t>iños</w:t>
      </w:r>
      <w:r w:rsidR="00743300">
        <w:rPr>
          <w:rFonts w:ascii="ITC Avant Garde" w:eastAsia="Times New Roman" w:hAnsi="ITC Avant Garde"/>
          <w:bCs/>
          <w:color w:val="000000"/>
          <w:lang w:eastAsia="es-MX"/>
        </w:rPr>
        <w:t xml:space="preserve"> </w:t>
      </w:r>
      <w:r w:rsidR="00BD4045" w:rsidRPr="00BD4045">
        <w:rPr>
          <w:rFonts w:ascii="ITC Avant Garde" w:eastAsia="Times New Roman" w:hAnsi="ITC Avant Garde"/>
          <w:bCs/>
          <w:color w:val="000000"/>
          <w:lang w:eastAsia="es-MX"/>
        </w:rPr>
        <w:t>del Instituto Politécnico Nacional</w:t>
      </w:r>
      <w:r w:rsidR="00486242">
        <w:rPr>
          <w:rFonts w:ascii="ITC Avant Garde" w:eastAsia="Times New Roman" w:hAnsi="ITC Avant Garde"/>
          <w:bCs/>
          <w:color w:val="000000"/>
          <w:lang w:eastAsia="es-MX"/>
        </w:rPr>
        <w:t xml:space="preserve"> (Institución Pública Federal)</w:t>
      </w:r>
      <w:r w:rsidRPr="006A7614">
        <w:rPr>
          <w:rFonts w:ascii="ITC Avant Garde" w:eastAsia="Times New Roman" w:hAnsi="ITC Avant Garde"/>
          <w:bCs/>
          <w:color w:val="000000"/>
          <w:lang w:eastAsia="es-MX"/>
        </w:rPr>
        <w:t>.</w:t>
      </w:r>
    </w:p>
    <w:p w14:paraId="0101F960" w14:textId="77777777" w:rsidR="00E2222D" w:rsidRDefault="006A7614" w:rsidP="00907F25">
      <w:pPr>
        <w:spacing w:after="240" w:line="360" w:lineRule="auto"/>
        <w:jc w:val="both"/>
        <w:rPr>
          <w:rFonts w:ascii="ITC Avant Garde" w:eastAsia="Times New Roman" w:hAnsi="ITC Avant Garde"/>
          <w:bCs/>
          <w:color w:val="000000"/>
          <w:lang w:val="x-none" w:eastAsia="es-MX"/>
        </w:rPr>
      </w:pPr>
      <w:r w:rsidRPr="006A7614">
        <w:rPr>
          <w:rFonts w:ascii="ITC Avant Garde" w:eastAsia="Times New Roman" w:hAnsi="ITC Avant Garde"/>
          <w:bCs/>
          <w:color w:val="000000"/>
          <w:lang w:val="x-none" w:eastAsia="es-MX"/>
        </w:rPr>
        <w:t xml:space="preserve">En este sentido, a través del acuerdo de inicio de procedimiento, la Unidad de Cumplimiento dio a conocer a </w:t>
      </w:r>
      <w:r w:rsidR="00135140">
        <w:rPr>
          <w:rFonts w:ascii="ITC Avant Garde" w:eastAsia="Times New Roman" w:hAnsi="ITC Avant Garde"/>
          <w:b/>
          <w:bCs/>
          <w:color w:val="000000"/>
          <w:lang w:eastAsia="es-MX"/>
        </w:rPr>
        <w:t>MEGA CABLE</w:t>
      </w:r>
      <w:r w:rsidRPr="006A7614">
        <w:rPr>
          <w:rFonts w:ascii="ITC Avant Garde" w:eastAsia="Times New Roman" w:hAnsi="ITC Avant Garde"/>
          <w:bCs/>
          <w:color w:val="000000"/>
          <w:lang w:val="x-none" w:eastAsia="es-MX"/>
        </w:rPr>
        <w:t>, la conducta que presuntamente viola disposiciones</w:t>
      </w:r>
      <w:r w:rsidR="0038425B">
        <w:rPr>
          <w:rFonts w:ascii="ITC Avant Garde" w:eastAsia="Times New Roman" w:hAnsi="ITC Avant Garde"/>
          <w:bCs/>
          <w:color w:val="000000"/>
          <w:lang w:eastAsia="es-MX"/>
        </w:rPr>
        <w:t xml:space="preserve"> emitidas por este </w:t>
      </w:r>
      <w:r w:rsidR="00135140">
        <w:rPr>
          <w:rFonts w:ascii="ITC Avant Garde" w:eastAsia="Times New Roman" w:hAnsi="ITC Avant Garde"/>
          <w:b/>
          <w:bCs/>
          <w:color w:val="000000"/>
          <w:lang w:eastAsia="es-MX"/>
        </w:rPr>
        <w:t>Instituto</w:t>
      </w:r>
      <w:r w:rsidRPr="006A7614">
        <w:rPr>
          <w:rFonts w:ascii="ITC Avant Garde" w:eastAsia="Times New Roman" w:hAnsi="ITC Avant Garde"/>
          <w:bCs/>
          <w:color w:val="000000"/>
          <w:lang w:val="x-none" w:eastAsia="es-MX"/>
        </w:rPr>
        <w:t xml:space="preserve">, así como la sanción prevista en ley por la comisión de la misma. Por ello, se le otorgó un término de quince días hábiles para que en uso de su garantía de audiencia rindiera las pruebas y manifestara por escrito lo que a su derecho conviniera, de conformidad con el artículo 14 de la </w:t>
      </w:r>
      <w:r w:rsidRPr="006A7614">
        <w:rPr>
          <w:rFonts w:ascii="ITC Avant Garde" w:eastAsia="Times New Roman" w:hAnsi="ITC Avant Garde"/>
          <w:b/>
          <w:bCs/>
          <w:color w:val="000000"/>
          <w:lang w:val="x-none" w:eastAsia="es-MX"/>
        </w:rPr>
        <w:t>CPEUM,</w:t>
      </w:r>
      <w:r w:rsidRPr="006A7614">
        <w:rPr>
          <w:rFonts w:ascii="ITC Avant Garde" w:eastAsia="Times New Roman" w:hAnsi="ITC Avant Garde"/>
          <w:bCs/>
          <w:color w:val="000000"/>
          <w:lang w:val="x-none" w:eastAsia="es-MX"/>
        </w:rPr>
        <w:t xml:space="preserve"> en relación con el 72 de la </w:t>
      </w:r>
      <w:r w:rsidR="00135140">
        <w:rPr>
          <w:rFonts w:ascii="ITC Avant Garde" w:eastAsia="Times New Roman" w:hAnsi="ITC Avant Garde"/>
          <w:b/>
          <w:bCs/>
          <w:color w:val="000000"/>
          <w:lang w:val="x-none" w:eastAsia="es-MX"/>
        </w:rPr>
        <w:t>LFP</w:t>
      </w:r>
      <w:r w:rsidR="00C2594E">
        <w:rPr>
          <w:rFonts w:ascii="ITC Avant Garde" w:eastAsia="Times New Roman" w:hAnsi="ITC Avant Garde"/>
          <w:b/>
          <w:bCs/>
          <w:color w:val="000000"/>
          <w:lang w:eastAsia="es-MX"/>
        </w:rPr>
        <w:t>A</w:t>
      </w:r>
      <w:r w:rsidRPr="006A7614">
        <w:rPr>
          <w:rFonts w:ascii="ITC Avant Garde" w:eastAsia="Times New Roman" w:hAnsi="ITC Avant Garde"/>
          <w:bCs/>
          <w:color w:val="000000"/>
          <w:lang w:val="x-none" w:eastAsia="es-MX"/>
        </w:rPr>
        <w:t>.</w:t>
      </w:r>
    </w:p>
    <w:p w14:paraId="7E5A9B97" w14:textId="77777777" w:rsidR="00E2222D" w:rsidRDefault="006A7614" w:rsidP="00907F25">
      <w:pPr>
        <w:spacing w:after="240" w:line="360" w:lineRule="auto"/>
        <w:jc w:val="both"/>
        <w:rPr>
          <w:rFonts w:ascii="ITC Avant Garde" w:eastAsia="Times New Roman" w:hAnsi="ITC Avant Garde"/>
          <w:bCs/>
          <w:color w:val="000000"/>
          <w:lang w:val="x-none" w:eastAsia="es-MX"/>
        </w:rPr>
      </w:pPr>
      <w:r w:rsidRPr="006A7614">
        <w:rPr>
          <w:rFonts w:ascii="ITC Avant Garde" w:eastAsia="Times New Roman" w:hAnsi="ITC Avant Garde"/>
          <w:bCs/>
          <w:color w:val="000000"/>
          <w:lang w:val="x-none" w:eastAsia="es-MX"/>
        </w:rPr>
        <w:t xml:space="preserve">Concluido el periodo de pruebas, de acuerdo con lo que dispone el artículo 56 de la </w:t>
      </w:r>
      <w:r w:rsidRPr="006A7614">
        <w:rPr>
          <w:rFonts w:ascii="ITC Avant Garde" w:eastAsia="Times New Roman" w:hAnsi="ITC Avant Garde"/>
          <w:b/>
          <w:bCs/>
          <w:color w:val="000000"/>
          <w:lang w:val="x-none" w:eastAsia="es-MX"/>
        </w:rPr>
        <w:t>LFPA</w:t>
      </w:r>
      <w:r w:rsidRPr="006A7614">
        <w:rPr>
          <w:rFonts w:ascii="ITC Avant Garde" w:eastAsia="Times New Roman" w:hAnsi="ITC Avant Garde"/>
          <w:bCs/>
          <w:color w:val="000000"/>
          <w:lang w:val="x-none" w:eastAsia="es-MX"/>
        </w:rPr>
        <w:t>, la Unidad de Cumplimiento puso las actuaciones a disposición del interesado, para que éste formulara sus alegatos.</w:t>
      </w:r>
    </w:p>
    <w:p w14:paraId="00119A45" w14:textId="77777777" w:rsidR="00E2222D" w:rsidRDefault="006A7614" w:rsidP="00907F25">
      <w:pPr>
        <w:spacing w:after="240" w:line="360" w:lineRule="auto"/>
        <w:jc w:val="both"/>
        <w:rPr>
          <w:rFonts w:ascii="ITC Avant Garde" w:eastAsia="Times New Roman" w:hAnsi="ITC Avant Garde"/>
          <w:bCs/>
          <w:color w:val="000000"/>
          <w:lang w:val="x-none" w:eastAsia="es-MX"/>
        </w:rPr>
      </w:pPr>
      <w:r w:rsidRPr="006A7614">
        <w:rPr>
          <w:rFonts w:ascii="ITC Avant Garde" w:eastAsia="Times New Roman" w:hAnsi="ITC Avant Garde"/>
          <w:bCs/>
          <w:color w:val="000000"/>
          <w:lang w:val="x-none" w:eastAsia="es-MX"/>
        </w:rPr>
        <w:t>Una vez desahogado el periodo probatorio y vencido el plazo para formular alegatos, la Unidad de Cumplimiento remitió el expediente de mérito para dictar la resolución que en derecho corresponda.</w:t>
      </w:r>
    </w:p>
    <w:p w14:paraId="52351E83" w14:textId="77777777" w:rsidR="00E2222D" w:rsidRDefault="006A7614" w:rsidP="00907F25">
      <w:pPr>
        <w:spacing w:after="240" w:line="360" w:lineRule="auto"/>
        <w:jc w:val="both"/>
        <w:rPr>
          <w:rFonts w:ascii="ITC Avant Garde" w:eastAsia="Times New Roman" w:hAnsi="ITC Avant Garde"/>
          <w:bCs/>
          <w:color w:val="000000"/>
          <w:lang w:val="x-none" w:eastAsia="es-MX"/>
        </w:rPr>
      </w:pPr>
      <w:r w:rsidRPr="006A7614">
        <w:rPr>
          <w:rFonts w:ascii="ITC Avant Garde" w:eastAsia="Times New Roman" w:hAnsi="ITC Avant Garde"/>
          <w:bCs/>
          <w:color w:val="000000"/>
          <w:lang w:val="x-none" w:eastAsia="es-MX"/>
        </w:rPr>
        <w:t xml:space="preserve">Bajo ese contexto, el procedimiento administrativo de imposición de sanciones que se sustancia se realizó conforme a los términos y principios procesales que establece la </w:t>
      </w:r>
      <w:r w:rsidRPr="00247945">
        <w:rPr>
          <w:rFonts w:ascii="ITC Avant Garde" w:eastAsia="Times New Roman" w:hAnsi="ITC Avant Garde"/>
          <w:b/>
          <w:bCs/>
          <w:color w:val="000000"/>
          <w:lang w:val="x-none" w:eastAsia="es-MX"/>
        </w:rPr>
        <w:t>LFPA</w:t>
      </w:r>
      <w:r w:rsidRPr="006A7614">
        <w:rPr>
          <w:rFonts w:ascii="ITC Avant Garde" w:eastAsia="Times New Roman" w:hAnsi="ITC Avant Garde"/>
          <w:bCs/>
          <w:color w:val="000000"/>
          <w:lang w:val="x-none" w:eastAsia="es-MX"/>
        </w:rPr>
        <w:t xml:space="preserve"> consistentes en: i) otorgar garantía de audiencia al presunto infractor; ii) </w:t>
      </w:r>
      <w:r w:rsidRPr="006A7614">
        <w:rPr>
          <w:rFonts w:ascii="ITC Avant Garde" w:eastAsia="Times New Roman" w:hAnsi="ITC Avant Garde"/>
          <w:bCs/>
          <w:color w:val="000000"/>
          <w:lang w:val="x-none" w:eastAsia="es-MX"/>
        </w:rPr>
        <w:lastRenderedPageBreak/>
        <w:t>desahogar pruebas; iii) recibir alegatos y iv) emitir la resolución que en derecho corresponda.</w:t>
      </w:r>
      <w:r w:rsidRPr="006A7614">
        <w:rPr>
          <w:rFonts w:ascii="ITC Avant Garde" w:eastAsia="Times New Roman" w:hAnsi="ITC Avant Garde"/>
          <w:bCs/>
          <w:color w:val="000000"/>
          <w:vertAlign w:val="superscript"/>
          <w:lang w:val="x-none" w:eastAsia="es-MX"/>
        </w:rPr>
        <w:footnoteReference w:id="7"/>
      </w:r>
    </w:p>
    <w:p w14:paraId="6D1D8999" w14:textId="77777777" w:rsidR="00E2222D" w:rsidRDefault="006A7614" w:rsidP="00E12243">
      <w:pPr>
        <w:spacing w:after="120" w:line="360" w:lineRule="auto"/>
        <w:jc w:val="both"/>
        <w:rPr>
          <w:rFonts w:ascii="ITC Avant Garde" w:eastAsia="Times New Roman" w:hAnsi="ITC Avant Garde"/>
          <w:bCs/>
          <w:color w:val="000000"/>
          <w:lang w:val="x-none" w:eastAsia="es-MX"/>
        </w:rPr>
      </w:pPr>
      <w:r w:rsidRPr="006A7614">
        <w:rPr>
          <w:rFonts w:ascii="ITC Avant Garde" w:eastAsia="Times New Roman" w:hAnsi="ITC Avant Garde"/>
          <w:bCs/>
          <w:color w:val="000000"/>
          <w:lang w:val="x-none" w:eastAsia="es-MX"/>
        </w:rPr>
        <w:t xml:space="preserve">En las relatadas condiciones, al tramitarse el procedimiento administrativo de imposición de sanción bajo las anteriores premisas, debe tenerse por satisfecho el cumplimiento de lo dispuesto en la </w:t>
      </w:r>
      <w:r w:rsidRPr="006A7614">
        <w:rPr>
          <w:rFonts w:ascii="ITC Avant Garde" w:eastAsia="Times New Roman" w:hAnsi="ITC Avant Garde"/>
          <w:b/>
          <w:bCs/>
          <w:color w:val="000000"/>
          <w:lang w:val="x-none" w:eastAsia="es-MX"/>
        </w:rPr>
        <w:t>CPEUM</w:t>
      </w:r>
      <w:r w:rsidRPr="006A7614">
        <w:rPr>
          <w:rFonts w:ascii="ITC Avant Garde" w:eastAsia="Times New Roman" w:hAnsi="ITC Avant Garde"/>
          <w:bCs/>
          <w:color w:val="000000"/>
          <w:lang w:val="x-none" w:eastAsia="es-MX"/>
        </w:rPr>
        <w:t>, las leyes ordinarias y los criterios judiciales que señalan cuál debe ser el actuar de la autoridad para resolver el presente caso.</w:t>
      </w:r>
    </w:p>
    <w:p w14:paraId="78B99471" w14:textId="77777777" w:rsidR="00E2222D" w:rsidRDefault="007B37A1" w:rsidP="00E12243">
      <w:pPr>
        <w:tabs>
          <w:tab w:val="left" w:pos="851"/>
        </w:tabs>
        <w:spacing w:after="120" w:line="360" w:lineRule="auto"/>
        <w:jc w:val="both"/>
        <w:rPr>
          <w:rFonts w:ascii="ITC Avant Garde" w:eastAsia="Times New Roman" w:hAnsi="ITC Avant Garde"/>
          <w:b/>
          <w:bCs/>
          <w:color w:val="000000"/>
          <w:lang w:val="x-none" w:eastAsia="es-MX"/>
        </w:rPr>
      </w:pPr>
      <w:r>
        <w:rPr>
          <w:rFonts w:ascii="ITC Avant Garde" w:eastAsia="Times New Roman" w:hAnsi="ITC Avant Garde"/>
          <w:b/>
          <w:bCs/>
          <w:color w:val="000000"/>
          <w:lang w:eastAsia="es-MX"/>
        </w:rPr>
        <w:t>CUARTO</w:t>
      </w:r>
      <w:r w:rsidR="006A7614" w:rsidRPr="006A7614">
        <w:rPr>
          <w:rFonts w:ascii="ITC Avant Garde" w:eastAsia="Times New Roman" w:hAnsi="ITC Avant Garde"/>
          <w:b/>
          <w:bCs/>
          <w:color w:val="000000"/>
          <w:lang w:val="x-none" w:eastAsia="es-MX"/>
        </w:rPr>
        <w:t xml:space="preserve">. </w:t>
      </w:r>
      <w:r w:rsidR="006A7614" w:rsidRPr="006A7614">
        <w:rPr>
          <w:rFonts w:ascii="ITC Avant Garde" w:eastAsia="Times New Roman" w:hAnsi="ITC Avant Garde"/>
          <w:b/>
          <w:bCs/>
          <w:smallCaps/>
          <w:color w:val="000000"/>
          <w:lang w:val="x-none" w:eastAsia="es-MX"/>
        </w:rPr>
        <w:t>Hechos motivo del procedimiento administrativo de imposición de sanción</w:t>
      </w:r>
      <w:r w:rsidR="006A7614" w:rsidRPr="006A7614">
        <w:rPr>
          <w:rFonts w:ascii="ITC Avant Garde" w:eastAsia="Times New Roman" w:hAnsi="ITC Avant Garde"/>
          <w:b/>
          <w:bCs/>
          <w:color w:val="000000"/>
          <w:lang w:val="x-none" w:eastAsia="es-MX"/>
        </w:rPr>
        <w:t>.</w:t>
      </w:r>
    </w:p>
    <w:p w14:paraId="4BDA35F5" w14:textId="77777777" w:rsidR="00E12243" w:rsidRDefault="006A7614" w:rsidP="00907F25">
      <w:pPr>
        <w:spacing w:after="240" w:line="360" w:lineRule="auto"/>
        <w:jc w:val="both"/>
        <w:rPr>
          <w:rFonts w:ascii="ITC Avant Garde" w:hAnsi="ITC Avant Garde" w:cs="Tahoma"/>
          <w:b/>
          <w:i/>
        </w:rPr>
        <w:sectPr w:rsidR="00E12243" w:rsidSect="00802C6F">
          <w:headerReference w:type="even" r:id="rId8"/>
          <w:footerReference w:type="default" r:id="rId9"/>
          <w:headerReference w:type="first" r:id="rId10"/>
          <w:pgSz w:w="12240" w:h="15840"/>
          <w:pgMar w:top="2126" w:right="1325" w:bottom="1701" w:left="1701" w:header="709" w:footer="962" w:gutter="0"/>
          <w:cols w:space="708"/>
          <w:docGrid w:linePitch="360"/>
        </w:sectPr>
      </w:pPr>
      <w:r w:rsidRPr="00953D02">
        <w:rPr>
          <w:rFonts w:ascii="ITC Avant Garde" w:hAnsi="ITC Avant Garde"/>
        </w:rPr>
        <w:t>Mediante oficio</w:t>
      </w:r>
      <w:r w:rsidR="000D42F0" w:rsidRPr="00953D02">
        <w:rPr>
          <w:rFonts w:ascii="ITC Avant Garde" w:hAnsi="ITC Avant Garde" w:cs="Arial"/>
        </w:rPr>
        <w:t xml:space="preserve"> </w:t>
      </w:r>
      <w:r w:rsidR="000D42F0" w:rsidRPr="00953D02">
        <w:rPr>
          <w:rFonts w:ascii="ITC Avant Garde" w:hAnsi="ITC Avant Garde" w:cs="Arial"/>
          <w:b/>
        </w:rPr>
        <w:t>IFT/225/UC/DG-VER/</w:t>
      </w:r>
      <w:r w:rsidR="00340DA4">
        <w:rPr>
          <w:rFonts w:ascii="ITC Avant Garde" w:hAnsi="ITC Avant Garde" w:cs="Arial"/>
          <w:b/>
        </w:rPr>
        <w:t>5395</w:t>
      </w:r>
      <w:r w:rsidR="000D42F0" w:rsidRPr="00953D02">
        <w:rPr>
          <w:rFonts w:ascii="ITC Avant Garde" w:hAnsi="ITC Avant Garde" w:cs="Arial"/>
          <w:b/>
        </w:rPr>
        <w:t>/2015</w:t>
      </w:r>
      <w:r w:rsidR="000D42F0" w:rsidRPr="00953D02">
        <w:rPr>
          <w:rFonts w:ascii="ITC Avant Garde" w:hAnsi="ITC Avant Garde" w:cs="Arial"/>
        </w:rPr>
        <w:t xml:space="preserve"> de </w:t>
      </w:r>
      <w:r w:rsidR="00340DA4">
        <w:rPr>
          <w:rFonts w:ascii="ITC Avant Garde" w:hAnsi="ITC Avant Garde" w:cs="Arial"/>
        </w:rPr>
        <w:t>tres de diciembre</w:t>
      </w:r>
      <w:r w:rsidR="000D42F0" w:rsidRPr="00953D02">
        <w:rPr>
          <w:rFonts w:ascii="ITC Avant Garde" w:hAnsi="ITC Avant Garde" w:cs="Arial"/>
        </w:rPr>
        <w:t xml:space="preserve"> de dos mil quince, </w:t>
      </w:r>
      <w:r w:rsidR="0050120A" w:rsidRPr="00953D02">
        <w:rPr>
          <w:rFonts w:ascii="ITC Avant Garde" w:hAnsi="ITC Avant Garde"/>
        </w:rPr>
        <w:t>la</w:t>
      </w:r>
      <w:r w:rsidRPr="00953D02">
        <w:rPr>
          <w:rFonts w:ascii="ITC Avant Garde" w:hAnsi="ITC Avant Garde" w:cs="Tahoma"/>
        </w:rPr>
        <w:t xml:space="preserve"> </w:t>
      </w:r>
      <w:r w:rsidR="00340DA4">
        <w:rPr>
          <w:rFonts w:ascii="ITC Avant Garde" w:hAnsi="ITC Avant Garde" w:cs="Tahoma"/>
          <w:b/>
        </w:rPr>
        <w:t>DGV</w:t>
      </w:r>
      <w:r w:rsidRPr="00953D02">
        <w:rPr>
          <w:rFonts w:ascii="ITC Avant Garde" w:hAnsi="ITC Avant Garde"/>
        </w:rPr>
        <w:t xml:space="preserve">, </w:t>
      </w:r>
      <w:r w:rsidRPr="00953D02">
        <w:rPr>
          <w:rFonts w:ascii="ITC Avant Garde" w:hAnsi="ITC Avant Garde" w:cs="Tahoma"/>
        </w:rPr>
        <w:t xml:space="preserve">ordenó la visita de inspección-verificación ordinaria </w:t>
      </w:r>
      <w:r w:rsidR="0051132B">
        <w:rPr>
          <w:rFonts w:ascii="ITC Avant Garde" w:hAnsi="ITC Avant Garde" w:cs="Arial"/>
          <w:b/>
        </w:rPr>
        <w:t>IFT/DF/DGV/1299/2015</w:t>
      </w:r>
      <w:r w:rsidR="000D42F0" w:rsidRPr="00953D02">
        <w:rPr>
          <w:rFonts w:ascii="ITC Avant Garde" w:hAnsi="ITC Avant Garde" w:cs="Arial"/>
          <w:b/>
        </w:rPr>
        <w:t>,</w:t>
      </w:r>
      <w:r w:rsidRPr="00953D02">
        <w:rPr>
          <w:rFonts w:ascii="ITC Avant Garde" w:hAnsi="ITC Avant Garde" w:cs="Tahoma"/>
        </w:rPr>
        <w:t xml:space="preserve"> con el objeto de</w:t>
      </w:r>
      <w:r w:rsidR="00A13B90">
        <w:rPr>
          <w:rFonts w:ascii="ITC Avant Garde" w:hAnsi="ITC Avant Garde" w:cs="Tahoma"/>
        </w:rPr>
        <w:t>, entre otros,</w:t>
      </w:r>
      <w:r w:rsidR="004B66EB">
        <w:rPr>
          <w:rFonts w:ascii="ITC Avant Garde" w:hAnsi="ITC Avant Garde" w:cs="Tahoma"/>
        </w:rPr>
        <w:t xml:space="preserve"> </w:t>
      </w:r>
      <w:r w:rsidR="00340DA4" w:rsidRPr="00340DA4">
        <w:rPr>
          <w:rFonts w:ascii="ITC Avant Garde" w:hAnsi="ITC Avant Garde" w:cs="Tahoma"/>
          <w:b/>
          <w:i/>
        </w:rPr>
        <w:t>“…</w:t>
      </w:r>
      <w:r w:rsidR="00A13B90">
        <w:rPr>
          <w:rFonts w:ascii="ITC Avant Garde" w:hAnsi="ITC Avant Garde" w:cs="Tahoma"/>
          <w:b/>
          <w:i/>
        </w:rPr>
        <w:t xml:space="preserve"> </w:t>
      </w:r>
      <w:r w:rsidR="00340DA4" w:rsidRPr="00340DA4">
        <w:rPr>
          <w:rFonts w:ascii="ITC Avant Garde" w:hAnsi="ITC Avant Garde" w:cs="Tahoma"/>
          <w:b/>
          <w:i/>
        </w:rPr>
        <w:t xml:space="preserve">constatar que LA VISITADA cumpla con lo dispuesto en los artículos 5, 11 y 12 de los “LINEAMIENTOS GENERALES EN RELACIÓN CON LO DISPUESTO POR LA FRACCIÓN I DEL ARTÍCULO OCTAVO TRANSITORIO DEL DECRETO POR EL QUE REFORMAN Y ADICIONAN DIVERSAS DISPOSICIONES DE LOS ARTÍCULOS 6°, 7°, 27, 28, 73, 78, 94 Y 105 DE LA CONSTITUCIÓN POLÍTICA DE LOS ESTADOS UNIDOS MEXICANOS, EN MATERIA DE TELECOMUNICACIONES” (en adelante “LOS LINEAMIENTOS”) emitidos mediante acuerdo publicado en el D.O.F. el 27 de febrero de 2014, así como sus modificaciones contenidas en el  “ACUERDO por el que el Pleno del Instituto Federal de Telecomunicaciones modifica los Lineamientos generales en relación con lo dispuesto por la fracción I del artículo octavo transitorio del Decreto por el que se reforman y adicionan diversas disposiciones de los artículos 6º, 7º, 27, 28, 73, 78, 94 y 105 de la Constitución Política de los Estados Unidos Mexicanos, en Materia de Telecomunicaciones.”, publicado en el D.O.F. el 06 de febrero de 2015; así como el cumplimiento al “LISTADO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se </w:t>
      </w:r>
    </w:p>
    <w:p w14:paraId="1EDF70FC" w14:textId="465F29FA" w:rsidR="00E2222D" w:rsidRDefault="00340DA4" w:rsidP="00907F25">
      <w:pPr>
        <w:spacing w:after="240" w:line="360" w:lineRule="auto"/>
        <w:jc w:val="both"/>
        <w:rPr>
          <w:rFonts w:ascii="ITC Avant Garde" w:hAnsi="ITC Avant Garde" w:cs="Calibri"/>
          <w:b/>
          <w:i/>
        </w:rPr>
      </w:pPr>
      <w:r w:rsidRPr="00340DA4">
        <w:rPr>
          <w:rFonts w:ascii="ITC Avant Garde" w:hAnsi="ITC Avant Garde" w:cs="Tahoma"/>
          <w:b/>
          <w:i/>
        </w:rPr>
        <w:lastRenderedPageBreak/>
        <w:t xml:space="preserve">reforman y adicionan diversas disposiciones de los artículos 6º, 7º, 27, 28, 73, 78, 94 y 105 de la Constitución Política de los Estados Unidos Mexicanos, en Materia de Telecomunicaciones, publicado en el D.O.F. el 27 de febrero de 2014”, publicado en el D.O.F. el 06 mayo de 2014, y sus correspondientes actualizaciones contenidas en la “Actualización del Listado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se reforman y adicionan diversas disposiciones de los artículos 6º, 7º, 27, 28, 73, 78, 94 y 105 de la Constitución Política de los Estados Unidos Mexicanos, en Materia de Telecomunicaciones, publicado en el D.O.F. el 27 de febrero de 2014, publicado el 06 mayo de 2014.”, con fechas de publicación en el D.O.F. el 21 de octubre de 2014 y el 20 de noviembre de 2015, lo anterior en términos de lo dispuesto por el artículo 12 de “LOS LINEAMIENTOS”; asimismo constatar y verificar la retransmisión de las señales radiodifundidas, así como las señales de Instituciones Públicas Federales de manera continua y con apego a los artículos 5, 11 y 12 de los “LINEAMIENTOS” y “EL LISTADO”, tras la terminación de trasmisiones analógicas en las áreas de cobertura de diversas estaciones de televisión radiodifundida que prestan el servicio de televisión radiodifundida en San Felipe en el Estado de Baja California, Ciudad Allende, Parras de la Fuente y Saltillo en el Estado de Coahuila, Celaya y León en el Estado de Guanajuato, Querétaro y Agua Prieta y Caborca en el Estado de Sonora.”, publicado en el DOF el 13 de noviembre de 2015.” </w:t>
      </w:r>
      <w:r w:rsidRPr="00340DA4">
        <w:rPr>
          <w:rFonts w:ascii="ITC Avant Garde" w:hAnsi="ITC Avant Garde" w:cs="Tahoma"/>
        </w:rPr>
        <w:t>(sic)</w:t>
      </w:r>
      <w:r w:rsidR="002D3132" w:rsidRPr="00953D02" w:rsidDel="002D3132">
        <w:rPr>
          <w:rFonts w:ascii="ITC Avant Garde" w:hAnsi="ITC Avant Garde" w:cs="Arial"/>
          <w:b/>
          <w:i/>
        </w:rPr>
        <w:t xml:space="preserve"> </w:t>
      </w:r>
    </w:p>
    <w:p w14:paraId="40877330" w14:textId="51C2EC04" w:rsidR="00E2222D" w:rsidRDefault="006A7614" w:rsidP="00907F25">
      <w:pPr>
        <w:spacing w:after="240" w:line="360" w:lineRule="auto"/>
        <w:jc w:val="both"/>
        <w:rPr>
          <w:rFonts w:ascii="ITC Avant Garde" w:eastAsia="Times New Roman" w:hAnsi="ITC Avant Garde"/>
          <w:bCs/>
          <w:color w:val="000000"/>
          <w:lang w:eastAsia="es-MX"/>
        </w:rPr>
      </w:pPr>
      <w:r w:rsidRPr="006A7614">
        <w:rPr>
          <w:rFonts w:ascii="ITC Avant Garde" w:eastAsia="Times New Roman" w:hAnsi="ITC Avant Garde"/>
          <w:bCs/>
          <w:color w:val="000000"/>
          <w:lang w:eastAsia="es-MX"/>
        </w:rPr>
        <w:t xml:space="preserve">En cumplimiento al oficio </w:t>
      </w:r>
      <w:r w:rsidR="0038425B" w:rsidRPr="000E3A2D">
        <w:rPr>
          <w:rFonts w:ascii="ITC Avant Garde" w:eastAsia="Times New Roman" w:hAnsi="ITC Avant Garde"/>
          <w:bCs/>
          <w:color w:val="000000"/>
          <w:lang w:eastAsia="es-MX"/>
        </w:rPr>
        <w:t xml:space="preserve">antes </w:t>
      </w:r>
      <w:r w:rsidRPr="000E3A2D">
        <w:rPr>
          <w:rFonts w:ascii="ITC Avant Garde" w:eastAsia="Times New Roman" w:hAnsi="ITC Avant Garde"/>
          <w:bCs/>
          <w:color w:val="000000"/>
          <w:lang w:eastAsia="es-MX"/>
        </w:rPr>
        <w:t xml:space="preserve">precisado, </w:t>
      </w:r>
      <w:r w:rsidRPr="000E3A2D">
        <w:rPr>
          <w:rFonts w:ascii="ITC Avant Garde" w:eastAsia="Times New Roman" w:hAnsi="ITC Avant Garde"/>
          <w:b/>
          <w:bCs/>
          <w:color w:val="000000"/>
          <w:lang w:eastAsia="es-MX"/>
        </w:rPr>
        <w:t>LOS</w:t>
      </w:r>
      <w:r w:rsidRPr="000E3A2D">
        <w:rPr>
          <w:rFonts w:ascii="ITC Avant Garde" w:eastAsia="Times New Roman" w:hAnsi="ITC Avant Garde"/>
          <w:bCs/>
          <w:color w:val="000000"/>
          <w:lang w:eastAsia="es-MX"/>
        </w:rPr>
        <w:t xml:space="preserve"> </w:t>
      </w:r>
      <w:r w:rsidRPr="000E3A2D">
        <w:rPr>
          <w:rFonts w:ascii="ITC Avant Garde" w:eastAsia="Times New Roman" w:hAnsi="ITC Avant Garde"/>
          <w:b/>
          <w:bCs/>
          <w:color w:val="000000"/>
          <w:lang w:eastAsia="es-MX"/>
        </w:rPr>
        <w:t>VERIFICADORES</w:t>
      </w:r>
      <w:r w:rsidRPr="000E3A2D">
        <w:rPr>
          <w:rFonts w:ascii="ITC Avant Garde" w:eastAsia="Times New Roman" w:hAnsi="ITC Avant Garde"/>
          <w:bCs/>
          <w:color w:val="000000"/>
          <w:lang w:eastAsia="es-MX"/>
        </w:rPr>
        <w:t xml:space="preserve"> se constituyeron </w:t>
      </w:r>
      <w:r w:rsidRPr="000E3A2D">
        <w:rPr>
          <w:rFonts w:ascii="ITC Avant Garde" w:hAnsi="ITC Avant Garde"/>
        </w:rPr>
        <w:t xml:space="preserve">el </w:t>
      </w:r>
      <w:r w:rsidR="000E3A2D">
        <w:rPr>
          <w:rFonts w:ascii="ITC Avant Garde" w:hAnsi="ITC Avant Garde" w:cs="Arial"/>
        </w:rPr>
        <w:t>siete de diciembre</w:t>
      </w:r>
      <w:r w:rsidR="000D42F0" w:rsidRPr="000E3A2D">
        <w:rPr>
          <w:rFonts w:ascii="ITC Avant Garde" w:hAnsi="ITC Avant Garde" w:cs="Arial"/>
        </w:rPr>
        <w:t xml:space="preserve"> de dos mil quince</w:t>
      </w:r>
      <w:r w:rsidR="000F18B4" w:rsidRPr="000E3A2D">
        <w:rPr>
          <w:rFonts w:ascii="ITC Avant Garde" w:hAnsi="ITC Avant Garde"/>
        </w:rPr>
        <w:t>,</w:t>
      </w:r>
      <w:r w:rsidRPr="000E3A2D">
        <w:rPr>
          <w:rFonts w:ascii="ITC Avant Garde" w:hAnsi="ITC Avant Garde"/>
        </w:rPr>
        <w:t xml:space="preserve"> en el domicilio</w:t>
      </w:r>
      <w:r w:rsidRPr="006A7614">
        <w:rPr>
          <w:rFonts w:ascii="ITC Avant Garde" w:hAnsi="ITC Avant Garde"/>
        </w:rPr>
        <w:t xml:space="preserve"> de </w:t>
      </w:r>
      <w:r w:rsidR="00340DA4">
        <w:rPr>
          <w:rFonts w:ascii="ITC Avant Garde" w:eastAsia="Times New Roman" w:hAnsi="ITC Avant Garde"/>
          <w:b/>
          <w:bCs/>
          <w:color w:val="000000"/>
          <w:lang w:eastAsia="es-MX"/>
        </w:rPr>
        <w:t>MEGA CABLE</w:t>
      </w:r>
      <w:r w:rsidRPr="006A7614">
        <w:rPr>
          <w:rFonts w:ascii="ITC Avant Garde" w:hAnsi="ITC Avant Garde"/>
        </w:rPr>
        <w:t xml:space="preserve"> </w:t>
      </w:r>
      <w:r w:rsidRPr="006A7614">
        <w:rPr>
          <w:rFonts w:ascii="ITC Avant Garde" w:eastAsia="Times New Roman" w:hAnsi="ITC Avant Garde"/>
          <w:bCs/>
          <w:color w:val="000000"/>
          <w:lang w:eastAsia="es-MX"/>
        </w:rPr>
        <w:t>ubicado en</w:t>
      </w:r>
      <w:r w:rsidR="0050120A" w:rsidRPr="0050120A">
        <w:rPr>
          <w:rFonts w:ascii="ITC Avant Garde" w:eastAsia="Times New Roman" w:hAnsi="ITC Avant Garde"/>
          <w:bCs/>
          <w:color w:val="000000"/>
          <w:lang w:eastAsia="es-MX"/>
        </w:rPr>
        <w:t xml:space="preserve"> </w:t>
      </w:r>
      <w:r w:rsidR="000D42F0">
        <w:rPr>
          <w:rFonts w:ascii="ITC Avant Garde" w:eastAsia="Times New Roman" w:hAnsi="ITC Avant Garde"/>
          <w:bCs/>
          <w:color w:val="000000"/>
          <w:lang w:eastAsia="es-MX"/>
        </w:rPr>
        <w:t>Boulevard de los Virreyes Número 145, Segundo Piso, Colonia Lomas de Chapultepec, Código Postal</w:t>
      </w:r>
      <w:r w:rsidR="000D42F0" w:rsidDel="00A215A2">
        <w:rPr>
          <w:rFonts w:ascii="ITC Avant Garde" w:eastAsia="Times New Roman" w:hAnsi="ITC Avant Garde"/>
          <w:bCs/>
          <w:color w:val="000000"/>
          <w:lang w:eastAsia="es-MX"/>
        </w:rPr>
        <w:t xml:space="preserve"> </w:t>
      </w:r>
      <w:r w:rsidR="000D42F0">
        <w:rPr>
          <w:rFonts w:ascii="ITC Avant Garde" w:eastAsia="Times New Roman" w:hAnsi="ITC Avant Garde"/>
          <w:bCs/>
          <w:color w:val="000000"/>
          <w:lang w:eastAsia="es-MX"/>
        </w:rPr>
        <w:t>11000</w:t>
      </w:r>
      <w:r w:rsidR="000D42F0" w:rsidRPr="0070341D">
        <w:rPr>
          <w:rFonts w:ascii="ITC Avant Garde" w:eastAsia="Times New Roman" w:hAnsi="ITC Avant Garde"/>
          <w:bCs/>
          <w:color w:val="000000"/>
          <w:lang w:eastAsia="es-MX"/>
        </w:rPr>
        <w:t>, México, D</w:t>
      </w:r>
      <w:r w:rsidR="000D42F0">
        <w:rPr>
          <w:rFonts w:ascii="ITC Avant Garde" w:eastAsia="Times New Roman" w:hAnsi="ITC Avant Garde"/>
          <w:bCs/>
          <w:color w:val="000000"/>
          <w:lang w:eastAsia="es-MX"/>
        </w:rPr>
        <w:t xml:space="preserve">istrito </w:t>
      </w:r>
      <w:r w:rsidR="000D42F0" w:rsidRPr="0070341D">
        <w:rPr>
          <w:rFonts w:ascii="ITC Avant Garde" w:eastAsia="Times New Roman" w:hAnsi="ITC Avant Garde"/>
          <w:bCs/>
          <w:color w:val="000000"/>
          <w:lang w:eastAsia="es-MX"/>
        </w:rPr>
        <w:t>F</w:t>
      </w:r>
      <w:r w:rsidR="000D42F0">
        <w:rPr>
          <w:rFonts w:ascii="ITC Avant Garde" w:eastAsia="Times New Roman" w:hAnsi="ITC Avant Garde"/>
          <w:bCs/>
          <w:color w:val="000000"/>
          <w:lang w:eastAsia="es-MX"/>
        </w:rPr>
        <w:t xml:space="preserve">ederal </w:t>
      </w:r>
      <w:r w:rsidR="000E3A2D">
        <w:rPr>
          <w:rFonts w:ascii="ITC Avant Garde" w:eastAsia="Times New Roman" w:hAnsi="ITC Avant Garde"/>
          <w:bCs/>
          <w:color w:val="000000"/>
          <w:lang w:eastAsia="es-MX"/>
        </w:rPr>
        <w:t>(</w:t>
      </w:r>
      <w:r w:rsidR="000D42F0">
        <w:rPr>
          <w:rFonts w:ascii="ITC Avant Garde" w:eastAsia="Times New Roman" w:hAnsi="ITC Avant Garde"/>
          <w:bCs/>
          <w:color w:val="000000"/>
          <w:lang w:eastAsia="es-MX"/>
        </w:rPr>
        <w:t>actualmente Ciudad de México</w:t>
      </w:r>
      <w:r w:rsidR="000E3A2D">
        <w:rPr>
          <w:rFonts w:ascii="ITC Avant Garde" w:eastAsia="Times New Roman" w:hAnsi="ITC Avant Garde"/>
          <w:bCs/>
          <w:color w:val="000000"/>
          <w:lang w:eastAsia="es-MX"/>
        </w:rPr>
        <w:t>)</w:t>
      </w:r>
      <w:r w:rsidRPr="006A7614">
        <w:rPr>
          <w:rFonts w:ascii="ITC Avant Garde" w:eastAsia="Times New Roman" w:hAnsi="ITC Avant Garde"/>
          <w:bCs/>
          <w:color w:val="000000"/>
          <w:lang w:eastAsia="es-MX"/>
        </w:rPr>
        <w:t xml:space="preserve"> </w:t>
      </w:r>
      <w:r w:rsidRPr="006A7614">
        <w:rPr>
          <w:rFonts w:ascii="ITC Avant Garde" w:hAnsi="ITC Avant Garde"/>
        </w:rPr>
        <w:t xml:space="preserve">y una vez que se identificaron, fueron atendidos por </w:t>
      </w:r>
      <w:r w:rsidR="001A1902">
        <w:rPr>
          <w:rFonts w:ascii="ITC Avant Garde" w:eastAsia="Times New Roman" w:hAnsi="ITC Avant Garde"/>
          <w:bCs/>
          <w:color w:val="000000"/>
          <w:lang w:eastAsia="es-MX"/>
        </w:rPr>
        <w:t>la</w:t>
      </w:r>
      <w:r w:rsidR="00597B8D" w:rsidRPr="00E0607B">
        <w:rPr>
          <w:rFonts w:ascii="ITC Avant Garde" w:eastAsia="Times New Roman" w:hAnsi="ITC Avant Garde"/>
          <w:bCs/>
          <w:color w:val="000000"/>
          <w:lang w:eastAsia="es-MX"/>
        </w:rPr>
        <w:t xml:space="preserve"> </w:t>
      </w:r>
      <w:r w:rsidR="00597B8D" w:rsidRPr="00597B8D">
        <w:rPr>
          <w:rFonts w:ascii="ITC Avant Garde" w:eastAsia="Times New Roman" w:hAnsi="ITC Avant Garde"/>
          <w:b/>
          <w:bCs/>
          <w:color w:val="000000"/>
          <w:lang w:eastAsia="es-MX"/>
        </w:rPr>
        <w:t>C.</w:t>
      </w:r>
      <w:r w:rsidR="00597B8D" w:rsidRPr="00E0607B">
        <w:rPr>
          <w:rFonts w:ascii="ITC Avant Garde" w:eastAsia="Times New Roman" w:hAnsi="ITC Avant Garde"/>
          <w:bCs/>
          <w:color w:val="000000"/>
          <w:lang w:eastAsia="es-MX"/>
        </w:rPr>
        <w:t xml:space="preserve"> </w:t>
      </w:r>
      <w:r w:rsidR="009E3863">
        <w:rPr>
          <w:rFonts w:ascii="ITC Avant Garde" w:hAnsi="ITC Avant Garde"/>
          <w:b/>
          <w:bCs/>
          <w:color w:val="0000FF"/>
        </w:rPr>
        <w:t>“CONFIDENCIAL POR LEY”</w:t>
      </w:r>
      <w:r w:rsidR="00597B8D" w:rsidRPr="00524B87">
        <w:rPr>
          <w:rFonts w:ascii="ITC Avant Garde" w:eastAsia="Times New Roman" w:hAnsi="ITC Avant Garde"/>
          <w:bCs/>
          <w:color w:val="000000"/>
          <w:lang w:eastAsia="es-MX"/>
        </w:rPr>
        <w:t>, quien se identificó con credencial para votar</w:t>
      </w:r>
      <w:r w:rsidR="000F18B4" w:rsidRPr="000F18B4">
        <w:rPr>
          <w:rFonts w:ascii="ITC Avant Garde" w:hAnsi="ITC Avant Garde" w:cs="Arial"/>
        </w:rPr>
        <w:t xml:space="preserve">, </w:t>
      </w:r>
      <w:r w:rsidR="00597B8D" w:rsidRPr="00524B87">
        <w:rPr>
          <w:rFonts w:ascii="ITC Avant Garde" w:hAnsi="ITC Avant Garde"/>
        </w:rPr>
        <w:t xml:space="preserve">con </w:t>
      </w:r>
      <w:r w:rsidR="001A1902">
        <w:rPr>
          <w:rFonts w:ascii="ITC Avant Garde" w:hAnsi="ITC Avant Garde"/>
        </w:rPr>
        <w:t xml:space="preserve">número de folio </w:t>
      </w:r>
      <w:r w:rsidR="009E3863">
        <w:rPr>
          <w:rFonts w:ascii="ITC Avant Garde" w:hAnsi="ITC Avant Garde"/>
          <w:b/>
          <w:bCs/>
          <w:color w:val="0000FF"/>
        </w:rPr>
        <w:t>“CONFIDENCIAL POR LEY”</w:t>
      </w:r>
      <w:r w:rsidR="001A1902">
        <w:rPr>
          <w:rFonts w:ascii="ITC Avant Garde" w:hAnsi="ITC Avant Garde"/>
        </w:rPr>
        <w:t xml:space="preserve">, </w:t>
      </w:r>
      <w:r w:rsidR="00597B8D" w:rsidRPr="00524B87">
        <w:rPr>
          <w:rFonts w:ascii="ITC Avant Garde" w:eastAsia="Times New Roman" w:hAnsi="ITC Avant Garde"/>
          <w:bCs/>
          <w:color w:val="000000"/>
          <w:lang w:eastAsia="es-MX"/>
        </w:rPr>
        <w:t xml:space="preserve">expedida a su favor por el Registro Federal de Electores del entonces Instituto Federal </w:t>
      </w:r>
      <w:r w:rsidR="00597B8D" w:rsidRPr="00524B87">
        <w:rPr>
          <w:rFonts w:ascii="ITC Avant Garde" w:eastAsia="Times New Roman" w:hAnsi="ITC Avant Garde"/>
          <w:bCs/>
          <w:color w:val="000000"/>
          <w:lang w:eastAsia="es-MX"/>
        </w:rPr>
        <w:lastRenderedPageBreak/>
        <w:t xml:space="preserve">Electoral, quien manifestó tener el carácter de </w:t>
      </w:r>
      <w:r w:rsidR="009E3863">
        <w:rPr>
          <w:rFonts w:ascii="ITC Avant Garde" w:hAnsi="ITC Avant Garde"/>
          <w:b/>
          <w:bCs/>
          <w:color w:val="0000FF"/>
        </w:rPr>
        <w:t xml:space="preserve">“CONFIDENCIAL POR LEY” </w:t>
      </w:r>
      <w:r w:rsidR="001A1902">
        <w:rPr>
          <w:rFonts w:ascii="ITC Avant Garde" w:hAnsi="ITC Avant Garde"/>
        </w:rPr>
        <w:t xml:space="preserve">de </w:t>
      </w:r>
      <w:r w:rsidR="00340DA4">
        <w:rPr>
          <w:rFonts w:ascii="ITC Avant Garde" w:hAnsi="ITC Avant Garde"/>
          <w:b/>
        </w:rPr>
        <w:t>MEGA CABLE</w:t>
      </w:r>
      <w:r w:rsidR="00597B8D">
        <w:rPr>
          <w:rFonts w:ascii="ITC Avant Garde" w:eastAsia="Times New Roman" w:hAnsi="ITC Avant Garde"/>
          <w:b/>
          <w:bCs/>
          <w:color w:val="000000"/>
          <w:lang w:eastAsia="es-MX"/>
        </w:rPr>
        <w:t xml:space="preserve">, </w:t>
      </w:r>
      <w:r w:rsidR="001A1902" w:rsidRPr="001A1902">
        <w:rPr>
          <w:rFonts w:ascii="ITC Avant Garde" w:eastAsia="Times New Roman" w:hAnsi="ITC Avant Garde"/>
          <w:bCs/>
          <w:color w:val="000000"/>
          <w:lang w:eastAsia="es-MX"/>
        </w:rPr>
        <w:t xml:space="preserve">sin </w:t>
      </w:r>
      <w:r w:rsidR="00597B8D" w:rsidRPr="00524B87">
        <w:rPr>
          <w:rFonts w:ascii="ITC Avant Garde" w:eastAsia="Times New Roman" w:hAnsi="ITC Avant Garde"/>
          <w:bCs/>
          <w:color w:val="000000"/>
          <w:lang w:eastAsia="es-MX"/>
        </w:rPr>
        <w:t>acredita</w:t>
      </w:r>
      <w:r w:rsidR="001A1902">
        <w:rPr>
          <w:rFonts w:ascii="ITC Avant Garde" w:eastAsia="Times New Roman" w:hAnsi="ITC Avant Garde"/>
          <w:bCs/>
          <w:color w:val="000000"/>
          <w:lang w:eastAsia="es-MX"/>
        </w:rPr>
        <w:t>r</w:t>
      </w:r>
      <w:r w:rsidR="00597B8D" w:rsidRPr="00524B87">
        <w:rPr>
          <w:rFonts w:ascii="ITC Avant Garde" w:eastAsia="Times New Roman" w:hAnsi="ITC Avant Garde"/>
          <w:bCs/>
          <w:color w:val="000000"/>
          <w:lang w:eastAsia="es-MX"/>
        </w:rPr>
        <w:t xml:space="preserve"> su dicho</w:t>
      </w:r>
      <w:r w:rsidR="002D3132">
        <w:rPr>
          <w:rFonts w:ascii="ITC Avant Garde" w:eastAsia="Times New Roman" w:hAnsi="ITC Avant Garde"/>
          <w:bCs/>
          <w:color w:val="000000"/>
          <w:lang w:eastAsia="es-MX"/>
        </w:rPr>
        <w:t>.</w:t>
      </w:r>
      <w:r w:rsidR="009E3863" w:rsidRPr="009E3863">
        <w:rPr>
          <w:rFonts w:asciiTheme="minorHAnsi" w:hAnsiTheme="minorHAnsi" w:cstheme="minorHAnsi"/>
          <w:noProof/>
          <w:sz w:val="16"/>
        </w:rPr>
        <w:t xml:space="preserve"> </w:t>
      </w:r>
    </w:p>
    <w:p w14:paraId="602557C7" w14:textId="41FE9DED" w:rsidR="00E2222D" w:rsidRDefault="002D3132" w:rsidP="00907F25">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Al respecto, </w:t>
      </w:r>
      <w:r w:rsidRPr="006A7614">
        <w:rPr>
          <w:rFonts w:ascii="ITC Avant Garde" w:eastAsia="Times New Roman" w:hAnsi="ITC Avant Garde"/>
          <w:b/>
          <w:bCs/>
          <w:color w:val="000000"/>
          <w:lang w:eastAsia="es-MX"/>
        </w:rPr>
        <w:t>LOS</w:t>
      </w:r>
      <w:r w:rsidRPr="006A7614">
        <w:rPr>
          <w:rFonts w:ascii="ITC Avant Garde" w:eastAsia="Times New Roman" w:hAnsi="ITC Avant Garde"/>
          <w:bCs/>
          <w:color w:val="000000"/>
          <w:lang w:eastAsia="es-MX"/>
        </w:rPr>
        <w:t xml:space="preserve"> </w:t>
      </w:r>
      <w:r w:rsidRPr="006A7614">
        <w:rPr>
          <w:rFonts w:ascii="ITC Avant Garde" w:eastAsia="Times New Roman" w:hAnsi="ITC Avant Garde"/>
          <w:b/>
          <w:bCs/>
          <w:color w:val="000000"/>
          <w:lang w:eastAsia="es-MX"/>
        </w:rPr>
        <w:t>VERIFICADORES</w:t>
      </w:r>
      <w:r>
        <w:rPr>
          <w:rFonts w:ascii="ITC Avant Garde" w:eastAsia="Times New Roman" w:hAnsi="ITC Avant Garde"/>
          <w:bCs/>
          <w:color w:val="000000"/>
          <w:lang w:eastAsia="es-MX"/>
        </w:rPr>
        <w:t xml:space="preserve"> indicaron que </w:t>
      </w:r>
      <w:r>
        <w:rPr>
          <w:rFonts w:ascii="ITC Avant Garde" w:eastAsia="Times New Roman" w:hAnsi="ITC Avant Garde"/>
          <w:bCs/>
          <w:i/>
          <w:color w:val="000000"/>
          <w:lang w:eastAsia="es-MX"/>
        </w:rPr>
        <w:t>“En virtud de lo anterior y al no encontrarse el Representante Legal y atento</w:t>
      </w:r>
      <w:r w:rsidR="00340DA4">
        <w:rPr>
          <w:rFonts w:ascii="ITC Avant Garde" w:eastAsia="Times New Roman" w:hAnsi="ITC Avant Garde"/>
          <w:bCs/>
          <w:i/>
          <w:color w:val="000000"/>
          <w:lang w:eastAsia="es-MX"/>
        </w:rPr>
        <w:t>s</w:t>
      </w:r>
      <w:r>
        <w:rPr>
          <w:rFonts w:ascii="ITC Avant Garde" w:eastAsia="Times New Roman" w:hAnsi="ITC Avant Garde"/>
          <w:bCs/>
          <w:i/>
          <w:color w:val="000000"/>
          <w:lang w:eastAsia="es-MX"/>
        </w:rPr>
        <w:t xml:space="preserve"> al apercibimiento efectuado en el citatorio entregado el día </w:t>
      </w:r>
      <w:r w:rsidR="00340DA4">
        <w:rPr>
          <w:rFonts w:ascii="ITC Avant Garde" w:eastAsia="Times New Roman" w:hAnsi="ITC Avant Garde"/>
          <w:bCs/>
          <w:i/>
          <w:color w:val="000000"/>
          <w:lang w:eastAsia="es-MX"/>
        </w:rPr>
        <w:t>4 de diciembre</w:t>
      </w:r>
      <w:r>
        <w:rPr>
          <w:rFonts w:ascii="ITC Avant Garde" w:eastAsia="Times New Roman" w:hAnsi="ITC Avant Garde"/>
          <w:bCs/>
          <w:i/>
          <w:color w:val="000000"/>
          <w:lang w:eastAsia="es-MX"/>
        </w:rPr>
        <w:t xml:space="preserve"> del año en curso, a</w:t>
      </w:r>
      <w:r w:rsidR="00340DA4">
        <w:rPr>
          <w:rFonts w:ascii="ITC Avant Garde" w:eastAsia="Times New Roman" w:hAnsi="ITC Avant Garde"/>
          <w:bCs/>
          <w:i/>
          <w:color w:val="000000"/>
          <w:lang w:eastAsia="es-MX"/>
        </w:rPr>
        <w:t>l</w:t>
      </w:r>
      <w:r>
        <w:rPr>
          <w:rFonts w:ascii="ITC Avant Garde" w:eastAsia="Times New Roman" w:hAnsi="ITC Avant Garde"/>
          <w:bCs/>
          <w:i/>
          <w:color w:val="000000"/>
          <w:lang w:eastAsia="es-MX"/>
        </w:rPr>
        <w:t xml:space="preserve"> C. </w:t>
      </w:r>
      <w:r w:rsidR="00340DA4">
        <w:rPr>
          <w:rFonts w:ascii="ITC Avant Garde" w:eastAsia="Times New Roman" w:hAnsi="ITC Avant Garde"/>
          <w:bCs/>
          <w:i/>
          <w:color w:val="000000"/>
          <w:lang w:eastAsia="es-MX"/>
        </w:rPr>
        <w:t>Baltasar Alberto Cuevas Renau</w:t>
      </w:r>
      <w:r>
        <w:rPr>
          <w:rFonts w:ascii="ITC Avant Garde" w:eastAsia="Times New Roman" w:hAnsi="ITC Avant Garde"/>
          <w:bCs/>
          <w:i/>
          <w:color w:val="000000"/>
          <w:lang w:eastAsia="es-MX"/>
        </w:rPr>
        <w:t>, en donde se señala que en caso de no estar presente el representante legal en el domicilio en donde se citó, en la fecha indicada, se procederá conforme a lo dispuesto por los artículos 35 y 36, segundo párrafo de la Ley Federal de Procedimiento Administrativo; 309, fracción I, 310 tercer párrafo y 312 del Código Federal de Procedimientos Civiles, en lo</w:t>
      </w:r>
      <w:r w:rsidR="00340DA4">
        <w:rPr>
          <w:rFonts w:ascii="ITC Avant Garde" w:eastAsia="Times New Roman" w:hAnsi="ITC Avant Garde"/>
          <w:bCs/>
          <w:i/>
          <w:color w:val="000000"/>
          <w:lang w:eastAsia="es-MX"/>
        </w:rPr>
        <w:t>s</w:t>
      </w:r>
      <w:r>
        <w:rPr>
          <w:rFonts w:ascii="ITC Avant Garde" w:eastAsia="Times New Roman" w:hAnsi="ITC Avant Garde"/>
          <w:bCs/>
          <w:i/>
          <w:color w:val="000000"/>
          <w:lang w:eastAsia="es-MX"/>
        </w:rPr>
        <w:t xml:space="preserve"> que esencialmente se señala que la diligencia se realiza con la persona que se encuentre presente en el domicilio, se procede a efectuar la presente diligencia con </w:t>
      </w:r>
      <w:r w:rsidR="009E3863">
        <w:rPr>
          <w:rFonts w:ascii="ITC Avant Garde" w:hAnsi="ITC Avant Garde"/>
          <w:b/>
          <w:bCs/>
          <w:color w:val="0000FF"/>
        </w:rPr>
        <w:t>“CONFIDENCIAL POR LEY”</w:t>
      </w:r>
      <w:r>
        <w:rPr>
          <w:rFonts w:ascii="ITC Avant Garde" w:eastAsia="Times New Roman" w:hAnsi="ITC Avant Garde"/>
          <w:bCs/>
          <w:i/>
          <w:color w:val="000000"/>
          <w:lang w:eastAsia="es-MX"/>
        </w:rPr>
        <w:t>.”</w:t>
      </w:r>
      <w:r w:rsidR="00A002C6">
        <w:rPr>
          <w:rFonts w:ascii="ITC Avant Garde" w:eastAsia="Times New Roman" w:hAnsi="ITC Avant Garde"/>
          <w:bCs/>
          <w:i/>
          <w:color w:val="000000"/>
          <w:lang w:eastAsia="es-MX"/>
        </w:rPr>
        <w:t>.</w:t>
      </w:r>
      <w:r>
        <w:rPr>
          <w:rFonts w:ascii="ITC Avant Garde" w:eastAsia="Times New Roman" w:hAnsi="ITC Avant Garde"/>
          <w:bCs/>
          <w:color w:val="000000"/>
          <w:lang w:eastAsia="es-MX"/>
        </w:rPr>
        <w:t xml:space="preserve"> </w:t>
      </w:r>
    </w:p>
    <w:p w14:paraId="47B4E8DE" w14:textId="2B2F8FE5" w:rsidR="00E2222D" w:rsidRDefault="002D3132" w:rsidP="00907F25">
      <w:pPr>
        <w:spacing w:after="240" w:line="360" w:lineRule="auto"/>
        <w:jc w:val="both"/>
        <w:rPr>
          <w:rFonts w:ascii="ITC Avant Garde" w:eastAsia="Times New Roman" w:hAnsi="ITC Avant Garde"/>
          <w:b/>
          <w:bCs/>
          <w:color w:val="000000"/>
          <w:lang w:eastAsia="es-MX"/>
        </w:rPr>
      </w:pPr>
      <w:r>
        <w:rPr>
          <w:rFonts w:ascii="ITC Avant Garde" w:eastAsia="Times New Roman" w:hAnsi="ITC Avant Garde"/>
          <w:bCs/>
          <w:color w:val="000000"/>
          <w:lang w:eastAsia="es-MX"/>
        </w:rPr>
        <w:t xml:space="preserve">En tales consideraciones, </w:t>
      </w:r>
      <w:r w:rsidRPr="006A7614">
        <w:rPr>
          <w:rFonts w:ascii="ITC Avant Garde" w:eastAsia="Times New Roman" w:hAnsi="ITC Avant Garde"/>
          <w:b/>
          <w:bCs/>
          <w:color w:val="000000"/>
          <w:lang w:eastAsia="es-MX"/>
        </w:rPr>
        <w:t>LOS</w:t>
      </w:r>
      <w:r w:rsidRPr="006A7614">
        <w:rPr>
          <w:rFonts w:ascii="ITC Avant Garde" w:eastAsia="Times New Roman" w:hAnsi="ITC Avant Garde"/>
          <w:bCs/>
          <w:color w:val="000000"/>
          <w:lang w:eastAsia="es-MX"/>
        </w:rPr>
        <w:t xml:space="preserve"> </w:t>
      </w:r>
      <w:r w:rsidRPr="006A7614">
        <w:rPr>
          <w:rFonts w:ascii="ITC Avant Garde" w:eastAsia="Times New Roman" w:hAnsi="ITC Avant Garde"/>
          <w:b/>
          <w:bCs/>
          <w:color w:val="000000"/>
          <w:lang w:eastAsia="es-MX"/>
        </w:rPr>
        <w:t>VERIFICADORES</w:t>
      </w:r>
      <w:r w:rsidR="00E24ACB">
        <w:rPr>
          <w:rFonts w:ascii="ITC Avant Garde" w:eastAsia="Times New Roman" w:hAnsi="ITC Avant Garde"/>
          <w:bCs/>
          <w:color w:val="000000"/>
          <w:lang w:eastAsia="es-MX"/>
        </w:rPr>
        <w:t xml:space="preserve"> con fundamento en los dispuesto por el artículo 16 de la </w:t>
      </w:r>
      <w:r w:rsidR="00340DA4">
        <w:rPr>
          <w:rFonts w:ascii="ITC Avant Garde" w:eastAsia="Times New Roman" w:hAnsi="ITC Avant Garde"/>
          <w:b/>
          <w:bCs/>
          <w:color w:val="000000"/>
          <w:lang w:eastAsia="es-MX"/>
        </w:rPr>
        <w:t>CPEUM</w:t>
      </w:r>
      <w:r w:rsidR="00E24ACB">
        <w:rPr>
          <w:rFonts w:ascii="ITC Avant Garde" w:eastAsia="Times New Roman" w:hAnsi="ITC Avant Garde"/>
          <w:b/>
          <w:bCs/>
          <w:color w:val="000000"/>
          <w:lang w:eastAsia="es-MX"/>
        </w:rPr>
        <w:t xml:space="preserve"> </w:t>
      </w:r>
      <w:r w:rsidR="00E24ACB">
        <w:rPr>
          <w:rFonts w:ascii="ITC Avant Garde" w:eastAsia="Times New Roman" w:hAnsi="ITC Avant Garde"/>
          <w:bCs/>
          <w:color w:val="000000"/>
          <w:lang w:eastAsia="es-MX"/>
        </w:rPr>
        <w:t xml:space="preserve">y 66 de la </w:t>
      </w:r>
      <w:r w:rsidR="00340DA4">
        <w:rPr>
          <w:rFonts w:ascii="ITC Avant Garde" w:eastAsia="Times New Roman" w:hAnsi="ITC Avant Garde"/>
          <w:b/>
          <w:bCs/>
          <w:color w:val="000000"/>
          <w:lang w:eastAsia="es-MX"/>
        </w:rPr>
        <w:t>LFPA</w:t>
      </w:r>
      <w:r w:rsidR="00E24ACB">
        <w:rPr>
          <w:rFonts w:ascii="ITC Avant Garde" w:eastAsia="Times New Roman" w:hAnsi="ITC Avant Garde"/>
          <w:b/>
          <w:bCs/>
          <w:color w:val="000000"/>
          <w:lang w:eastAsia="es-MX"/>
        </w:rPr>
        <w:t xml:space="preserve"> </w:t>
      </w:r>
      <w:r w:rsidR="00E24ACB" w:rsidRPr="00C2594E">
        <w:rPr>
          <w:rFonts w:ascii="ITC Avant Garde" w:eastAsia="Times New Roman" w:hAnsi="ITC Avant Garde"/>
          <w:bCs/>
          <w:color w:val="000000"/>
          <w:lang w:eastAsia="es-MX"/>
        </w:rPr>
        <w:t>requirieron a la persona</w:t>
      </w:r>
      <w:r w:rsidR="00E24ACB">
        <w:rPr>
          <w:rFonts w:ascii="ITC Avant Garde" w:eastAsia="Times New Roman" w:hAnsi="ITC Avant Garde"/>
          <w:bCs/>
          <w:color w:val="000000"/>
          <w:lang w:eastAsia="es-MX"/>
        </w:rPr>
        <w:t xml:space="preserve"> que atendió la diligencia para que designara dos testigos de asistencia, por lo que la C. </w:t>
      </w:r>
      <w:r w:rsidR="009E3863">
        <w:rPr>
          <w:rFonts w:ascii="ITC Avant Garde" w:hAnsi="ITC Avant Garde"/>
          <w:b/>
          <w:bCs/>
          <w:color w:val="0000FF"/>
        </w:rPr>
        <w:t>“CONFIDENCIAL POR LEY”</w:t>
      </w:r>
      <w:r w:rsidR="0038425B">
        <w:rPr>
          <w:rFonts w:ascii="ITC Avant Garde" w:eastAsia="Times New Roman" w:hAnsi="ITC Avant Garde"/>
          <w:bCs/>
          <w:color w:val="000000"/>
          <w:lang w:eastAsia="es-MX"/>
        </w:rPr>
        <w:t>, designó</w:t>
      </w:r>
      <w:r w:rsidR="00597B8D" w:rsidRPr="00524B87">
        <w:rPr>
          <w:rFonts w:ascii="ITC Avant Garde" w:eastAsia="Times New Roman" w:hAnsi="ITC Avant Garde"/>
          <w:bCs/>
          <w:color w:val="000000"/>
          <w:lang w:eastAsia="es-MX"/>
        </w:rPr>
        <w:t xml:space="preserve"> como testigos de asistencia a los </w:t>
      </w:r>
      <w:r w:rsidR="00597B8D" w:rsidRPr="00597B8D">
        <w:rPr>
          <w:rFonts w:ascii="ITC Avant Garde" w:eastAsia="Times New Roman" w:hAnsi="ITC Avant Garde"/>
          <w:b/>
          <w:bCs/>
          <w:color w:val="000000"/>
          <w:lang w:eastAsia="es-MX"/>
        </w:rPr>
        <w:t xml:space="preserve">CC. </w:t>
      </w:r>
      <w:r w:rsidR="009E3863">
        <w:rPr>
          <w:rFonts w:ascii="ITC Avant Garde" w:hAnsi="ITC Avant Garde"/>
          <w:b/>
          <w:bCs/>
          <w:color w:val="0000FF"/>
        </w:rPr>
        <w:t>“CONFIDENCIAL POR LEY”</w:t>
      </w:r>
      <w:r w:rsidR="00597B8D" w:rsidRPr="00524B87">
        <w:rPr>
          <w:rFonts w:ascii="ITC Avant Garde" w:eastAsia="Times New Roman" w:hAnsi="ITC Avant Garde"/>
          <w:bCs/>
          <w:color w:val="000000"/>
          <w:lang w:eastAsia="es-MX"/>
        </w:rPr>
        <w:t>,</w:t>
      </w:r>
      <w:r w:rsidR="006A7614" w:rsidRPr="006A7614">
        <w:rPr>
          <w:rFonts w:ascii="ITC Avant Garde" w:hAnsi="ITC Avant Garde"/>
        </w:rPr>
        <w:t xml:space="preserve"> (</w:t>
      </w:r>
      <w:r w:rsidR="00225B4F">
        <w:rPr>
          <w:rFonts w:ascii="ITC Avant Garde" w:hAnsi="ITC Avant Garde"/>
        </w:rPr>
        <w:t xml:space="preserve">en lo sucesivo </w:t>
      </w:r>
      <w:r w:rsidR="006A7614" w:rsidRPr="006A7614">
        <w:rPr>
          <w:rFonts w:ascii="ITC Avant Garde" w:hAnsi="ITC Avant Garde"/>
        </w:rPr>
        <w:t>“</w:t>
      </w:r>
      <w:r w:rsidR="006A7614" w:rsidRPr="006A7614">
        <w:rPr>
          <w:rFonts w:ascii="ITC Avant Garde" w:hAnsi="ITC Avant Garde"/>
          <w:b/>
        </w:rPr>
        <w:t>LOS TESTIGOS</w:t>
      </w:r>
      <w:r w:rsidR="006A7614" w:rsidRPr="006A7614">
        <w:rPr>
          <w:rFonts w:ascii="ITC Avant Garde" w:hAnsi="ITC Avant Garde"/>
        </w:rPr>
        <w:t xml:space="preserve">”), </w:t>
      </w:r>
      <w:r w:rsidR="006A7614" w:rsidRPr="006A7614">
        <w:rPr>
          <w:rFonts w:ascii="ITC Avant Garde" w:eastAsia="Times New Roman" w:hAnsi="ITC Avant Garde"/>
          <w:bCs/>
          <w:color w:val="000000"/>
          <w:lang w:eastAsia="es-MX"/>
        </w:rPr>
        <w:t xml:space="preserve">levantándose </w:t>
      </w:r>
      <w:r w:rsidR="00E24ACB">
        <w:rPr>
          <w:rFonts w:ascii="ITC Avant Garde" w:eastAsia="Times New Roman" w:hAnsi="ITC Avant Garde"/>
          <w:bCs/>
          <w:color w:val="000000"/>
          <w:lang w:eastAsia="es-MX"/>
        </w:rPr>
        <w:t xml:space="preserve">al efecto </w:t>
      </w:r>
      <w:r w:rsidR="006A7614" w:rsidRPr="006A7614">
        <w:rPr>
          <w:rFonts w:ascii="ITC Avant Garde" w:eastAsia="Times New Roman" w:hAnsi="ITC Avant Garde"/>
          <w:bCs/>
          <w:color w:val="000000"/>
          <w:lang w:eastAsia="es-MX"/>
        </w:rPr>
        <w:t xml:space="preserve">el acta </w:t>
      </w:r>
      <w:r w:rsidR="00E24ACB">
        <w:rPr>
          <w:rFonts w:ascii="ITC Avant Garde" w:eastAsia="Times New Roman" w:hAnsi="ITC Avant Garde"/>
          <w:bCs/>
          <w:color w:val="000000"/>
          <w:lang w:eastAsia="es-MX"/>
        </w:rPr>
        <w:t xml:space="preserve">de verificación </w:t>
      </w:r>
      <w:r w:rsidR="006A7614" w:rsidRPr="006A7614">
        <w:rPr>
          <w:rFonts w:ascii="ITC Avant Garde" w:eastAsia="Times New Roman" w:hAnsi="ITC Avant Garde"/>
          <w:bCs/>
          <w:color w:val="000000"/>
          <w:lang w:eastAsia="es-MX"/>
        </w:rPr>
        <w:t xml:space="preserve">ordinaria </w:t>
      </w:r>
      <w:r w:rsidR="00C2594E">
        <w:rPr>
          <w:rFonts w:ascii="ITC Avant Garde" w:eastAsia="Times New Roman" w:hAnsi="ITC Avant Garde"/>
          <w:b/>
          <w:bCs/>
          <w:color w:val="000000"/>
          <w:lang w:eastAsia="es-MX"/>
        </w:rPr>
        <w:t>IFT/DF/DGV/1299/2015</w:t>
      </w:r>
      <w:r w:rsidR="006A7614" w:rsidRPr="006A7614">
        <w:rPr>
          <w:rFonts w:ascii="ITC Avant Garde" w:eastAsia="Times New Roman" w:hAnsi="ITC Avant Garde"/>
          <w:b/>
          <w:bCs/>
          <w:color w:val="000000"/>
          <w:lang w:eastAsia="es-MX"/>
        </w:rPr>
        <w:t>.</w:t>
      </w:r>
    </w:p>
    <w:p w14:paraId="4705A253" w14:textId="77777777" w:rsidR="00E2222D" w:rsidRDefault="004F062C" w:rsidP="00907F25">
      <w:pPr>
        <w:spacing w:after="240" w:line="360" w:lineRule="auto"/>
        <w:jc w:val="both"/>
        <w:rPr>
          <w:rFonts w:ascii="ITC Avant Garde" w:hAnsi="ITC Avant Garde"/>
        </w:rPr>
      </w:pPr>
      <w:r w:rsidRPr="00FF4ECF">
        <w:rPr>
          <w:rFonts w:ascii="ITC Avant Garde" w:hAnsi="ITC Avant Garde"/>
        </w:rPr>
        <w:t xml:space="preserve">Acto seguido, </w:t>
      </w:r>
      <w:r w:rsidRPr="00FF4ECF">
        <w:rPr>
          <w:rFonts w:ascii="ITC Avant Garde" w:hAnsi="ITC Avant Garde"/>
          <w:b/>
        </w:rPr>
        <w:t>LOS VERIFICADORES</w:t>
      </w:r>
      <w:r w:rsidRPr="00FF4ECF">
        <w:rPr>
          <w:rFonts w:ascii="ITC Avant Garde" w:hAnsi="ITC Avant Garde"/>
        </w:rPr>
        <w:t xml:space="preserve"> solicitaron a quien atendió la visita, respondiera a preguntas expresas y exhibiera la documentación que soportara su dicho, y de acuerdo a ello se observó lo siguiente:</w:t>
      </w:r>
    </w:p>
    <w:p w14:paraId="1C05E274" w14:textId="77777777" w:rsidR="00E12243" w:rsidRDefault="004F062C" w:rsidP="00907F25">
      <w:pPr>
        <w:spacing w:after="240" w:line="360" w:lineRule="auto"/>
        <w:jc w:val="both"/>
        <w:rPr>
          <w:rFonts w:ascii="ITC Avant Garde" w:hAnsi="ITC Avant Garde"/>
        </w:rPr>
        <w:sectPr w:rsidR="00E12243" w:rsidSect="00802C6F">
          <w:headerReference w:type="default" r:id="rId11"/>
          <w:pgSz w:w="12240" w:h="15840"/>
          <w:pgMar w:top="2126" w:right="1325" w:bottom="1701" w:left="1701" w:header="709" w:footer="962" w:gutter="0"/>
          <w:cols w:space="708"/>
          <w:docGrid w:linePitch="360"/>
        </w:sectPr>
      </w:pPr>
      <w:r>
        <w:rPr>
          <w:rFonts w:ascii="ITC Avant Garde" w:hAnsi="ITC Avant Garde"/>
        </w:rPr>
        <w:t xml:space="preserve">Con fundamento en el artículo 291 de la </w:t>
      </w:r>
      <w:r w:rsidR="00250345">
        <w:rPr>
          <w:rFonts w:ascii="ITC Avant Garde" w:hAnsi="ITC Avant Garde"/>
          <w:b/>
        </w:rPr>
        <w:t>LFTR</w:t>
      </w:r>
      <w:r>
        <w:rPr>
          <w:rFonts w:ascii="ITC Avant Garde" w:hAnsi="ITC Avant Garde"/>
        </w:rPr>
        <w:t xml:space="preserve"> </w:t>
      </w:r>
      <w:r w:rsidR="009C3C3C">
        <w:rPr>
          <w:rFonts w:ascii="ITC Avant Garde" w:hAnsi="ITC Avant Garde"/>
        </w:rPr>
        <w:t xml:space="preserve">y en los artículos 63 y 64 de la </w:t>
      </w:r>
      <w:r w:rsidR="00C2594E">
        <w:rPr>
          <w:rFonts w:ascii="ITC Avant Garde" w:hAnsi="ITC Avant Garde"/>
          <w:b/>
        </w:rPr>
        <w:t>LFPA</w:t>
      </w:r>
      <w:r w:rsidR="009C3C3C">
        <w:rPr>
          <w:rFonts w:ascii="ITC Avant Garde" w:hAnsi="ITC Avant Garde"/>
          <w:b/>
        </w:rPr>
        <w:t xml:space="preserve">, </w:t>
      </w:r>
      <w:r w:rsidR="009C3C3C" w:rsidRPr="00FF4ECF">
        <w:rPr>
          <w:rFonts w:ascii="ITC Avant Garde" w:hAnsi="ITC Avant Garde"/>
          <w:b/>
        </w:rPr>
        <w:t>LOS VERIFICADORES</w:t>
      </w:r>
      <w:r w:rsidR="009C3C3C">
        <w:rPr>
          <w:rFonts w:ascii="ITC Avant Garde" w:hAnsi="ITC Avant Garde"/>
          <w:b/>
        </w:rPr>
        <w:t xml:space="preserve"> </w:t>
      </w:r>
      <w:r w:rsidR="009C3C3C">
        <w:rPr>
          <w:rFonts w:ascii="ITC Avant Garde" w:hAnsi="ITC Avant Garde"/>
        </w:rPr>
        <w:t>solicitaron a la persona que recibió la visita les permitiera el acceso al inmueble y poner a disposición de los mismos, los medios indispensables que le sean requeridos para el cumplimiento de su cometido.</w:t>
      </w:r>
    </w:p>
    <w:p w14:paraId="48A4FC8D" w14:textId="77777777" w:rsidR="00E2222D" w:rsidRDefault="009C3C3C" w:rsidP="00907F25">
      <w:pPr>
        <w:spacing w:after="240" w:line="360" w:lineRule="auto"/>
        <w:jc w:val="both"/>
        <w:rPr>
          <w:rFonts w:ascii="ITC Avant Garde" w:hAnsi="ITC Avant Garde"/>
          <w:i/>
        </w:rPr>
      </w:pPr>
      <w:r>
        <w:rPr>
          <w:rFonts w:ascii="ITC Avant Garde" w:hAnsi="ITC Avant Garde"/>
        </w:rPr>
        <w:lastRenderedPageBreak/>
        <w:t xml:space="preserve">La persona que atendió la diligencia manifestó: </w:t>
      </w:r>
      <w:r>
        <w:rPr>
          <w:rFonts w:ascii="ITC Avant Garde" w:hAnsi="ITC Avant Garde"/>
          <w:i/>
        </w:rPr>
        <w:t>“Adelante, brindo las facilidades necesarias para el cumplimiento de la visita.”</w:t>
      </w:r>
    </w:p>
    <w:p w14:paraId="5C286F07" w14:textId="77777777" w:rsidR="00E2222D" w:rsidRDefault="009C3C3C" w:rsidP="00907F25">
      <w:pPr>
        <w:spacing w:after="240" w:line="360" w:lineRule="auto"/>
        <w:jc w:val="both"/>
        <w:rPr>
          <w:rFonts w:ascii="ITC Avant Garde" w:hAnsi="ITC Avant Garde"/>
        </w:rPr>
      </w:pPr>
      <w:r w:rsidRPr="00FF4ECF">
        <w:rPr>
          <w:rFonts w:ascii="ITC Avant Garde" w:hAnsi="ITC Avant Garde"/>
          <w:b/>
        </w:rPr>
        <w:t>LOS VERIFICADORES</w:t>
      </w:r>
      <w:r>
        <w:rPr>
          <w:rFonts w:ascii="ITC Avant Garde" w:hAnsi="ITC Avant Garde"/>
          <w:b/>
        </w:rPr>
        <w:t xml:space="preserve"> </w:t>
      </w:r>
      <w:r>
        <w:rPr>
          <w:rFonts w:ascii="ITC Avant Garde" w:hAnsi="ITC Avant Garde"/>
        </w:rPr>
        <w:t xml:space="preserve">en compañía de la persona que atendió la diligencia y </w:t>
      </w:r>
      <w:r w:rsidR="00C2594E">
        <w:rPr>
          <w:rFonts w:ascii="ITC Avant Garde" w:hAnsi="ITC Avant Garde"/>
          <w:b/>
        </w:rPr>
        <w:t>LOS TESTIGOS</w:t>
      </w:r>
      <w:r>
        <w:rPr>
          <w:rFonts w:ascii="ITC Avant Garde" w:hAnsi="ITC Avant Garde"/>
        </w:rPr>
        <w:t xml:space="preserve"> procedieron a verificar e inspeccionar el inmueble encontrando que:</w:t>
      </w:r>
    </w:p>
    <w:p w14:paraId="0859DB1E" w14:textId="77777777" w:rsidR="00E2222D" w:rsidRDefault="009C3C3C" w:rsidP="00907F25">
      <w:pPr>
        <w:spacing w:after="240" w:line="360" w:lineRule="auto"/>
        <w:ind w:left="851" w:right="902"/>
        <w:jc w:val="both"/>
        <w:rPr>
          <w:rFonts w:ascii="ITC Avant Garde" w:hAnsi="ITC Avant Garde"/>
          <w:i/>
          <w:sz w:val="20"/>
        </w:rPr>
      </w:pPr>
      <w:r w:rsidRPr="00F32E58">
        <w:rPr>
          <w:rFonts w:ascii="ITC Avant Garde" w:hAnsi="ITC Avant Garde"/>
          <w:i/>
          <w:sz w:val="20"/>
        </w:rPr>
        <w:t>“… se trata de un edificio de cuatro niveles, de color gris y café, en su acceso princi</w:t>
      </w:r>
      <w:r w:rsidR="00C2594E" w:rsidRPr="00F32E58">
        <w:rPr>
          <w:rFonts w:ascii="ITC Avant Garde" w:hAnsi="ITC Avant Garde"/>
          <w:i/>
          <w:sz w:val="20"/>
        </w:rPr>
        <w:t>pal se observa la nomenclatura ‘Blvd De Virreyes 145´</w:t>
      </w:r>
      <w:r w:rsidRPr="00F32E58">
        <w:rPr>
          <w:rFonts w:ascii="ITC Avant Garde" w:hAnsi="ITC Avant Garde"/>
          <w:i/>
          <w:sz w:val="20"/>
        </w:rPr>
        <w:t>, en su interior se aprecian varias oficias, ubicándonos en el segundo piso en una oficina de aprox. 12 metros cuadrados, lugar donde se brindan las facilidades necesarias para el levantamiento de la presente acta. No se aprecia instalación alguna de equipos de telecomunicaciones para prestar servicios de televisión restringida.”</w:t>
      </w:r>
    </w:p>
    <w:p w14:paraId="6F56F63B" w14:textId="1638491F" w:rsidR="001D5511" w:rsidRPr="001D5511" w:rsidRDefault="001D5511" w:rsidP="00907F25">
      <w:pPr>
        <w:spacing w:after="240" w:line="360" w:lineRule="auto"/>
        <w:contextualSpacing/>
        <w:jc w:val="both"/>
        <w:rPr>
          <w:rFonts w:ascii="ITC Avant Garde" w:eastAsia="Times New Roman" w:hAnsi="ITC Avant Garde"/>
          <w:lang w:eastAsia="es-ES"/>
        </w:rPr>
      </w:pPr>
      <w:r>
        <w:rPr>
          <w:rFonts w:ascii="ITC Avant Garde" w:eastAsia="Times New Roman" w:hAnsi="ITC Avant Garde"/>
          <w:lang w:eastAsia="es-ES"/>
        </w:rPr>
        <w:t>Por lo que c</w:t>
      </w:r>
      <w:r w:rsidRPr="001D5511">
        <w:rPr>
          <w:rFonts w:ascii="ITC Avant Garde" w:eastAsia="Times New Roman" w:hAnsi="ITC Avant Garde"/>
          <w:lang w:eastAsia="es-ES"/>
        </w:rPr>
        <w:t xml:space="preserve">on fundamento en el artículo 291 de la </w:t>
      </w:r>
      <w:r w:rsidR="00250345">
        <w:rPr>
          <w:rFonts w:ascii="ITC Avant Garde" w:eastAsia="Times New Roman" w:hAnsi="ITC Avant Garde"/>
          <w:b/>
          <w:lang w:eastAsia="es-ES"/>
        </w:rPr>
        <w:t>LFTR</w:t>
      </w:r>
      <w:r>
        <w:rPr>
          <w:rFonts w:ascii="ITC Avant Garde" w:eastAsia="Times New Roman" w:hAnsi="ITC Avant Garde"/>
          <w:b/>
          <w:lang w:eastAsia="es-ES"/>
        </w:rPr>
        <w:t xml:space="preserve"> </w:t>
      </w:r>
      <w:r w:rsidRPr="001D5511">
        <w:rPr>
          <w:rFonts w:ascii="ITC Avant Garde" w:eastAsia="Times New Roman" w:hAnsi="ITC Avant Garde"/>
          <w:lang w:eastAsia="es-ES"/>
        </w:rPr>
        <w:t>y en relación a las Condiciones A.7. Ubicación del</w:t>
      </w:r>
      <w:r>
        <w:rPr>
          <w:rFonts w:ascii="ITC Avant Garde" w:eastAsia="Times New Roman" w:hAnsi="ITC Avant Garde"/>
          <w:lang w:eastAsia="es-ES"/>
        </w:rPr>
        <w:t xml:space="preserve"> </w:t>
      </w:r>
      <w:r w:rsidRPr="001D5511">
        <w:rPr>
          <w:rFonts w:ascii="ITC Avant Garde" w:eastAsia="Times New Roman" w:hAnsi="ITC Avant Garde"/>
          <w:lang w:eastAsia="es-ES"/>
        </w:rPr>
        <w:t>centro de recepción y control, 4.6. Verificación y supervisión en la prestación de los servicios,</w:t>
      </w:r>
      <w:r>
        <w:rPr>
          <w:rFonts w:ascii="ITC Avant Garde" w:eastAsia="Times New Roman" w:hAnsi="ITC Avant Garde"/>
          <w:lang w:eastAsia="es-ES"/>
        </w:rPr>
        <w:t xml:space="preserve"> </w:t>
      </w:r>
      <w:r w:rsidRPr="001D5511">
        <w:rPr>
          <w:rFonts w:ascii="ITC Avant Garde" w:eastAsia="Times New Roman" w:hAnsi="ITC Avant Garde"/>
          <w:lang w:eastAsia="es-ES"/>
        </w:rPr>
        <w:t xml:space="preserve">del título de concesión de </w:t>
      </w:r>
      <w:r>
        <w:rPr>
          <w:rFonts w:ascii="ITC Avant Garde" w:eastAsia="Times New Roman" w:hAnsi="ITC Avant Garde"/>
          <w:b/>
          <w:lang w:eastAsia="es-ES"/>
        </w:rPr>
        <w:t>MEGA CABLE</w:t>
      </w:r>
      <w:r w:rsidRPr="001D5511">
        <w:rPr>
          <w:rFonts w:ascii="ITC Avant Garde" w:eastAsia="Times New Roman" w:hAnsi="ITC Avant Garde"/>
          <w:lang w:eastAsia="es-ES"/>
        </w:rPr>
        <w:t xml:space="preserve">, </w:t>
      </w:r>
      <w:r w:rsidRPr="001D5511">
        <w:rPr>
          <w:rFonts w:ascii="ITC Avant Garde" w:eastAsia="Times New Roman" w:hAnsi="ITC Avant Garde"/>
          <w:b/>
          <w:lang w:eastAsia="es-ES"/>
        </w:rPr>
        <w:t>LOS VERIFICADORES</w:t>
      </w:r>
      <w:r w:rsidRPr="001D5511">
        <w:rPr>
          <w:rFonts w:ascii="ITC Avant Garde" w:eastAsia="Times New Roman" w:hAnsi="ITC Avant Garde"/>
          <w:lang w:eastAsia="es-ES"/>
        </w:rPr>
        <w:t xml:space="preserve"> en presencia de </w:t>
      </w:r>
      <w:r w:rsidRPr="001D5511">
        <w:rPr>
          <w:rFonts w:ascii="ITC Avant Garde" w:eastAsia="Times New Roman" w:hAnsi="ITC Avant Garde"/>
          <w:b/>
          <w:lang w:eastAsia="es-ES"/>
        </w:rPr>
        <w:t>LOS TESTIGOS</w:t>
      </w:r>
      <w:r w:rsidRPr="001D5511">
        <w:rPr>
          <w:rFonts w:ascii="ITC Avant Garde" w:eastAsia="Times New Roman" w:hAnsi="ITC Avant Garde"/>
          <w:lang w:eastAsia="es-ES"/>
        </w:rPr>
        <w:t>,</w:t>
      </w:r>
      <w:r>
        <w:rPr>
          <w:rFonts w:ascii="ITC Avant Garde" w:eastAsia="Times New Roman" w:hAnsi="ITC Avant Garde"/>
          <w:lang w:eastAsia="es-ES"/>
        </w:rPr>
        <w:t xml:space="preserve"> </w:t>
      </w:r>
      <w:r w:rsidRPr="001D5511">
        <w:rPr>
          <w:rFonts w:ascii="ITC Avant Garde" w:eastAsia="Times New Roman" w:hAnsi="ITC Avant Garde"/>
          <w:lang w:eastAsia="es-ES"/>
        </w:rPr>
        <w:t>solicitan a la persona que recibe la diligencia, indique si el Centro de Recepción y Control</w:t>
      </w:r>
      <w:r>
        <w:rPr>
          <w:rFonts w:ascii="ITC Avant Garde" w:eastAsia="Times New Roman" w:hAnsi="ITC Avant Garde"/>
          <w:lang w:eastAsia="es-ES"/>
        </w:rPr>
        <w:t xml:space="preserve"> </w:t>
      </w:r>
      <w:r w:rsidRPr="001D5511">
        <w:rPr>
          <w:rFonts w:ascii="ITC Avant Garde" w:eastAsia="Times New Roman" w:hAnsi="ITC Avant Garde"/>
          <w:lang w:eastAsia="es-ES"/>
        </w:rPr>
        <w:t>(CRC) se encuentra en Av. 5 de Febrero 1311, Col. Nuevo Carrillo Puerto, C.P. 76138 Santiago</w:t>
      </w:r>
      <w:r w:rsidR="00127246">
        <w:rPr>
          <w:rFonts w:ascii="ITC Avant Garde" w:eastAsia="Times New Roman" w:hAnsi="ITC Avant Garde"/>
          <w:lang w:eastAsia="es-ES"/>
        </w:rPr>
        <w:t xml:space="preserve"> </w:t>
      </w:r>
      <w:r w:rsidRPr="001D5511">
        <w:rPr>
          <w:rFonts w:ascii="ITC Avant Garde" w:eastAsia="Times New Roman" w:hAnsi="ITC Avant Garde"/>
          <w:lang w:eastAsia="es-ES"/>
        </w:rPr>
        <w:t>de Querétaro, Qro., de no ser así, muestre documento con el que se informó el cambio a la</w:t>
      </w:r>
      <w:r w:rsidR="00127246">
        <w:rPr>
          <w:rFonts w:ascii="ITC Avant Garde" w:eastAsia="Times New Roman" w:hAnsi="ITC Avant Garde"/>
          <w:lang w:eastAsia="es-ES"/>
        </w:rPr>
        <w:t xml:space="preserve"> </w:t>
      </w:r>
      <w:r w:rsidRPr="001D5511">
        <w:rPr>
          <w:rFonts w:ascii="ITC Avant Garde" w:eastAsia="Times New Roman" w:hAnsi="ITC Avant Garde"/>
          <w:lang w:eastAsia="es-ES"/>
        </w:rPr>
        <w:t>Comisión Federal de Telecomunicaciones o en su caso al Instituto Federal de</w:t>
      </w:r>
    </w:p>
    <w:p w14:paraId="4A7AB518" w14:textId="77777777" w:rsidR="00E2222D" w:rsidRDefault="001D5511" w:rsidP="00907F25">
      <w:pPr>
        <w:spacing w:after="240" w:line="360" w:lineRule="auto"/>
        <w:contextualSpacing/>
        <w:jc w:val="both"/>
        <w:rPr>
          <w:rFonts w:ascii="ITC Avant Garde" w:eastAsia="Times New Roman" w:hAnsi="ITC Avant Garde"/>
          <w:i/>
          <w:lang w:eastAsia="es-ES"/>
        </w:rPr>
      </w:pPr>
      <w:r w:rsidRPr="001D5511">
        <w:rPr>
          <w:rFonts w:ascii="ITC Avant Garde" w:eastAsia="Times New Roman" w:hAnsi="ITC Avant Garde"/>
          <w:lang w:eastAsia="es-ES"/>
        </w:rPr>
        <w:t>Telecomunicaciones</w:t>
      </w:r>
      <w:r w:rsidR="00127246">
        <w:rPr>
          <w:rFonts w:ascii="ITC Avant Garde" w:eastAsia="Times New Roman" w:hAnsi="ITC Avant Garde"/>
          <w:lang w:eastAsia="es-ES"/>
        </w:rPr>
        <w:t xml:space="preserve">, a lo que </w:t>
      </w:r>
      <w:r w:rsidR="00127246">
        <w:rPr>
          <w:rFonts w:ascii="ITC Avant Garde" w:eastAsia="Times New Roman" w:hAnsi="ITC Avant Garde"/>
          <w:b/>
          <w:lang w:eastAsia="es-ES"/>
        </w:rPr>
        <w:t xml:space="preserve">LA VISITADA </w:t>
      </w:r>
      <w:r w:rsidR="00127246" w:rsidRPr="00127246">
        <w:rPr>
          <w:rFonts w:ascii="ITC Avant Garde" w:eastAsia="Times New Roman" w:hAnsi="ITC Avant Garde"/>
          <w:lang w:eastAsia="es-ES"/>
        </w:rPr>
        <w:t>manifestó:</w:t>
      </w:r>
      <w:r w:rsidR="00127246">
        <w:rPr>
          <w:rFonts w:ascii="ITC Avant Garde" w:eastAsia="Times New Roman" w:hAnsi="ITC Avant Garde"/>
          <w:b/>
          <w:lang w:eastAsia="es-ES"/>
        </w:rPr>
        <w:t xml:space="preserve"> </w:t>
      </w:r>
      <w:r w:rsidR="00127246" w:rsidRPr="00127246">
        <w:rPr>
          <w:rFonts w:ascii="ITC Avant Garde" w:eastAsia="Times New Roman" w:hAnsi="ITC Avant Garde"/>
          <w:i/>
          <w:lang w:eastAsia="es-ES"/>
        </w:rPr>
        <w:t>"Sí, en la dirección indicada se encuentran las instalaciones del CRC de LA VISITADA, siendo ese domicilio donde podrán ser atendidos y corroborar dichas instalaciones”.</w:t>
      </w:r>
    </w:p>
    <w:p w14:paraId="0011AED4" w14:textId="77777777" w:rsidR="00E2222D" w:rsidRDefault="00E777DC" w:rsidP="00907F25">
      <w:pPr>
        <w:spacing w:after="240" w:line="360" w:lineRule="auto"/>
        <w:contextualSpacing/>
        <w:jc w:val="both"/>
        <w:rPr>
          <w:rFonts w:ascii="ITC Avant Garde" w:eastAsia="Times New Roman" w:hAnsi="ITC Avant Garde"/>
          <w:bCs/>
          <w:color w:val="000000"/>
          <w:lang w:eastAsia="es-MX"/>
        </w:rPr>
      </w:pPr>
      <w:r w:rsidRPr="006A7614">
        <w:rPr>
          <w:rFonts w:ascii="ITC Avant Garde" w:eastAsia="Times New Roman" w:hAnsi="ITC Avant Garde"/>
          <w:lang w:eastAsia="es-ES"/>
        </w:rPr>
        <w:t>Derivado</w:t>
      </w:r>
      <w:r w:rsidR="001A1902" w:rsidRPr="006A7614">
        <w:rPr>
          <w:rFonts w:ascii="ITC Avant Garde" w:eastAsia="Times New Roman" w:hAnsi="ITC Avant Garde"/>
          <w:lang w:eastAsia="es-ES"/>
        </w:rPr>
        <w:t xml:space="preserve"> de lo anterior, </w:t>
      </w:r>
      <w:r w:rsidR="001A1902" w:rsidRPr="006A7614">
        <w:rPr>
          <w:rFonts w:ascii="ITC Avant Garde" w:eastAsia="Times New Roman" w:hAnsi="ITC Avant Garde"/>
          <w:b/>
          <w:lang w:eastAsia="es-ES"/>
        </w:rPr>
        <w:t>LOS VERIFICADORES</w:t>
      </w:r>
      <w:r w:rsidR="001A1902" w:rsidRPr="006A7614">
        <w:rPr>
          <w:rFonts w:ascii="ITC Avant Garde" w:eastAsia="Times New Roman" w:hAnsi="ITC Avant Garde"/>
          <w:lang w:eastAsia="es-ES"/>
        </w:rPr>
        <w:t xml:space="preserve"> </w:t>
      </w:r>
      <w:r w:rsidRPr="001A1902">
        <w:rPr>
          <w:rFonts w:ascii="ITC Avant Garde" w:eastAsia="Times New Roman" w:hAnsi="ITC Avant Garde"/>
          <w:bCs/>
          <w:color w:val="000000"/>
          <w:lang w:eastAsia="es-MX"/>
        </w:rPr>
        <w:t xml:space="preserve">procedieron a cerrar parcialmente el acta a efecto de continuarla el </w:t>
      </w:r>
      <w:r>
        <w:rPr>
          <w:rFonts w:ascii="ITC Avant Garde" w:eastAsia="Times New Roman" w:hAnsi="ITC Avant Garde"/>
          <w:bCs/>
          <w:color w:val="000000"/>
          <w:lang w:eastAsia="es-MX"/>
        </w:rPr>
        <w:t>diez de diciembre</w:t>
      </w:r>
      <w:r w:rsidRPr="001A1902">
        <w:rPr>
          <w:rFonts w:ascii="ITC Avant Garde" w:eastAsia="Times New Roman" w:hAnsi="ITC Avant Garde"/>
          <w:bCs/>
          <w:color w:val="000000"/>
          <w:lang w:eastAsia="es-MX"/>
        </w:rPr>
        <w:t xml:space="preserve"> siguiente</w:t>
      </w:r>
      <w:r w:rsidR="001A1902" w:rsidRPr="001A1902">
        <w:rPr>
          <w:rFonts w:ascii="ITC Avant Garde" w:eastAsia="Times New Roman" w:hAnsi="ITC Avant Garde"/>
          <w:bCs/>
          <w:color w:val="000000"/>
          <w:lang w:eastAsia="es-MX"/>
        </w:rPr>
        <w:t xml:space="preserve">, en el domicilio ubicado en </w:t>
      </w:r>
      <w:r w:rsidR="00022A0F">
        <w:rPr>
          <w:rFonts w:ascii="ITC Avant Garde" w:eastAsia="Times New Roman" w:hAnsi="ITC Avant Garde"/>
          <w:bCs/>
          <w:color w:val="000000"/>
          <w:lang w:eastAsia="es-MX"/>
        </w:rPr>
        <w:t>Avenida 5 de Febrero número 1311, Colonia Nuevo Carrillo Puerto, Código Postal 76138, Santiago de Querétaro, Querétaro</w:t>
      </w:r>
      <w:r w:rsidR="0038425B">
        <w:rPr>
          <w:rFonts w:ascii="ITC Avant Garde" w:eastAsia="Times New Roman" w:hAnsi="ITC Avant Garde"/>
          <w:bCs/>
          <w:color w:val="000000"/>
          <w:lang w:eastAsia="es-MX"/>
        </w:rPr>
        <w:t>, haciendo notar que dicho domicilio se encontraba precisado en la orden de visita que motivó la diligencia.</w:t>
      </w:r>
    </w:p>
    <w:p w14:paraId="6E237A3C" w14:textId="77777777" w:rsidR="00E12243" w:rsidRDefault="00022A0F" w:rsidP="00907F25">
      <w:pPr>
        <w:spacing w:after="240" w:line="360" w:lineRule="auto"/>
        <w:contextualSpacing/>
        <w:jc w:val="both"/>
        <w:rPr>
          <w:rFonts w:ascii="ITC Avant Garde" w:eastAsia="Times New Roman" w:hAnsi="ITC Avant Garde"/>
          <w:b/>
          <w:bCs/>
          <w:color w:val="000000"/>
          <w:lang w:eastAsia="es-MX"/>
        </w:rPr>
        <w:sectPr w:rsidR="00E12243" w:rsidSect="00802C6F">
          <w:headerReference w:type="default" r:id="rId12"/>
          <w:pgSz w:w="12240" w:h="15840"/>
          <w:pgMar w:top="2126" w:right="1325" w:bottom="1701" w:left="1701" w:header="709" w:footer="962" w:gutter="0"/>
          <w:cols w:space="708"/>
          <w:docGrid w:linePitch="360"/>
        </w:sectPr>
      </w:pPr>
      <w:r w:rsidRPr="00022A0F">
        <w:rPr>
          <w:rFonts w:ascii="ITC Avant Garde" w:eastAsia="Times New Roman" w:hAnsi="ITC Avant Garde"/>
          <w:b/>
          <w:bCs/>
          <w:color w:val="000000"/>
          <w:lang w:eastAsia="es-MX"/>
        </w:rPr>
        <w:t>SANTIAGO DE QUERÉTARO, QUERÉTARO</w:t>
      </w:r>
    </w:p>
    <w:p w14:paraId="397FF3A4" w14:textId="4ADD5874" w:rsidR="00E2222D" w:rsidRDefault="001A1902" w:rsidP="00907F25">
      <w:pPr>
        <w:spacing w:after="240" w:line="360" w:lineRule="auto"/>
        <w:jc w:val="both"/>
        <w:rPr>
          <w:rFonts w:ascii="ITC Avant Garde" w:hAnsi="ITC Avant Garde"/>
        </w:rPr>
      </w:pPr>
      <w:r w:rsidRPr="0010398B">
        <w:rPr>
          <w:rFonts w:ascii="ITC Avant Garde" w:eastAsia="Times New Roman" w:hAnsi="ITC Avant Garde"/>
          <w:bCs/>
          <w:color w:val="000000"/>
          <w:lang w:eastAsia="es-MX"/>
        </w:rPr>
        <w:lastRenderedPageBreak/>
        <w:t xml:space="preserve">El </w:t>
      </w:r>
      <w:r w:rsidR="00022A0F">
        <w:rPr>
          <w:rFonts w:ascii="ITC Avant Garde" w:eastAsia="Times New Roman" w:hAnsi="ITC Avant Garde"/>
          <w:bCs/>
          <w:color w:val="000000"/>
          <w:lang w:eastAsia="es-MX"/>
        </w:rPr>
        <w:t>diez de diciembre</w:t>
      </w:r>
      <w:r w:rsidRPr="0010398B">
        <w:rPr>
          <w:rFonts w:ascii="ITC Avant Garde" w:eastAsia="Times New Roman" w:hAnsi="ITC Avant Garde"/>
          <w:bCs/>
          <w:color w:val="000000"/>
          <w:lang w:eastAsia="es-MX"/>
        </w:rPr>
        <w:t xml:space="preserve"> de dos mil </w:t>
      </w:r>
      <w:r>
        <w:rPr>
          <w:rFonts w:ascii="ITC Avant Garde" w:eastAsia="Times New Roman" w:hAnsi="ITC Avant Garde"/>
          <w:bCs/>
          <w:color w:val="000000"/>
          <w:lang w:eastAsia="es-MX"/>
        </w:rPr>
        <w:t>quince</w:t>
      </w:r>
      <w:r w:rsidRPr="0010398B">
        <w:rPr>
          <w:rFonts w:ascii="ITC Avant Garde" w:eastAsia="Times New Roman" w:hAnsi="ITC Avant Garde"/>
          <w:bCs/>
          <w:color w:val="000000"/>
          <w:lang w:eastAsia="es-MX"/>
        </w:rPr>
        <w:t xml:space="preserve">, </w:t>
      </w:r>
      <w:r w:rsidR="006A7614" w:rsidRPr="006A7614">
        <w:rPr>
          <w:rFonts w:ascii="ITC Avant Garde" w:eastAsia="Times New Roman" w:hAnsi="ITC Avant Garde"/>
          <w:b/>
          <w:lang w:eastAsia="es-ES"/>
        </w:rPr>
        <w:t>LOS VERIFICADORES</w:t>
      </w:r>
      <w:r w:rsidR="006A7614" w:rsidRPr="006A7614">
        <w:rPr>
          <w:rFonts w:ascii="ITC Avant Garde" w:eastAsia="Times New Roman" w:hAnsi="ITC Avant Garde"/>
          <w:lang w:eastAsia="es-ES"/>
        </w:rPr>
        <w:t xml:space="preserve"> </w:t>
      </w:r>
      <w:r w:rsidR="0038425B">
        <w:rPr>
          <w:rFonts w:ascii="ITC Avant Garde" w:eastAsia="Times New Roman" w:hAnsi="ITC Avant Garde"/>
          <w:lang w:eastAsia="es-ES"/>
        </w:rPr>
        <w:t xml:space="preserve">se </w:t>
      </w:r>
      <w:r w:rsidR="000E0014" w:rsidRPr="000E0014">
        <w:rPr>
          <w:rFonts w:ascii="ITC Avant Garde" w:hAnsi="ITC Avant Garde"/>
        </w:rPr>
        <w:t xml:space="preserve">constituyeron en el inmueble ubicado en </w:t>
      </w:r>
      <w:r w:rsidR="00022A0F">
        <w:rPr>
          <w:rFonts w:ascii="ITC Avant Garde" w:eastAsia="Times New Roman" w:hAnsi="ITC Avant Garde"/>
          <w:bCs/>
          <w:color w:val="000000"/>
          <w:lang w:eastAsia="es-MX"/>
        </w:rPr>
        <w:t>Avenida 5 de Febrero número 1311, Colonia Nuevo Carrillo Puerto, Código Postal 76138, Santiago de Querétaro, Querétaro</w:t>
      </w:r>
      <w:r w:rsidR="000E0014" w:rsidRPr="000E0014">
        <w:rPr>
          <w:rFonts w:ascii="ITC Avant Garde" w:hAnsi="ITC Avant Garde"/>
        </w:rPr>
        <w:t xml:space="preserve">, en propiedad o en posesión de </w:t>
      </w:r>
      <w:r w:rsidR="00997A85">
        <w:rPr>
          <w:rFonts w:ascii="ITC Avant Garde" w:hAnsi="ITC Avant Garde"/>
          <w:b/>
        </w:rPr>
        <w:t>MEGA CABLE,</w:t>
      </w:r>
      <w:r w:rsidR="000E0014" w:rsidRPr="000E0014">
        <w:rPr>
          <w:rFonts w:ascii="ITC Avant Garde" w:hAnsi="ITC Avant Garde"/>
        </w:rPr>
        <w:t xml:space="preserve"> a efecto de continuar con </w:t>
      </w:r>
      <w:r w:rsidR="0038425B">
        <w:rPr>
          <w:rFonts w:ascii="ITC Avant Garde" w:hAnsi="ITC Avant Garde"/>
        </w:rPr>
        <w:t>la visita</w:t>
      </w:r>
      <w:r w:rsidR="000E0014" w:rsidRPr="000E0014">
        <w:rPr>
          <w:rFonts w:ascii="ITC Avant Garde" w:hAnsi="ITC Avant Garde"/>
        </w:rPr>
        <w:t xml:space="preserve"> de inspección-verificación o</w:t>
      </w:r>
      <w:r w:rsidR="000E0014">
        <w:rPr>
          <w:rFonts w:ascii="ITC Avant Garde" w:hAnsi="ITC Avant Garde"/>
        </w:rPr>
        <w:t xml:space="preserve">rdinaria </w:t>
      </w:r>
      <w:r w:rsidR="0051132B">
        <w:rPr>
          <w:rFonts w:ascii="ITC Avant Garde" w:hAnsi="ITC Avant Garde"/>
          <w:b/>
        </w:rPr>
        <w:t>IFT/DF/DGV/1299/2015</w:t>
      </w:r>
      <w:r w:rsidRPr="006A7614">
        <w:rPr>
          <w:rFonts w:ascii="ITC Avant Garde" w:eastAsia="Times New Roman" w:hAnsi="ITC Avant Garde"/>
          <w:bCs/>
          <w:color w:val="000000"/>
          <w:lang w:eastAsia="es-MX"/>
        </w:rPr>
        <w:t xml:space="preserve"> </w:t>
      </w:r>
      <w:r w:rsidRPr="006A7614">
        <w:rPr>
          <w:rFonts w:ascii="ITC Avant Garde" w:hAnsi="ITC Avant Garde"/>
        </w:rPr>
        <w:t xml:space="preserve">y una vez que se identificaron, fueron atendidos por </w:t>
      </w:r>
      <w:r w:rsidR="000E0014">
        <w:rPr>
          <w:rFonts w:ascii="ITC Avant Garde" w:eastAsia="Times New Roman" w:hAnsi="ITC Avant Garde"/>
          <w:bCs/>
          <w:color w:val="000000"/>
          <w:lang w:eastAsia="es-MX"/>
        </w:rPr>
        <w:t xml:space="preserve">el </w:t>
      </w:r>
      <w:r w:rsidRPr="00E0607B">
        <w:rPr>
          <w:rFonts w:ascii="ITC Avant Garde" w:eastAsia="Times New Roman" w:hAnsi="ITC Avant Garde"/>
          <w:bCs/>
          <w:color w:val="000000"/>
          <w:lang w:eastAsia="es-MX"/>
        </w:rPr>
        <w:t xml:space="preserve"> </w:t>
      </w:r>
      <w:r w:rsidRPr="00597B8D">
        <w:rPr>
          <w:rFonts w:ascii="ITC Avant Garde" w:eastAsia="Times New Roman" w:hAnsi="ITC Avant Garde"/>
          <w:b/>
          <w:bCs/>
          <w:color w:val="000000"/>
          <w:lang w:eastAsia="es-MX"/>
        </w:rPr>
        <w:t>C.</w:t>
      </w:r>
      <w:r w:rsidRPr="00E0607B">
        <w:rPr>
          <w:rFonts w:ascii="ITC Avant Garde" w:eastAsia="Times New Roman" w:hAnsi="ITC Avant Garde"/>
          <w:bCs/>
          <w:color w:val="000000"/>
          <w:lang w:eastAsia="es-MX"/>
        </w:rPr>
        <w:t xml:space="preserve"> </w:t>
      </w:r>
      <w:r w:rsidR="009E3863">
        <w:rPr>
          <w:rFonts w:ascii="ITC Avant Garde" w:hAnsi="ITC Avant Garde"/>
          <w:b/>
          <w:bCs/>
          <w:color w:val="0000FF"/>
        </w:rPr>
        <w:t>“CONFIDENCIAL POR LEY”</w:t>
      </w:r>
      <w:r w:rsidRPr="00524B87">
        <w:rPr>
          <w:rFonts w:ascii="ITC Avant Garde" w:eastAsia="Times New Roman" w:hAnsi="ITC Avant Garde"/>
          <w:bCs/>
          <w:color w:val="000000"/>
          <w:lang w:eastAsia="es-MX"/>
        </w:rPr>
        <w:t>, quien se identificó con credencial para votar</w:t>
      </w:r>
      <w:r w:rsidRPr="000F18B4">
        <w:rPr>
          <w:rFonts w:ascii="ITC Avant Garde" w:hAnsi="ITC Avant Garde" w:cs="Arial"/>
        </w:rPr>
        <w:t xml:space="preserve">, </w:t>
      </w:r>
      <w:r w:rsidRPr="00524B87">
        <w:rPr>
          <w:rFonts w:ascii="ITC Avant Garde" w:hAnsi="ITC Avant Garde"/>
        </w:rPr>
        <w:t xml:space="preserve">con </w:t>
      </w:r>
      <w:r w:rsidR="000E0014">
        <w:rPr>
          <w:rFonts w:ascii="ITC Avant Garde" w:hAnsi="ITC Avant Garde"/>
        </w:rPr>
        <w:t xml:space="preserve">clave de elector </w:t>
      </w:r>
      <w:r w:rsidR="009E3863">
        <w:rPr>
          <w:rFonts w:ascii="ITC Avant Garde" w:hAnsi="ITC Avant Garde"/>
          <w:b/>
          <w:bCs/>
          <w:color w:val="0000FF"/>
        </w:rPr>
        <w:t>“CONFIDENCIAL POR LEY”</w:t>
      </w:r>
      <w:r>
        <w:rPr>
          <w:rFonts w:ascii="ITC Avant Garde" w:hAnsi="ITC Avant Garde"/>
        </w:rPr>
        <w:t>,</w:t>
      </w:r>
      <w:r w:rsidR="00730107">
        <w:rPr>
          <w:rFonts w:ascii="ITC Avant Garde" w:hAnsi="ITC Avant Garde"/>
        </w:rPr>
        <w:t xml:space="preserve"> </w:t>
      </w:r>
      <w:r w:rsidR="00A63E0E">
        <w:rPr>
          <w:rFonts w:ascii="ITC Avant Garde" w:hAnsi="ITC Avant Garde"/>
        </w:rPr>
        <w:t xml:space="preserve">quien manifestó tener el carácter de </w:t>
      </w:r>
      <w:r w:rsidR="009E3863">
        <w:rPr>
          <w:rFonts w:ascii="ITC Avant Garde" w:hAnsi="ITC Avant Garde"/>
          <w:b/>
          <w:bCs/>
          <w:color w:val="0000FF"/>
        </w:rPr>
        <w:t xml:space="preserve">“CONFIDENCIAL POR LEY” </w:t>
      </w:r>
      <w:r w:rsidR="00A63E0E">
        <w:rPr>
          <w:rFonts w:ascii="ITC Avant Garde" w:hAnsi="ITC Avant Garde"/>
        </w:rPr>
        <w:t xml:space="preserve">de la empresa visitada, acreditando su dicho mediante credencial de empleado expedida por </w:t>
      </w:r>
      <w:r w:rsidR="00A63E0E">
        <w:rPr>
          <w:rFonts w:ascii="ITC Avant Garde" w:hAnsi="ITC Avant Garde"/>
          <w:i/>
        </w:rPr>
        <w:t>“ME</w:t>
      </w:r>
      <w:r w:rsidR="00997A85">
        <w:rPr>
          <w:rFonts w:ascii="ITC Avant Garde" w:hAnsi="ITC Avant Garde"/>
          <w:i/>
        </w:rPr>
        <w:t>GA CABLE COMUNICACIONES</w:t>
      </w:r>
      <w:r w:rsidR="00A63E0E">
        <w:rPr>
          <w:rFonts w:ascii="ITC Avant Garde" w:hAnsi="ITC Avant Garde"/>
          <w:i/>
        </w:rPr>
        <w:t>”</w:t>
      </w:r>
      <w:r w:rsidR="00A63E0E">
        <w:rPr>
          <w:rFonts w:ascii="ITC Avant Garde" w:hAnsi="ITC Avant Garde"/>
        </w:rPr>
        <w:t xml:space="preserve">, quien </w:t>
      </w:r>
      <w:r w:rsidRPr="00524B87">
        <w:rPr>
          <w:rFonts w:ascii="ITC Avant Garde" w:eastAsia="Times New Roman" w:hAnsi="ITC Avant Garde"/>
          <w:bCs/>
          <w:color w:val="000000"/>
          <w:lang w:eastAsia="es-MX"/>
        </w:rPr>
        <w:t>design</w:t>
      </w:r>
      <w:r w:rsidR="00A63E0E">
        <w:rPr>
          <w:rFonts w:ascii="ITC Avant Garde" w:eastAsia="Times New Roman" w:hAnsi="ITC Avant Garde"/>
          <w:bCs/>
          <w:color w:val="000000"/>
          <w:lang w:eastAsia="es-MX"/>
        </w:rPr>
        <w:t>ó</w:t>
      </w:r>
      <w:r w:rsidRPr="00524B87">
        <w:rPr>
          <w:rFonts w:ascii="ITC Avant Garde" w:eastAsia="Times New Roman" w:hAnsi="ITC Avant Garde"/>
          <w:bCs/>
          <w:color w:val="000000"/>
          <w:lang w:eastAsia="es-MX"/>
        </w:rPr>
        <w:t xml:space="preserve"> como testigos de asistencia a los </w:t>
      </w:r>
      <w:r w:rsidRPr="00597B8D">
        <w:rPr>
          <w:rFonts w:ascii="ITC Avant Garde" w:eastAsia="Times New Roman" w:hAnsi="ITC Avant Garde"/>
          <w:b/>
          <w:bCs/>
          <w:color w:val="000000"/>
          <w:lang w:eastAsia="es-MX"/>
        </w:rPr>
        <w:t>CC</w:t>
      </w:r>
      <w:r w:rsidR="009E3863">
        <w:rPr>
          <w:rFonts w:ascii="ITC Avant Garde" w:hAnsi="ITC Avant Garde"/>
          <w:b/>
          <w:bCs/>
          <w:color w:val="0000FF"/>
        </w:rPr>
        <w:t>“CONFIDENCIAL POR LEY”</w:t>
      </w:r>
      <w:r w:rsidR="00997A85">
        <w:rPr>
          <w:rFonts w:ascii="ITC Avant Garde" w:hAnsi="ITC Avant Garde"/>
          <w:b/>
        </w:rPr>
        <w:t xml:space="preserve"> </w:t>
      </w:r>
      <w:r w:rsidRPr="006A7614">
        <w:rPr>
          <w:rFonts w:ascii="ITC Avant Garde" w:hAnsi="ITC Avant Garde"/>
        </w:rPr>
        <w:t>(</w:t>
      </w:r>
      <w:r>
        <w:rPr>
          <w:rFonts w:ascii="ITC Avant Garde" w:hAnsi="ITC Avant Garde"/>
        </w:rPr>
        <w:t xml:space="preserve">en lo sucesivo </w:t>
      </w:r>
      <w:r w:rsidRPr="006A7614">
        <w:rPr>
          <w:rFonts w:ascii="ITC Avant Garde" w:hAnsi="ITC Avant Garde"/>
        </w:rPr>
        <w:t>“</w:t>
      </w:r>
      <w:r w:rsidRPr="006A7614">
        <w:rPr>
          <w:rFonts w:ascii="ITC Avant Garde" w:hAnsi="ITC Avant Garde"/>
          <w:b/>
        </w:rPr>
        <w:t>LOS TESTIGOS</w:t>
      </w:r>
      <w:r w:rsidR="000E0014">
        <w:rPr>
          <w:rFonts w:ascii="ITC Avant Garde" w:hAnsi="ITC Avant Garde"/>
        </w:rPr>
        <w:t>”).</w:t>
      </w:r>
    </w:p>
    <w:p w14:paraId="6FFF502F" w14:textId="77777777" w:rsidR="00E2222D" w:rsidRDefault="006A7614" w:rsidP="00907F25">
      <w:pPr>
        <w:spacing w:after="240" w:line="360" w:lineRule="auto"/>
        <w:jc w:val="both"/>
        <w:rPr>
          <w:rFonts w:ascii="ITC Avant Garde" w:eastAsia="Times New Roman" w:hAnsi="ITC Avant Garde"/>
          <w:lang w:eastAsia="es-ES"/>
        </w:rPr>
      </w:pPr>
      <w:r w:rsidRPr="006A7614">
        <w:rPr>
          <w:rFonts w:ascii="ITC Avant Garde" w:eastAsia="Times New Roman" w:hAnsi="ITC Avant Garde"/>
          <w:b/>
          <w:lang w:val="es-ES" w:eastAsia="es-ES"/>
        </w:rPr>
        <w:t>LOS VERIFICADORES</w:t>
      </w:r>
      <w:r w:rsidRPr="006A7614">
        <w:rPr>
          <w:rFonts w:ascii="ITC Avant Garde" w:eastAsia="Times New Roman" w:hAnsi="ITC Avant Garde"/>
          <w:lang w:val="es-ES" w:eastAsia="es-ES"/>
        </w:rPr>
        <w:t xml:space="preserve"> </w:t>
      </w:r>
      <w:r w:rsidR="00E777DC">
        <w:rPr>
          <w:rFonts w:ascii="ITC Avant Garde" w:eastAsia="Times New Roman" w:hAnsi="ITC Avant Garde"/>
          <w:lang w:eastAsia="es-ES"/>
        </w:rPr>
        <w:t xml:space="preserve">hicieron constar </w:t>
      </w:r>
      <w:r w:rsidR="00127246">
        <w:rPr>
          <w:rFonts w:ascii="ITC Avant Garde" w:eastAsia="Times New Roman" w:hAnsi="ITC Avant Garde"/>
          <w:lang w:eastAsia="es-ES"/>
        </w:rPr>
        <w:t xml:space="preserve">en el Acta de Verificación </w:t>
      </w:r>
      <w:r w:rsidR="00E777DC">
        <w:rPr>
          <w:rFonts w:ascii="ITC Avant Garde" w:eastAsia="Times New Roman" w:hAnsi="ITC Avant Garde"/>
          <w:lang w:eastAsia="es-ES"/>
        </w:rPr>
        <w:t>lo acontecido en la diligencia,</w:t>
      </w:r>
      <w:r w:rsidR="00FC568B">
        <w:rPr>
          <w:rFonts w:ascii="ITC Avant Garde" w:eastAsia="Times New Roman" w:hAnsi="ITC Avant Garde"/>
          <w:lang w:eastAsia="es-ES"/>
        </w:rPr>
        <w:t xml:space="preserve"> lo cual se refiere</w:t>
      </w:r>
      <w:r w:rsidR="00E777DC">
        <w:rPr>
          <w:rFonts w:ascii="ITC Avant Garde" w:eastAsia="Times New Roman" w:hAnsi="ITC Avant Garde"/>
          <w:lang w:eastAsia="es-ES"/>
        </w:rPr>
        <w:t xml:space="preserve"> esencialmente como sigue</w:t>
      </w:r>
      <w:r w:rsidRPr="006A7614">
        <w:rPr>
          <w:rFonts w:ascii="ITC Avant Garde" w:eastAsia="Times New Roman" w:hAnsi="ITC Avant Garde"/>
          <w:lang w:eastAsia="es-ES"/>
        </w:rPr>
        <w:t>:</w:t>
      </w:r>
    </w:p>
    <w:p w14:paraId="08E90025" w14:textId="77777777" w:rsidR="00E2222D" w:rsidRDefault="00A63E0E" w:rsidP="00907F25">
      <w:pPr>
        <w:spacing w:after="240" w:line="360" w:lineRule="auto"/>
        <w:jc w:val="both"/>
        <w:rPr>
          <w:rFonts w:ascii="ITC Avant Garde" w:hAnsi="ITC Avant Garde"/>
        </w:rPr>
      </w:pPr>
      <w:r>
        <w:rPr>
          <w:rFonts w:ascii="ITC Avant Garde" w:hAnsi="ITC Avant Garde"/>
        </w:rPr>
        <w:t xml:space="preserve">Con fundamento en el artículo 291 de la </w:t>
      </w:r>
      <w:r w:rsidR="00250345">
        <w:rPr>
          <w:rFonts w:ascii="ITC Avant Garde" w:hAnsi="ITC Avant Garde"/>
          <w:b/>
        </w:rPr>
        <w:t>LFTR</w:t>
      </w:r>
      <w:r>
        <w:rPr>
          <w:rFonts w:ascii="ITC Avant Garde" w:hAnsi="ITC Avant Garde"/>
        </w:rPr>
        <w:t xml:space="preserve"> y en los artículos 63 y 64 de la </w:t>
      </w:r>
      <w:r w:rsidR="00997A85">
        <w:rPr>
          <w:rFonts w:ascii="ITC Avant Garde" w:hAnsi="ITC Avant Garde"/>
          <w:b/>
        </w:rPr>
        <w:t>LFPA</w:t>
      </w:r>
      <w:r>
        <w:rPr>
          <w:rFonts w:ascii="ITC Avant Garde" w:hAnsi="ITC Avant Garde"/>
          <w:b/>
        </w:rPr>
        <w:t xml:space="preserve">, </w:t>
      </w:r>
      <w:r w:rsidRPr="00FF4ECF">
        <w:rPr>
          <w:rFonts w:ascii="ITC Avant Garde" w:hAnsi="ITC Avant Garde"/>
          <w:b/>
        </w:rPr>
        <w:t>LOS VERIFICADORES</w:t>
      </w:r>
      <w:r>
        <w:rPr>
          <w:rFonts w:ascii="ITC Avant Garde" w:hAnsi="ITC Avant Garde"/>
          <w:b/>
        </w:rPr>
        <w:t xml:space="preserve"> </w:t>
      </w:r>
      <w:r>
        <w:rPr>
          <w:rFonts w:ascii="ITC Avant Garde" w:hAnsi="ITC Avant Garde"/>
        </w:rPr>
        <w:t>solicitaron a la persona que recibió la visita les permitiera el acceso al inmueble y poner a disposición de los mismos, los medios indispensables que le sean requeridos para el cumplimiento de su cometido.</w:t>
      </w:r>
    </w:p>
    <w:p w14:paraId="2CEF4CC6" w14:textId="77777777" w:rsidR="00E2222D" w:rsidRDefault="00A63E0E" w:rsidP="00907F25">
      <w:pPr>
        <w:spacing w:after="240" w:line="360" w:lineRule="auto"/>
        <w:jc w:val="both"/>
        <w:rPr>
          <w:rFonts w:ascii="ITC Avant Garde" w:hAnsi="ITC Avant Garde"/>
          <w:i/>
        </w:rPr>
      </w:pPr>
      <w:r>
        <w:rPr>
          <w:rFonts w:ascii="ITC Avant Garde" w:hAnsi="ITC Avant Garde"/>
        </w:rPr>
        <w:t>La persona que atendió la diligencia manifestó:</w:t>
      </w:r>
      <w:r>
        <w:rPr>
          <w:rFonts w:ascii="ITC Avant Garde" w:hAnsi="ITC Avant Garde"/>
          <w:i/>
        </w:rPr>
        <w:t xml:space="preserve"> “Adelante, brindo las facilidades necesarias para el cumplimiento de su comisión”</w:t>
      </w:r>
      <w:r w:rsidR="009D2282">
        <w:rPr>
          <w:rFonts w:ascii="ITC Avant Garde" w:hAnsi="ITC Avant Garde"/>
          <w:i/>
        </w:rPr>
        <w:t>.</w:t>
      </w:r>
    </w:p>
    <w:p w14:paraId="6D9BF3CB" w14:textId="77777777" w:rsidR="00E2222D" w:rsidRDefault="00A63E0E" w:rsidP="00907F25">
      <w:pPr>
        <w:spacing w:after="240" w:line="360" w:lineRule="auto"/>
        <w:jc w:val="both"/>
        <w:rPr>
          <w:rFonts w:ascii="ITC Avant Garde" w:hAnsi="ITC Avant Garde"/>
        </w:rPr>
      </w:pPr>
      <w:r w:rsidRPr="00FF4ECF">
        <w:rPr>
          <w:rFonts w:ascii="ITC Avant Garde" w:hAnsi="ITC Avant Garde"/>
          <w:b/>
        </w:rPr>
        <w:t>LOS VERIFICADORES</w:t>
      </w:r>
      <w:r>
        <w:rPr>
          <w:rFonts w:ascii="ITC Avant Garde" w:hAnsi="ITC Avant Garde"/>
          <w:b/>
        </w:rPr>
        <w:t xml:space="preserve"> </w:t>
      </w:r>
      <w:r>
        <w:rPr>
          <w:rFonts w:ascii="ITC Avant Garde" w:hAnsi="ITC Avant Garde"/>
        </w:rPr>
        <w:t xml:space="preserve">en compañía de la persona que atendió la diligencia y </w:t>
      </w:r>
      <w:r w:rsidR="00997A85">
        <w:rPr>
          <w:rFonts w:ascii="ITC Avant Garde" w:hAnsi="ITC Avant Garde"/>
          <w:b/>
        </w:rPr>
        <w:t>LOS TESTIGOS</w:t>
      </w:r>
      <w:r>
        <w:rPr>
          <w:rFonts w:ascii="ITC Avant Garde" w:hAnsi="ITC Avant Garde"/>
        </w:rPr>
        <w:t xml:space="preserve"> procedieron a verificar e inspeccionar el inmueble encontrando que:</w:t>
      </w:r>
    </w:p>
    <w:p w14:paraId="3DA2DDD0" w14:textId="77777777" w:rsidR="00E12243" w:rsidRDefault="00A63E0E" w:rsidP="00907F25">
      <w:pPr>
        <w:spacing w:after="240" w:line="360" w:lineRule="auto"/>
        <w:ind w:left="851" w:right="900"/>
        <w:jc w:val="both"/>
        <w:rPr>
          <w:rFonts w:ascii="ITC Avant Garde" w:hAnsi="ITC Avant Garde"/>
          <w:i/>
          <w:sz w:val="20"/>
        </w:rPr>
        <w:sectPr w:rsidR="00E12243" w:rsidSect="00802C6F">
          <w:headerReference w:type="default" r:id="rId13"/>
          <w:pgSz w:w="12240" w:h="15840"/>
          <w:pgMar w:top="2126" w:right="1325" w:bottom="1701" w:left="1701" w:header="709" w:footer="962" w:gutter="0"/>
          <w:cols w:space="708"/>
          <w:docGrid w:linePitch="360"/>
        </w:sectPr>
      </w:pPr>
      <w:r w:rsidRPr="00F32E58">
        <w:rPr>
          <w:rFonts w:ascii="ITC Avant Garde" w:hAnsi="ITC Avant Garde"/>
          <w:i/>
          <w:sz w:val="20"/>
        </w:rPr>
        <w:t>“</w:t>
      </w:r>
      <w:r w:rsidR="00880FA8" w:rsidRPr="00F32E58">
        <w:rPr>
          <w:rFonts w:ascii="ITC Avant Garde" w:hAnsi="ITC Avant Garde"/>
          <w:i/>
          <w:sz w:val="20"/>
        </w:rPr>
        <w:t>Se trata de un predio de aprox. 5760 metros cuadrados de superficie, visto desde el exterior tiene fachada de color blanco con azul, en su parte frontal se observa la leyenda ‘MEGA C</w:t>
      </w:r>
      <w:r w:rsidR="00FC0322" w:rsidRPr="00F32E58">
        <w:rPr>
          <w:rFonts w:ascii="ITC Avant Garde" w:hAnsi="ITC Avant Garde"/>
          <w:i/>
          <w:sz w:val="20"/>
        </w:rPr>
        <w:t>ABLE</w:t>
      </w:r>
      <w:r w:rsidR="00880FA8" w:rsidRPr="00F32E58">
        <w:rPr>
          <w:rFonts w:ascii="ITC Avant Garde" w:hAnsi="ITC Avant Garde"/>
          <w:i/>
          <w:sz w:val="20"/>
        </w:rPr>
        <w:t>’; en su interior se tienen oficinas de cobranza, ventas y atención a clientes; se aprecia también en su exterior un acceso a oficinas administrativas con su respectiva recepción</w:t>
      </w:r>
      <w:r w:rsidR="00C63A65" w:rsidRPr="00F32E58">
        <w:rPr>
          <w:rFonts w:ascii="ITC Avant Garde" w:hAnsi="ITC Avant Garde"/>
          <w:i/>
          <w:sz w:val="20"/>
        </w:rPr>
        <w:t xml:space="preserve">, tanto el acceso al área de cobranza, ventas y de atención a clientes como el de las </w:t>
      </w:r>
    </w:p>
    <w:p w14:paraId="661D1AC9" w14:textId="79D00D80" w:rsidR="00E2222D" w:rsidRDefault="00C63A65" w:rsidP="00907F25">
      <w:pPr>
        <w:spacing w:after="240" w:line="360" w:lineRule="auto"/>
        <w:ind w:left="851" w:right="900"/>
        <w:jc w:val="both"/>
        <w:rPr>
          <w:rFonts w:ascii="ITC Avant Garde" w:hAnsi="ITC Avant Garde"/>
          <w:sz w:val="20"/>
        </w:rPr>
      </w:pPr>
      <w:r w:rsidRPr="00F32E58">
        <w:rPr>
          <w:rFonts w:ascii="ITC Avant Garde" w:hAnsi="ITC Avant Garde"/>
          <w:i/>
          <w:sz w:val="20"/>
        </w:rPr>
        <w:lastRenderedPageBreak/>
        <w:t>oficinas administrativas muestra el nombre comercial de ‘MEGA C</w:t>
      </w:r>
      <w:r w:rsidR="00730107" w:rsidRPr="00F32E58">
        <w:rPr>
          <w:rFonts w:ascii="ITC Avant Garde" w:hAnsi="ITC Avant Garde"/>
          <w:i/>
          <w:sz w:val="20"/>
        </w:rPr>
        <w:t>ABLE</w:t>
      </w:r>
      <w:r w:rsidRPr="00F32E58">
        <w:rPr>
          <w:rFonts w:ascii="ITC Avant Garde" w:hAnsi="ITC Avant Garde"/>
          <w:i/>
          <w:sz w:val="20"/>
        </w:rPr>
        <w:t>’. Nos ubicamos dentro de una oficina del CRC en donde se dan las facilidades para el levantamiento de la presente acta</w:t>
      </w:r>
      <w:r w:rsidR="00A55449" w:rsidRPr="00F32E58">
        <w:rPr>
          <w:rFonts w:ascii="ITC Avant Garde" w:hAnsi="ITC Avant Garde"/>
          <w:i/>
          <w:sz w:val="20"/>
        </w:rPr>
        <w:t>.</w:t>
      </w:r>
      <w:r w:rsidR="00A63E0E" w:rsidRPr="00F32E58">
        <w:rPr>
          <w:rFonts w:ascii="ITC Avant Garde" w:hAnsi="ITC Avant Garde"/>
          <w:i/>
          <w:sz w:val="20"/>
        </w:rPr>
        <w:t>”</w:t>
      </w:r>
      <w:r w:rsidR="00880FA8" w:rsidRPr="00F32E58">
        <w:rPr>
          <w:rFonts w:ascii="ITC Avant Garde" w:hAnsi="ITC Avant Garde"/>
          <w:sz w:val="20"/>
        </w:rPr>
        <w:t>.</w:t>
      </w:r>
    </w:p>
    <w:p w14:paraId="6F622981" w14:textId="77777777" w:rsidR="00E2222D" w:rsidRDefault="00A55449" w:rsidP="00907F25">
      <w:pPr>
        <w:spacing w:after="240" w:line="360" w:lineRule="auto"/>
        <w:contextualSpacing/>
        <w:jc w:val="both"/>
        <w:rPr>
          <w:rFonts w:ascii="ITC Avant Garde" w:hAnsi="ITC Avant Garde"/>
        </w:rPr>
      </w:pPr>
      <w:r>
        <w:rPr>
          <w:rFonts w:ascii="ITC Avant Garde" w:eastAsia="Times New Roman" w:hAnsi="ITC Avant Garde"/>
          <w:lang w:eastAsia="es-ES"/>
        </w:rPr>
        <w:t xml:space="preserve">Acto seguido, </w:t>
      </w:r>
      <w:r w:rsidRPr="00FF4ECF">
        <w:rPr>
          <w:rFonts w:ascii="ITC Avant Garde" w:hAnsi="ITC Avant Garde"/>
          <w:b/>
        </w:rPr>
        <w:t>LOS VERIFICADORES</w:t>
      </w:r>
      <w:r>
        <w:rPr>
          <w:rFonts w:ascii="ITC Avant Garde" w:hAnsi="ITC Avant Garde"/>
          <w:b/>
        </w:rPr>
        <w:t xml:space="preserve"> </w:t>
      </w:r>
      <w:r>
        <w:rPr>
          <w:rFonts w:ascii="ITC Avant Garde" w:hAnsi="ITC Avant Garde"/>
        </w:rPr>
        <w:t xml:space="preserve">en compañía de la persona que recibió la visita y </w:t>
      </w:r>
      <w:r w:rsidR="00880FA8">
        <w:rPr>
          <w:rFonts w:ascii="ITC Avant Garde" w:hAnsi="ITC Avant Garde"/>
          <w:b/>
        </w:rPr>
        <w:t>LOS TESTIGOS</w:t>
      </w:r>
      <w:r>
        <w:rPr>
          <w:rFonts w:ascii="ITC Avant Garde" w:hAnsi="ITC Avant Garde"/>
        </w:rPr>
        <w:t xml:space="preserve"> procedieron a verificar e inspeccionar el cuarto de telecomunicaciones encontrando que se trata de:</w:t>
      </w:r>
    </w:p>
    <w:p w14:paraId="46504983" w14:textId="77777777" w:rsidR="00E2222D" w:rsidRDefault="00A55449" w:rsidP="00907F25">
      <w:pPr>
        <w:spacing w:after="240" w:line="360" w:lineRule="auto"/>
        <w:ind w:left="851" w:right="902"/>
        <w:contextualSpacing/>
        <w:jc w:val="both"/>
        <w:rPr>
          <w:rFonts w:ascii="ITC Avant Garde" w:eastAsia="Times New Roman" w:hAnsi="ITC Avant Garde"/>
          <w:i/>
          <w:sz w:val="20"/>
          <w:lang w:eastAsia="es-ES"/>
        </w:rPr>
      </w:pPr>
      <w:r w:rsidRPr="00F32E58">
        <w:rPr>
          <w:rFonts w:ascii="ITC Avant Garde" w:hAnsi="ITC Avant Garde"/>
          <w:i/>
          <w:sz w:val="20"/>
        </w:rPr>
        <w:t>“</w:t>
      </w:r>
      <w:r w:rsidR="00880FA8" w:rsidRPr="00F32E58">
        <w:rPr>
          <w:rFonts w:ascii="ITC Avant Garde" w:hAnsi="ITC Avant Garde"/>
          <w:i/>
          <w:sz w:val="20"/>
        </w:rPr>
        <w:t>Un cuarto de aprox. 110 metros cuadrados, en su interior se aprecian un total de 32 racks con equipos de telecomunicaciones tales como demuladores analógicos y digitales, receptores, encoders, routers, switches, entre otros, todos ellos encendidos y operando utilizados para prestar los servicios de televisión restringida por cable, telefonía e internet. En la azotea del inmueble se encuentra una torre de radiocomunicación de 20 m, también se encuentran 7 antenas parabólicas, de las cuales solamente una se encuentra conectada y es utilizada para la recepción de señales vía satélite, además de dos antenas tipo yagi para la recepción de señales radiodifundidas</w:t>
      </w:r>
      <w:r w:rsidR="0060792D" w:rsidRPr="00F32E58">
        <w:rPr>
          <w:rFonts w:ascii="ITC Avant Garde" w:hAnsi="ITC Avant Garde"/>
          <w:i/>
          <w:sz w:val="20"/>
        </w:rPr>
        <w:t>.</w:t>
      </w:r>
      <w:r w:rsidRPr="00F32E58">
        <w:rPr>
          <w:rFonts w:ascii="ITC Avant Garde" w:hAnsi="ITC Avant Garde"/>
          <w:i/>
          <w:sz w:val="20"/>
        </w:rPr>
        <w:t>”</w:t>
      </w:r>
    </w:p>
    <w:p w14:paraId="3884FFDE" w14:textId="77777777" w:rsidR="00E2222D" w:rsidRDefault="00EF5F6A" w:rsidP="00907F25">
      <w:pPr>
        <w:spacing w:after="240" w:line="360" w:lineRule="auto"/>
        <w:contextualSpacing/>
        <w:jc w:val="both"/>
        <w:rPr>
          <w:rFonts w:ascii="ITC Avant Garde" w:hAnsi="ITC Avant Garde"/>
        </w:rPr>
      </w:pPr>
      <w:r w:rsidRPr="00FF4ECF">
        <w:rPr>
          <w:rFonts w:ascii="ITC Avant Garde" w:hAnsi="ITC Avant Garde"/>
          <w:b/>
        </w:rPr>
        <w:t>LOS VERIFICADORES</w:t>
      </w:r>
      <w:r>
        <w:rPr>
          <w:rFonts w:ascii="ITC Avant Garde" w:hAnsi="ITC Avant Garde"/>
          <w:b/>
        </w:rPr>
        <w:t xml:space="preserve"> </w:t>
      </w:r>
      <w:r>
        <w:rPr>
          <w:rFonts w:ascii="ITC Avant Garde" w:hAnsi="ITC Avant Garde"/>
        </w:rPr>
        <w:t xml:space="preserve">con base en los artículos 5, 11 y 12 de </w:t>
      </w:r>
      <w:r w:rsidR="00FC0322">
        <w:rPr>
          <w:rFonts w:ascii="ITC Avant Garde" w:hAnsi="ITC Avant Garde"/>
        </w:rPr>
        <w:t xml:space="preserve">los </w:t>
      </w:r>
      <w:r w:rsidR="00FC0322">
        <w:rPr>
          <w:rFonts w:ascii="ITC Avant Garde" w:hAnsi="ITC Avant Garde"/>
          <w:b/>
        </w:rPr>
        <w:t xml:space="preserve">LINEAMIENTOS, </w:t>
      </w:r>
      <w:r w:rsidR="00FC0322">
        <w:rPr>
          <w:rFonts w:ascii="ITC Avant Garde" w:hAnsi="ITC Avant Garde"/>
        </w:rPr>
        <w:t xml:space="preserve">sus respectivas modificaciones contenidas en el </w:t>
      </w:r>
      <w:r w:rsidR="00FC0322">
        <w:rPr>
          <w:rFonts w:ascii="ITC Avant Garde" w:hAnsi="ITC Avant Garde"/>
          <w:b/>
        </w:rPr>
        <w:t xml:space="preserve">ACUERDO MODIFICATORIO; </w:t>
      </w:r>
      <w:r w:rsidR="00FC0322">
        <w:rPr>
          <w:rFonts w:ascii="ITC Avant Garde" w:hAnsi="ITC Avant Garde"/>
        </w:rPr>
        <w:t xml:space="preserve">el </w:t>
      </w:r>
      <w:r w:rsidR="00FC0322">
        <w:rPr>
          <w:rFonts w:ascii="ITC Avant Garde" w:hAnsi="ITC Avant Garde"/>
          <w:b/>
        </w:rPr>
        <w:t xml:space="preserve">LISTADO </w:t>
      </w:r>
      <w:r w:rsidR="00FC0322">
        <w:rPr>
          <w:rFonts w:ascii="ITC Avant Garde" w:hAnsi="ITC Avant Garde"/>
        </w:rPr>
        <w:t xml:space="preserve">y sus correspondientes </w:t>
      </w:r>
      <w:r w:rsidR="00FC0322">
        <w:rPr>
          <w:rFonts w:ascii="ITC Avant Garde" w:hAnsi="ITC Avant Garde"/>
          <w:b/>
        </w:rPr>
        <w:t>ACTUALIZACIONES,</w:t>
      </w:r>
      <w:r w:rsidR="001418B5">
        <w:rPr>
          <w:rFonts w:ascii="ITC Avant Garde" w:hAnsi="ITC Avant Garde"/>
        </w:rPr>
        <w:t xml:space="preserve"> en presencia de </w:t>
      </w:r>
      <w:r w:rsidR="00AD136A">
        <w:rPr>
          <w:rFonts w:ascii="ITC Avant Garde" w:hAnsi="ITC Avant Garde"/>
          <w:b/>
        </w:rPr>
        <w:t>LOS TESTIGOS</w:t>
      </w:r>
      <w:r w:rsidR="001418B5">
        <w:rPr>
          <w:rFonts w:ascii="ITC Avant Garde" w:hAnsi="ITC Avant Garde"/>
        </w:rPr>
        <w:t xml:space="preserve">, solicitaron a la persona que recibió la diligencia conectar una pantalla con la capacidad de poder mostrar las señales radiodifundidas digitales y analógicas, </w:t>
      </w:r>
      <w:r w:rsidR="0038425B">
        <w:rPr>
          <w:rFonts w:ascii="ITC Avant Garde" w:hAnsi="ITC Avant Garde"/>
        </w:rPr>
        <w:t>colocando</w:t>
      </w:r>
      <w:r w:rsidR="001418B5">
        <w:rPr>
          <w:rFonts w:ascii="ITC Avant Garde" w:hAnsi="ITC Avant Garde"/>
        </w:rPr>
        <w:t xml:space="preserve"> una antena aérea con capacidad de recepción de frecuencias en las bandas VHF y UHF a fin de corroborar las señales radiodifundidas </w:t>
      </w:r>
      <w:r w:rsidR="00876E5B">
        <w:rPr>
          <w:rFonts w:ascii="ITC Avant Garde" w:hAnsi="ITC Avant Garde"/>
        </w:rPr>
        <w:t>en esa población</w:t>
      </w:r>
      <w:r w:rsidR="001418B5">
        <w:rPr>
          <w:rFonts w:ascii="ITC Avant Garde" w:hAnsi="ITC Avant Garde"/>
        </w:rPr>
        <w:t>.</w:t>
      </w:r>
    </w:p>
    <w:p w14:paraId="25CA0129" w14:textId="4948DA0E" w:rsidR="00E2222D" w:rsidRDefault="001418B5" w:rsidP="00907F25">
      <w:pPr>
        <w:spacing w:after="240" w:line="360" w:lineRule="auto"/>
        <w:contextualSpacing/>
        <w:jc w:val="both"/>
        <w:rPr>
          <w:rFonts w:ascii="ITC Avant Garde" w:hAnsi="ITC Avant Garde"/>
          <w:i/>
        </w:rPr>
      </w:pPr>
      <w:r>
        <w:rPr>
          <w:rFonts w:ascii="ITC Avant Garde" w:hAnsi="ITC Avant Garde"/>
        </w:rPr>
        <w:t xml:space="preserve">Al respecto, la persona que recibió la visita señaló: </w:t>
      </w:r>
      <w:r w:rsidR="00AD136A">
        <w:rPr>
          <w:rFonts w:ascii="ITC Avant Garde" w:hAnsi="ITC Avant Garde"/>
          <w:i/>
        </w:rPr>
        <w:t>“</w:t>
      </w:r>
      <w:r>
        <w:rPr>
          <w:rFonts w:ascii="ITC Avant Garde" w:hAnsi="ITC Avant Garde"/>
          <w:i/>
        </w:rPr>
        <w:t xml:space="preserve">En este momento conectamos una pantalla digital marca </w:t>
      </w:r>
      <w:r w:rsidR="00AD136A">
        <w:rPr>
          <w:rFonts w:ascii="ITC Avant Garde" w:hAnsi="ITC Avant Garde"/>
          <w:i/>
        </w:rPr>
        <w:t>PHILIPS de 32</w:t>
      </w:r>
      <w:r>
        <w:rPr>
          <w:rFonts w:ascii="ITC Avant Garde" w:hAnsi="ITC Avant Garde"/>
          <w:i/>
        </w:rPr>
        <w:t xml:space="preserve"> pulgadas modelo </w:t>
      </w:r>
      <w:r w:rsidR="00730107">
        <w:rPr>
          <w:rFonts w:ascii="ITC Avant Garde" w:hAnsi="ITC Avant Garde"/>
          <w:i/>
        </w:rPr>
        <w:t>32PFL</w:t>
      </w:r>
      <w:r w:rsidR="00AD136A">
        <w:rPr>
          <w:rFonts w:ascii="ITC Avant Garde" w:hAnsi="ITC Avant Garde"/>
          <w:i/>
        </w:rPr>
        <w:t>2508/F8</w:t>
      </w:r>
      <w:r>
        <w:rPr>
          <w:rFonts w:ascii="ITC Avant Garde" w:hAnsi="ITC Avant Garde"/>
          <w:i/>
        </w:rPr>
        <w:t xml:space="preserve"> </w:t>
      </w:r>
      <w:r w:rsidR="002B3B9E">
        <w:rPr>
          <w:rFonts w:ascii="ITC Avant Garde" w:hAnsi="ITC Avant Garde"/>
          <w:i/>
        </w:rPr>
        <w:t>con resolución de 1080i (1920X1080 pixeles) que tiene la capacidad de mostrar s</w:t>
      </w:r>
      <w:r w:rsidR="00AD136A">
        <w:rPr>
          <w:rFonts w:ascii="ITC Avant Garde" w:hAnsi="ITC Avant Garde"/>
          <w:i/>
        </w:rPr>
        <w:t>eñales digitales con calidad SD y</w:t>
      </w:r>
      <w:r w:rsidR="002B3B9E">
        <w:rPr>
          <w:rFonts w:ascii="ITC Avant Garde" w:hAnsi="ITC Avant Garde"/>
          <w:i/>
        </w:rPr>
        <w:t xml:space="preserve"> HD, así como señales analógicas con calidad NTSC, con la finalidad de corroborar las señales radiodifundidas de cualquier concesionario de televisión radiodifundida dentro de la misma zona de cobertura geográfica. La pantalla se encuentra conectada a una antena aérea instalada en la azotea,</w:t>
      </w:r>
      <w:r w:rsidR="00AD136A">
        <w:rPr>
          <w:rFonts w:ascii="ITC Avant Garde" w:hAnsi="ITC Avant Garde"/>
          <w:i/>
        </w:rPr>
        <w:t xml:space="preserve"> antena tipo yagi </w:t>
      </w:r>
      <w:r w:rsidR="00AD136A">
        <w:rPr>
          <w:rFonts w:ascii="ITC Avant Garde" w:hAnsi="ITC Avant Garde"/>
          <w:i/>
        </w:rPr>
        <w:lastRenderedPageBreak/>
        <w:t>de varios</w:t>
      </w:r>
      <w:r w:rsidR="002B3B9E">
        <w:rPr>
          <w:rFonts w:ascii="ITC Avant Garde" w:hAnsi="ITC Avant Garde"/>
          <w:i/>
        </w:rPr>
        <w:t xml:space="preserve"> elementos marca steren para exteriores VHF (recepción 88-230 MHZ) y UHF (recepción 470 a 900 Mhz) compatible para recibir señales radiodifundidas digitales y analógicas, orientada hacia el cerro de</w:t>
      </w:r>
      <w:r w:rsidR="00AD136A">
        <w:rPr>
          <w:rFonts w:ascii="ITC Avant Garde" w:hAnsi="ITC Avant Garde"/>
          <w:i/>
        </w:rPr>
        <w:t>l</w:t>
      </w:r>
      <w:r w:rsidR="002B3B9E">
        <w:rPr>
          <w:rFonts w:ascii="ITC Avant Garde" w:hAnsi="ITC Avant Garde"/>
          <w:i/>
        </w:rPr>
        <w:t xml:space="preserve"> “</w:t>
      </w:r>
      <w:r w:rsidR="00AD136A">
        <w:rPr>
          <w:rFonts w:ascii="ITC Avant Garde" w:hAnsi="ITC Avant Garde"/>
          <w:i/>
        </w:rPr>
        <w:t>Cimatario</w:t>
      </w:r>
      <w:r w:rsidR="002B3B9E">
        <w:rPr>
          <w:rFonts w:ascii="ITC Avant Garde" w:hAnsi="ITC Avant Garde"/>
          <w:i/>
        </w:rPr>
        <w:t>” donde se encuentran las estaciones terrenas transmisoras, autorizo tomen fotografías de las señales radiodifundidas mostradas, así como de la pantalla y de la antena utilizados para este escenario.</w:t>
      </w:r>
      <w:r>
        <w:rPr>
          <w:rFonts w:ascii="ITC Avant Garde" w:hAnsi="ITC Avant Garde"/>
          <w:i/>
        </w:rPr>
        <w:t>”</w:t>
      </w:r>
    </w:p>
    <w:p w14:paraId="4DAB4908" w14:textId="7D338FCB" w:rsidR="00E2222D" w:rsidRDefault="002B3B9E" w:rsidP="00907F25">
      <w:pPr>
        <w:spacing w:after="240" w:line="360" w:lineRule="auto"/>
        <w:contextualSpacing/>
        <w:jc w:val="both"/>
        <w:rPr>
          <w:rFonts w:ascii="ITC Avant Garde" w:hAnsi="ITC Avant Garde"/>
        </w:rPr>
      </w:pPr>
      <w:r w:rsidRPr="00FF4ECF">
        <w:rPr>
          <w:rFonts w:ascii="ITC Avant Garde" w:hAnsi="ITC Avant Garde"/>
          <w:b/>
        </w:rPr>
        <w:t>LOS VERIFICADORES</w:t>
      </w:r>
      <w:r>
        <w:rPr>
          <w:rFonts w:ascii="ITC Avant Garde" w:hAnsi="ITC Avant Garde"/>
          <w:b/>
        </w:rPr>
        <w:t xml:space="preserve"> </w:t>
      </w:r>
      <w:r>
        <w:rPr>
          <w:rFonts w:ascii="ITC Avant Garde" w:hAnsi="ITC Avant Garde"/>
        </w:rPr>
        <w:t xml:space="preserve">en presencia de </w:t>
      </w:r>
      <w:r w:rsidR="00AD136A">
        <w:rPr>
          <w:rFonts w:ascii="ITC Avant Garde" w:hAnsi="ITC Avant Garde"/>
          <w:b/>
        </w:rPr>
        <w:t>LOS TESTIGOS</w:t>
      </w:r>
      <w:r>
        <w:rPr>
          <w:rFonts w:ascii="ITC Avant Garde" w:hAnsi="ITC Avant Garde"/>
          <w:b/>
        </w:rPr>
        <w:t xml:space="preserve"> </w:t>
      </w:r>
      <w:r>
        <w:rPr>
          <w:rFonts w:ascii="ITC Avant Garde" w:hAnsi="ITC Avant Garde"/>
        </w:rPr>
        <w:t xml:space="preserve">y de la persona que atendió la diligencia agregaron como </w:t>
      </w:r>
      <w:r w:rsidR="00AD136A">
        <w:rPr>
          <w:rFonts w:ascii="ITC Avant Garde" w:hAnsi="ITC Avant Garde"/>
          <w:b/>
        </w:rPr>
        <w:t>TABLA 1</w:t>
      </w:r>
      <w:r>
        <w:rPr>
          <w:rFonts w:ascii="ITC Avant Garde" w:hAnsi="ITC Avant Garde"/>
        </w:rPr>
        <w:t xml:space="preserve"> las señales radiodifundidas</w:t>
      </w:r>
      <w:r w:rsidR="0038425B">
        <w:rPr>
          <w:rFonts w:ascii="ITC Avant Garde" w:hAnsi="ITC Avant Garde"/>
        </w:rPr>
        <w:t xml:space="preserve"> mostradas en la citada pantalla</w:t>
      </w:r>
      <w:r w:rsidR="008D6234">
        <w:rPr>
          <w:rFonts w:ascii="ITC Avant Garde" w:hAnsi="ITC Avant Garde"/>
        </w:rPr>
        <w:t xml:space="preserve"> cuyo resultado fue el siguiente</w:t>
      </w:r>
      <w:r>
        <w:rPr>
          <w:rFonts w:ascii="ITC Avant Garde" w:hAnsi="ITC Avant Garde"/>
        </w:rPr>
        <w:t>:</w:t>
      </w:r>
    </w:p>
    <w:p w14:paraId="3E205F06" w14:textId="3BD7F760" w:rsidR="007F7C4D" w:rsidRPr="007F7C4D" w:rsidRDefault="007F7C4D" w:rsidP="007F7C4D">
      <w:pPr>
        <w:spacing w:after="240" w:line="360" w:lineRule="auto"/>
        <w:contextualSpacing/>
        <w:jc w:val="center"/>
        <w:rPr>
          <w:rFonts w:ascii="ITC Avant Garde" w:hAnsi="ITC Avant Garde"/>
          <w:b/>
        </w:rPr>
      </w:pPr>
      <w:r w:rsidRPr="007F7C4D">
        <w:rPr>
          <w:rFonts w:ascii="ITC Avant Garde" w:hAnsi="ITC Avant Garde"/>
          <w:b/>
        </w:rPr>
        <w:t>TABLA 1</w:t>
      </w:r>
    </w:p>
    <w:p w14:paraId="4BD1C9B0" w14:textId="255F9C8C" w:rsidR="00907F25" w:rsidRDefault="00D125A3" w:rsidP="00907F25">
      <w:pPr>
        <w:spacing w:after="240" w:line="360" w:lineRule="auto"/>
        <w:jc w:val="center"/>
        <w:rPr>
          <w:rFonts w:ascii="Arial" w:hAnsi="Arial" w:cs="Arial"/>
          <w:b/>
        </w:rPr>
      </w:pPr>
      <w:r>
        <w:rPr>
          <w:noProof/>
          <w:lang w:eastAsia="es-MX"/>
        </w:rPr>
        <w:drawing>
          <wp:inline distT="0" distB="0" distL="0" distR="0" wp14:anchorId="1E7F7FCB" wp14:editId="387E851B">
            <wp:extent cx="5435600" cy="4827270"/>
            <wp:effectExtent l="0" t="0" r="0" b="0"/>
            <wp:docPr id="3" name="Imagen 3" descr="Esta imagen muestra las ubicaciones de las estaciones de TV, radiodifundida, la estación, la banda de tv o TDT, canal radiodifundida, canal multiprogramado, nombre comercial, calidad de la señal y observaciones." title="Tab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2653" t="29417" r="31308" b="14277"/>
                    <a:stretch/>
                  </pic:blipFill>
                  <pic:spPr bwMode="auto">
                    <a:xfrm>
                      <a:off x="0" y="0"/>
                      <a:ext cx="5435600" cy="4827270"/>
                    </a:xfrm>
                    <a:prstGeom prst="rect">
                      <a:avLst/>
                    </a:prstGeom>
                    <a:ln>
                      <a:noFill/>
                    </a:ln>
                    <a:extLst>
                      <a:ext uri="{53640926-AAD7-44D8-BBD7-CCE9431645EC}">
                        <a14:shadowObscured xmlns:a14="http://schemas.microsoft.com/office/drawing/2010/main"/>
                      </a:ext>
                    </a:extLst>
                  </pic:spPr>
                </pic:pic>
              </a:graphicData>
            </a:graphic>
          </wp:inline>
        </w:drawing>
      </w:r>
    </w:p>
    <w:p w14:paraId="5CBB877E" w14:textId="5993AA9D" w:rsidR="00E219CF" w:rsidRPr="00F84B6A" w:rsidRDefault="00E219CF" w:rsidP="00907F25">
      <w:pPr>
        <w:spacing w:after="240" w:line="360" w:lineRule="auto"/>
        <w:jc w:val="both"/>
        <w:rPr>
          <w:rFonts w:ascii="ITC Avant Garde" w:hAnsi="ITC Avant Garde" w:cs="Arial"/>
          <w:sz w:val="21"/>
          <w:szCs w:val="21"/>
        </w:rPr>
      </w:pPr>
      <w:r w:rsidRPr="00F84B6A">
        <w:rPr>
          <w:rFonts w:ascii="ITC Avant Garde" w:hAnsi="ITC Avant Garde" w:cs="Arial"/>
          <w:sz w:val="21"/>
          <w:szCs w:val="21"/>
          <w:vertAlign w:val="superscript"/>
        </w:rPr>
        <w:lastRenderedPageBreak/>
        <w:t>(1)</w:t>
      </w:r>
      <w:r w:rsidRPr="00F84B6A">
        <w:rPr>
          <w:rFonts w:ascii="ITC Avant Garde" w:hAnsi="ITC Avant Garde" w:cs="Arial"/>
          <w:sz w:val="21"/>
          <w:szCs w:val="21"/>
        </w:rPr>
        <w:t xml:space="preserve"> </w:t>
      </w:r>
      <w:r w:rsidRPr="00F84B6A">
        <w:rPr>
          <w:rFonts w:ascii="ITC Avant Garde" w:hAnsi="ITC Avant Garde" w:cs="Arial"/>
          <w:sz w:val="14"/>
          <w:szCs w:val="14"/>
        </w:rPr>
        <w:t>En banda TV no existe canal multiprogramado.</w:t>
      </w:r>
    </w:p>
    <w:p w14:paraId="6E24EA45" w14:textId="77777777" w:rsidR="00E2222D" w:rsidRDefault="00E219CF" w:rsidP="00907F25">
      <w:pPr>
        <w:spacing w:after="240" w:line="360" w:lineRule="auto"/>
        <w:jc w:val="both"/>
        <w:rPr>
          <w:rFonts w:ascii="ITC Avant Garde" w:hAnsi="ITC Avant Garde" w:cs="Arial"/>
          <w:sz w:val="21"/>
          <w:szCs w:val="21"/>
        </w:rPr>
      </w:pPr>
      <w:r w:rsidRPr="00F84B6A">
        <w:rPr>
          <w:rFonts w:ascii="ITC Avant Garde" w:hAnsi="ITC Avant Garde" w:cs="Arial"/>
          <w:sz w:val="21"/>
          <w:szCs w:val="21"/>
          <w:vertAlign w:val="superscript"/>
        </w:rPr>
        <w:t>(2)</w:t>
      </w:r>
      <w:r w:rsidRPr="00F84B6A">
        <w:rPr>
          <w:rFonts w:ascii="ITC Avant Garde" w:hAnsi="ITC Avant Garde" w:cs="Arial"/>
          <w:sz w:val="21"/>
          <w:szCs w:val="21"/>
        </w:rPr>
        <w:t xml:space="preserve"> </w:t>
      </w:r>
      <w:r w:rsidRPr="00F84B6A">
        <w:rPr>
          <w:rFonts w:ascii="ITC Avant Garde" w:hAnsi="ITC Avant Garde" w:cs="Arial"/>
          <w:sz w:val="14"/>
          <w:szCs w:val="14"/>
        </w:rPr>
        <w:t>Las fotografías de estas señales radiodifundidas fueron tomadas el 10-12-2015 de las 13:00 a las 13:45 horas y se encuentran en el anexo 11 de la presente acta.</w:t>
      </w:r>
    </w:p>
    <w:p w14:paraId="28110B24" w14:textId="3F1D9D36" w:rsidR="001418B5" w:rsidRDefault="008D6234" w:rsidP="00907F25">
      <w:pPr>
        <w:spacing w:after="240" w:line="360" w:lineRule="auto"/>
        <w:contextualSpacing/>
        <w:jc w:val="both"/>
        <w:rPr>
          <w:rFonts w:ascii="ITC Avant Garde" w:hAnsi="ITC Avant Garde"/>
        </w:rPr>
      </w:pPr>
      <w:r>
        <w:rPr>
          <w:rFonts w:ascii="ITC Avant Garde" w:hAnsi="ITC Avant Garde"/>
        </w:rPr>
        <w:t xml:space="preserve">Acto seguido, </w:t>
      </w:r>
      <w:r w:rsidRPr="00FF4ECF">
        <w:rPr>
          <w:rFonts w:ascii="ITC Avant Garde" w:hAnsi="ITC Avant Garde"/>
          <w:b/>
        </w:rPr>
        <w:t>LOS VERIFICADORES</w:t>
      </w:r>
      <w:r>
        <w:rPr>
          <w:rFonts w:ascii="ITC Avant Garde" w:hAnsi="ITC Avant Garde"/>
          <w:b/>
        </w:rPr>
        <w:t xml:space="preserve"> </w:t>
      </w:r>
      <w:r>
        <w:rPr>
          <w:rFonts w:ascii="ITC Avant Garde" w:hAnsi="ITC Avant Garde"/>
        </w:rPr>
        <w:t xml:space="preserve">en presencia de </w:t>
      </w:r>
      <w:r>
        <w:rPr>
          <w:rFonts w:ascii="ITC Avant Garde" w:hAnsi="ITC Avant Garde"/>
          <w:b/>
        </w:rPr>
        <w:t xml:space="preserve">LOS TESTIGOS </w:t>
      </w:r>
      <w:r w:rsidRPr="00310D70">
        <w:rPr>
          <w:rFonts w:ascii="ITC Avant Garde" w:hAnsi="ITC Avant Garde"/>
        </w:rPr>
        <w:t>solicitaron</w:t>
      </w:r>
      <w:r>
        <w:rPr>
          <w:rFonts w:ascii="ITC Avant Garde" w:hAnsi="ITC Avant Garde"/>
          <w:b/>
        </w:rPr>
        <w:t xml:space="preserve"> </w:t>
      </w:r>
      <w:r w:rsidRPr="00310D70">
        <w:rPr>
          <w:rFonts w:ascii="ITC Avant Garde" w:hAnsi="ITC Avant Garde"/>
        </w:rPr>
        <w:t xml:space="preserve">a </w:t>
      </w:r>
      <w:r>
        <w:rPr>
          <w:rFonts w:ascii="ITC Avant Garde" w:hAnsi="ITC Avant Garde"/>
        </w:rPr>
        <w:t xml:space="preserve">la persona que atendió la diligencia, indicara y </w:t>
      </w:r>
      <w:r w:rsidR="00E219CF">
        <w:rPr>
          <w:rFonts w:ascii="ITC Avant Garde" w:hAnsi="ITC Avant Garde"/>
        </w:rPr>
        <w:t>de</w:t>
      </w:r>
      <w:r>
        <w:rPr>
          <w:rFonts w:ascii="ITC Avant Garde" w:hAnsi="ITC Avant Garde"/>
        </w:rPr>
        <w:t xml:space="preserve">mostrara si retransmite las señales radiodifundidas indicadas en la </w:t>
      </w:r>
      <w:r w:rsidRPr="00ED3445">
        <w:rPr>
          <w:rFonts w:ascii="ITC Avant Garde" w:hAnsi="ITC Avant Garde"/>
          <w:b/>
        </w:rPr>
        <w:t>“</w:t>
      </w:r>
      <w:r>
        <w:rPr>
          <w:rFonts w:ascii="ITC Avant Garde" w:hAnsi="ITC Avant Garde"/>
          <w:b/>
        </w:rPr>
        <w:t xml:space="preserve">TABLA 1”, </w:t>
      </w:r>
      <w:r>
        <w:rPr>
          <w:rFonts w:ascii="ITC Avant Garde" w:hAnsi="ITC Avant Garde"/>
        </w:rPr>
        <w:t>el medio por el cual obtiene dichas señales y cuál es la definición de imagen y sonido con las que las retransmite.</w:t>
      </w:r>
    </w:p>
    <w:p w14:paraId="38A73B81" w14:textId="77777777" w:rsidR="00E2222D" w:rsidRDefault="008D6234" w:rsidP="00907F25">
      <w:pPr>
        <w:spacing w:after="240" w:line="360" w:lineRule="auto"/>
        <w:contextualSpacing/>
        <w:jc w:val="both"/>
        <w:rPr>
          <w:rFonts w:ascii="ITC Avant Garde" w:hAnsi="ITC Avant Garde"/>
        </w:rPr>
      </w:pPr>
      <w:r>
        <w:rPr>
          <w:rFonts w:ascii="ITC Avant Garde" w:hAnsi="ITC Avant Garde"/>
        </w:rPr>
        <w:t xml:space="preserve">Al respecto, la persona que recibió la visita señaló: </w:t>
      </w:r>
    </w:p>
    <w:p w14:paraId="3340F74C" w14:textId="77777777" w:rsidR="00E2222D" w:rsidRDefault="00E219CF" w:rsidP="00907F25">
      <w:pPr>
        <w:spacing w:after="240" w:line="360" w:lineRule="auto"/>
        <w:ind w:left="851" w:right="902"/>
        <w:contextualSpacing/>
        <w:jc w:val="both"/>
        <w:rPr>
          <w:rFonts w:ascii="ITC Avant Garde" w:eastAsia="Times New Roman" w:hAnsi="ITC Avant Garde"/>
          <w:bCs/>
          <w:i/>
          <w:sz w:val="20"/>
          <w:lang w:eastAsia="es-ES"/>
        </w:rPr>
      </w:pPr>
      <w:r w:rsidRPr="00F32E58">
        <w:rPr>
          <w:rFonts w:ascii="ITC Avant Garde" w:eastAsia="Times New Roman" w:hAnsi="ITC Avant Garde"/>
          <w:bCs/>
          <w:i/>
          <w:sz w:val="20"/>
          <w:lang w:eastAsia="es-ES"/>
        </w:rPr>
        <w:t>“LA VISITADA sí retransmite las señales indicadas en la ‘TABLA 1’. Todas las señales radiodifundidas que retransmite LA VISITADA son captadas del aire a través de las dos antenas aéreas multicanal, instaladas en la azotea del inmueble donde se actúa, son recibidas de manera gratuita. Las señales radiodifundidas que se reciben de forma analógica (indicadas en la ‘TABLA 1’) no son inyectadas al sistema de TV por cable, solo se inyectan las de definición digital. La definición de las señales radiodifundidas retransmitidas depende del paquete contratado por el suscriptor, actualmente solo el paquete SUPERDIGITAL retransmite las señales radiodifundidas en definiciones HD (Alta Definición) y SD (Definición Estándar), el resto de los paquetes retransmite las señales radiodifundidas solo en SD (Definición Estándar); es decir solo los suscriptores que cuentan con el paquete SUPERDIGITAL reciben con definición HD las señales radiodifundidas. Para corroborar mi dicho, en éstos momentos procedemos a conectar una pantalla a uno de nuestros decodificadores que es capaz de mostrar las señales entregadas en los 3 paquetes ofertados; y procedemos a sintonizar cada uno de los canales correspondientes a las señales radiodifundidas de la ‘TABLA 1’. Les solicito para corroborar mi dicho, que tomen fotografías de dicha pantalla que muestra las señales radiodifundidas retransmitidas en la red de televisión por cable.”</w:t>
      </w:r>
    </w:p>
    <w:p w14:paraId="0777320E" w14:textId="77777777" w:rsidR="00E2222D" w:rsidRDefault="008D6234" w:rsidP="00907F25">
      <w:pPr>
        <w:spacing w:after="240" w:line="360" w:lineRule="auto"/>
        <w:contextualSpacing/>
        <w:jc w:val="both"/>
        <w:rPr>
          <w:rFonts w:ascii="ITC Avant Garde" w:hAnsi="ITC Avant Garde"/>
        </w:rPr>
      </w:pPr>
      <w:r>
        <w:rPr>
          <w:rFonts w:ascii="ITC Avant Garde" w:eastAsia="Times New Roman" w:hAnsi="ITC Avant Garde"/>
          <w:bCs/>
          <w:lang w:eastAsia="es-ES"/>
        </w:rPr>
        <w:t xml:space="preserve">En virtud de lo anterior, </w:t>
      </w:r>
      <w:r w:rsidR="00E219CF">
        <w:rPr>
          <w:rFonts w:ascii="ITC Avant Garde" w:eastAsia="Times New Roman" w:hAnsi="ITC Avant Garde"/>
          <w:b/>
          <w:bCs/>
          <w:lang w:eastAsia="es-ES"/>
        </w:rPr>
        <w:t>LOS VERIFICADORES</w:t>
      </w:r>
      <w:r w:rsidR="00C12F5D">
        <w:rPr>
          <w:rFonts w:ascii="ITC Avant Garde" w:eastAsia="Times New Roman" w:hAnsi="ITC Avant Garde"/>
          <w:b/>
          <w:bCs/>
          <w:lang w:eastAsia="es-ES"/>
        </w:rPr>
        <w:t xml:space="preserve"> </w:t>
      </w:r>
      <w:r>
        <w:rPr>
          <w:rFonts w:ascii="ITC Avant Garde" w:hAnsi="ITC Avant Garde"/>
        </w:rPr>
        <w:t xml:space="preserve">en presencia de </w:t>
      </w:r>
      <w:r w:rsidR="00E219CF">
        <w:rPr>
          <w:rFonts w:ascii="ITC Avant Garde" w:hAnsi="ITC Avant Garde"/>
          <w:b/>
        </w:rPr>
        <w:t>LOS TESTIGOS</w:t>
      </w:r>
      <w:r>
        <w:rPr>
          <w:rFonts w:ascii="ITC Avant Garde" w:hAnsi="ITC Avant Garde"/>
          <w:b/>
        </w:rPr>
        <w:t xml:space="preserve"> </w:t>
      </w:r>
      <w:r>
        <w:rPr>
          <w:rFonts w:ascii="ITC Avant Garde" w:hAnsi="ITC Avant Garde"/>
        </w:rPr>
        <w:t xml:space="preserve">y de la persona que atendió la diligencia agregaron como </w:t>
      </w:r>
      <w:r>
        <w:rPr>
          <w:rFonts w:ascii="ITC Avant Garde" w:hAnsi="ITC Avant Garde"/>
          <w:b/>
        </w:rPr>
        <w:t>“TABLA 2”</w:t>
      </w:r>
      <w:r>
        <w:rPr>
          <w:rFonts w:ascii="ITC Avant Garde" w:hAnsi="ITC Avant Garde"/>
        </w:rPr>
        <w:t xml:space="preserve"> </w:t>
      </w:r>
      <w:r w:rsidR="00C12F5D">
        <w:rPr>
          <w:rFonts w:ascii="ITC Avant Garde" w:hAnsi="ITC Avant Garde"/>
        </w:rPr>
        <w:t xml:space="preserve">la información de los </w:t>
      </w:r>
      <w:r w:rsidR="00C12F5D">
        <w:rPr>
          <w:rFonts w:ascii="ITC Avant Garde" w:hAnsi="ITC Avant Garde"/>
        </w:rPr>
        <w:lastRenderedPageBreak/>
        <w:t xml:space="preserve">canales mostrados en la pantalla conectada al decodificador de la red de </w:t>
      </w:r>
      <w:r w:rsidR="00E219CF">
        <w:rPr>
          <w:rFonts w:ascii="ITC Avant Garde" w:hAnsi="ITC Avant Garde"/>
          <w:b/>
        </w:rPr>
        <w:t>MEGA CABLE,</w:t>
      </w:r>
      <w:r w:rsidR="00C12F5D">
        <w:rPr>
          <w:rFonts w:ascii="ITC Avant Garde" w:hAnsi="ITC Avant Garde"/>
          <w:b/>
        </w:rPr>
        <w:t xml:space="preserve"> </w:t>
      </w:r>
      <w:r w:rsidR="00C12F5D">
        <w:rPr>
          <w:rFonts w:ascii="ITC Avant Garde" w:hAnsi="ITC Avant Garde"/>
        </w:rPr>
        <w:t>cuyo resultado fue el siguiente:</w:t>
      </w:r>
    </w:p>
    <w:p w14:paraId="2C5B7E5F" w14:textId="50B589C5" w:rsidR="00EE34B7" w:rsidRDefault="00C12F5D" w:rsidP="00907F25">
      <w:pPr>
        <w:spacing w:after="240" w:line="360" w:lineRule="auto"/>
        <w:jc w:val="center"/>
        <w:rPr>
          <w:rFonts w:ascii="Arial" w:hAnsi="Arial" w:cs="Arial"/>
          <w:b/>
        </w:rPr>
      </w:pPr>
      <w:r w:rsidRPr="000255BE">
        <w:rPr>
          <w:rFonts w:ascii="Arial" w:hAnsi="Arial" w:cs="Arial"/>
          <w:b/>
        </w:rPr>
        <w:t>TABLA 2</w:t>
      </w:r>
    </w:p>
    <w:p w14:paraId="5F7319EB" w14:textId="3D1F4443" w:rsidR="00BC5163" w:rsidRDefault="00BC5163" w:rsidP="00907F25">
      <w:pPr>
        <w:spacing w:after="240" w:line="360" w:lineRule="auto"/>
        <w:jc w:val="center"/>
        <w:rPr>
          <w:rFonts w:ascii="Arial" w:hAnsi="Arial" w:cs="Arial"/>
          <w:b/>
        </w:rPr>
      </w:pPr>
      <w:r>
        <w:rPr>
          <w:noProof/>
          <w:lang w:eastAsia="es-MX"/>
        </w:rPr>
        <w:drawing>
          <wp:inline distT="0" distB="0" distL="0" distR="0" wp14:anchorId="738A98A0" wp14:editId="1EF9223C">
            <wp:extent cx="5850890" cy="3657600"/>
            <wp:effectExtent l="0" t="0" r="0" b="0"/>
            <wp:docPr id="6" name="Imagen 1" descr="Esta imagen muestra la estación, la banda de tv o TDT, canal radiodifundido, canal multiprogramado, nombre comercial, Definición de la señal analógica, digital sd y digital HD, canal de retransmitida, definición con la que retrasmiten la señal radiodifundida. " title="Tab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5"/>
                    <a:srcRect l="50634" t="27654" r="17713" b="13675"/>
                    <a:stretch/>
                  </pic:blipFill>
                  <pic:spPr>
                    <a:xfrm>
                      <a:off x="0" y="0"/>
                      <a:ext cx="5867546" cy="3668012"/>
                    </a:xfrm>
                    <a:prstGeom prst="rect">
                      <a:avLst/>
                    </a:prstGeom>
                  </pic:spPr>
                </pic:pic>
              </a:graphicData>
            </a:graphic>
          </wp:inline>
        </w:drawing>
      </w:r>
    </w:p>
    <w:p w14:paraId="0002E430" w14:textId="77777777" w:rsidR="008A05B0" w:rsidRPr="00F84B6A" w:rsidRDefault="008A05B0" w:rsidP="00907F25">
      <w:pPr>
        <w:spacing w:after="240" w:line="360" w:lineRule="auto"/>
        <w:jc w:val="both"/>
        <w:rPr>
          <w:rFonts w:ascii="ITC Avant Garde" w:hAnsi="ITC Avant Garde" w:cs="Arial"/>
          <w:sz w:val="21"/>
          <w:szCs w:val="21"/>
        </w:rPr>
      </w:pPr>
      <w:r w:rsidRPr="00F84B6A">
        <w:rPr>
          <w:rFonts w:ascii="ITC Avant Garde" w:hAnsi="ITC Avant Garde" w:cs="Arial"/>
          <w:sz w:val="21"/>
          <w:szCs w:val="21"/>
          <w:vertAlign w:val="superscript"/>
        </w:rPr>
        <w:t>(3)</w:t>
      </w:r>
      <w:r w:rsidRPr="00F84B6A">
        <w:rPr>
          <w:rFonts w:ascii="ITC Avant Garde" w:hAnsi="ITC Avant Garde" w:cs="Arial"/>
          <w:sz w:val="21"/>
          <w:szCs w:val="21"/>
        </w:rPr>
        <w:t xml:space="preserve"> </w:t>
      </w:r>
      <w:r w:rsidRPr="00F84B6A">
        <w:rPr>
          <w:rFonts w:ascii="ITC Avant Garde" w:hAnsi="ITC Avant Garde" w:cs="Arial"/>
          <w:sz w:val="14"/>
          <w:szCs w:val="14"/>
        </w:rPr>
        <w:t>En banda TV no existe canal multiprogramado.</w:t>
      </w:r>
    </w:p>
    <w:p w14:paraId="5BD81936" w14:textId="77777777" w:rsidR="00E2222D" w:rsidRDefault="008A05B0" w:rsidP="00907F25">
      <w:pPr>
        <w:spacing w:after="240" w:line="360" w:lineRule="auto"/>
        <w:jc w:val="both"/>
        <w:rPr>
          <w:rFonts w:ascii="ITC Avant Garde" w:hAnsi="ITC Avant Garde" w:cs="Arial"/>
          <w:sz w:val="21"/>
          <w:szCs w:val="21"/>
        </w:rPr>
      </w:pPr>
      <w:r w:rsidRPr="00F84B6A">
        <w:rPr>
          <w:rFonts w:ascii="ITC Avant Garde" w:hAnsi="ITC Avant Garde" w:cs="Arial"/>
          <w:sz w:val="21"/>
          <w:szCs w:val="21"/>
          <w:vertAlign w:val="superscript"/>
        </w:rPr>
        <w:t>(4)</w:t>
      </w:r>
      <w:r w:rsidRPr="00F84B6A">
        <w:rPr>
          <w:rFonts w:ascii="ITC Avant Garde" w:hAnsi="ITC Avant Garde" w:cs="Arial"/>
          <w:sz w:val="21"/>
          <w:szCs w:val="21"/>
        </w:rPr>
        <w:t xml:space="preserve"> </w:t>
      </w:r>
      <w:r w:rsidRPr="00F84B6A">
        <w:rPr>
          <w:rFonts w:ascii="ITC Avant Garde" w:hAnsi="ITC Avant Garde" w:cs="Arial"/>
          <w:sz w:val="14"/>
          <w:szCs w:val="14"/>
        </w:rPr>
        <w:t>Las fotografías de las señales radiodifundías retransmitidas en la red de tv por cable de LA VISITADA, fueron tomadas el 10-12-2015 de las 13:50 a las 14:15 horas y se encuentran en el anexo 12 de la presente acta.</w:t>
      </w:r>
    </w:p>
    <w:p w14:paraId="5FF61641" w14:textId="77777777" w:rsidR="00E2222D" w:rsidRDefault="00C12F5D" w:rsidP="00907F25">
      <w:pPr>
        <w:spacing w:after="240" w:line="360" w:lineRule="auto"/>
        <w:contextualSpacing/>
        <w:jc w:val="both"/>
        <w:rPr>
          <w:rFonts w:ascii="ITC Avant Garde" w:eastAsia="Times New Roman" w:hAnsi="ITC Avant Garde"/>
          <w:bCs/>
          <w:color w:val="000000"/>
          <w:lang w:eastAsia="es-MX"/>
        </w:rPr>
      </w:pPr>
      <w:r>
        <w:rPr>
          <w:rFonts w:ascii="ITC Avant Garde" w:eastAsia="Times New Roman" w:hAnsi="ITC Avant Garde"/>
          <w:bCs/>
          <w:lang w:eastAsia="es-ES"/>
        </w:rPr>
        <w:t xml:space="preserve">Con base en lo anterior, </w:t>
      </w:r>
      <w:r w:rsidR="008A05B0">
        <w:rPr>
          <w:rFonts w:ascii="ITC Avant Garde" w:eastAsia="Times New Roman" w:hAnsi="ITC Avant Garde"/>
          <w:b/>
          <w:bCs/>
          <w:color w:val="000000"/>
          <w:lang w:eastAsia="es-MX"/>
        </w:rPr>
        <w:t>LOS VERIFICADORES</w:t>
      </w:r>
      <w:r>
        <w:rPr>
          <w:rFonts w:ascii="ITC Avant Garde" w:eastAsia="Times New Roman" w:hAnsi="ITC Avant Garde"/>
          <w:b/>
          <w:bCs/>
          <w:color w:val="000000"/>
          <w:lang w:eastAsia="es-MX"/>
        </w:rPr>
        <w:t xml:space="preserve"> </w:t>
      </w:r>
      <w:r w:rsidR="008A05B0">
        <w:rPr>
          <w:rFonts w:ascii="ITC Avant Garde" w:eastAsia="Times New Roman" w:hAnsi="ITC Avant Garde"/>
          <w:bCs/>
          <w:color w:val="000000"/>
          <w:lang w:eastAsia="es-MX"/>
        </w:rPr>
        <w:t xml:space="preserve">en presencia de </w:t>
      </w:r>
      <w:r w:rsidR="008A05B0">
        <w:rPr>
          <w:rFonts w:ascii="ITC Avant Garde" w:eastAsia="Times New Roman" w:hAnsi="ITC Avant Garde"/>
          <w:b/>
          <w:bCs/>
          <w:color w:val="000000"/>
          <w:lang w:eastAsia="es-MX"/>
        </w:rPr>
        <w:t>LOS TESTIGOS</w:t>
      </w:r>
      <w:r>
        <w:rPr>
          <w:rFonts w:ascii="ITC Avant Garde" w:eastAsia="Times New Roman" w:hAnsi="ITC Avant Garde"/>
          <w:bCs/>
          <w:color w:val="000000"/>
          <w:lang w:eastAsia="es-MX"/>
        </w:rPr>
        <w:t xml:space="preserve"> solicitaron a la persona que atendió la diligencia que mostrara al mismo tiempo cada uno de los canales de programación de la pantalla relacionada en la </w:t>
      </w:r>
      <w:r>
        <w:rPr>
          <w:rFonts w:ascii="ITC Avant Garde" w:eastAsia="Times New Roman" w:hAnsi="ITC Avant Garde"/>
          <w:b/>
          <w:bCs/>
          <w:color w:val="000000"/>
          <w:lang w:eastAsia="es-MX"/>
        </w:rPr>
        <w:t xml:space="preserve">“TABLA 1” </w:t>
      </w:r>
      <w:r>
        <w:rPr>
          <w:rFonts w:ascii="ITC Avant Garde" w:eastAsia="Times New Roman" w:hAnsi="ITC Avant Garde"/>
          <w:bCs/>
          <w:color w:val="000000"/>
          <w:lang w:eastAsia="es-MX"/>
        </w:rPr>
        <w:t xml:space="preserve">versus los canales de programación de la pantalla relacionada con la </w:t>
      </w:r>
      <w:r>
        <w:rPr>
          <w:rFonts w:ascii="ITC Avant Garde" w:eastAsia="Times New Roman" w:hAnsi="ITC Avant Garde"/>
          <w:b/>
          <w:bCs/>
          <w:color w:val="000000"/>
          <w:lang w:eastAsia="es-MX"/>
        </w:rPr>
        <w:t>“TABLA 2”</w:t>
      </w:r>
      <w:r>
        <w:rPr>
          <w:rFonts w:ascii="ITC Avant Garde" w:eastAsia="Times New Roman" w:hAnsi="ITC Avant Garde"/>
          <w:bCs/>
          <w:color w:val="000000"/>
          <w:lang w:eastAsia="es-MX"/>
        </w:rPr>
        <w:t>, en forma íntegra y sin modificaciones, incluyendo publicid</w:t>
      </w:r>
      <w:r w:rsidR="00E17709">
        <w:rPr>
          <w:rFonts w:ascii="ITC Avant Garde" w:eastAsia="Times New Roman" w:hAnsi="ITC Avant Garde"/>
          <w:bCs/>
          <w:color w:val="000000"/>
          <w:lang w:eastAsia="es-MX"/>
        </w:rPr>
        <w:t>ad.</w:t>
      </w:r>
    </w:p>
    <w:p w14:paraId="4034B227" w14:textId="77777777" w:rsidR="00E2222D" w:rsidRDefault="00E17709" w:rsidP="00907F25">
      <w:pPr>
        <w:spacing w:after="240" w:line="360" w:lineRule="auto"/>
        <w:contextualSpacing/>
        <w:jc w:val="both"/>
        <w:rPr>
          <w:rFonts w:ascii="ITC Avant Garde" w:hAnsi="ITC Avant Garde" w:cs="Arial"/>
          <w:i/>
        </w:rPr>
      </w:pPr>
      <w:r>
        <w:rPr>
          <w:rFonts w:ascii="ITC Avant Garde" w:hAnsi="ITC Avant Garde"/>
        </w:rPr>
        <w:lastRenderedPageBreak/>
        <w:t>Al respecto, la persona que recibió la visita señaló: “…</w:t>
      </w:r>
      <w:r w:rsidRPr="00310D70">
        <w:rPr>
          <w:rFonts w:ascii="ITC Avant Garde" w:hAnsi="ITC Avant Garde" w:cs="Arial"/>
          <w:i/>
        </w:rPr>
        <w:t>LA VISITADA se encuentra retransmitiendo o no las señales radiodifundidas de la “TABLA 1”, en forma íntegra y sin modificaciones, simultanea, incluyendo publicidad</w:t>
      </w:r>
      <w:r>
        <w:rPr>
          <w:rFonts w:ascii="ITC Avant Garde" w:hAnsi="ITC Avant Garde" w:cs="Arial"/>
          <w:i/>
        </w:rPr>
        <w:t>.</w:t>
      </w:r>
      <w:r w:rsidRPr="00310D70">
        <w:rPr>
          <w:rFonts w:ascii="ITC Avant Garde" w:hAnsi="ITC Avant Garde" w:cs="Arial"/>
          <w:i/>
        </w:rPr>
        <w:t>”</w:t>
      </w:r>
    </w:p>
    <w:p w14:paraId="087D5C0D" w14:textId="7EC0A988" w:rsidR="00E17709" w:rsidRDefault="00E17709" w:rsidP="00907F25">
      <w:pPr>
        <w:spacing w:after="240" w:line="360" w:lineRule="auto"/>
        <w:contextualSpacing/>
        <w:jc w:val="both"/>
        <w:rPr>
          <w:rFonts w:ascii="ITC Avant Garde" w:hAnsi="ITC Avant Garde"/>
        </w:rPr>
      </w:pPr>
      <w:r>
        <w:rPr>
          <w:rFonts w:ascii="ITC Avant Garde" w:hAnsi="ITC Avant Garde"/>
        </w:rPr>
        <w:t xml:space="preserve">En virtud de lo anterior, </w:t>
      </w:r>
      <w:r>
        <w:rPr>
          <w:rFonts w:ascii="ITC Avant Garde" w:eastAsia="Times New Roman" w:hAnsi="ITC Avant Garde"/>
          <w:b/>
          <w:bCs/>
          <w:lang w:eastAsia="es-ES"/>
        </w:rPr>
        <w:t xml:space="preserve">LOS VERIFICADORES </w:t>
      </w:r>
      <w:r>
        <w:rPr>
          <w:rFonts w:ascii="ITC Avant Garde" w:hAnsi="ITC Avant Garde"/>
        </w:rPr>
        <w:t xml:space="preserve">en presencia de </w:t>
      </w:r>
      <w:r>
        <w:rPr>
          <w:rFonts w:ascii="ITC Avant Garde" w:hAnsi="ITC Avant Garde"/>
          <w:b/>
        </w:rPr>
        <w:t xml:space="preserve">LOS TESTIGOS </w:t>
      </w:r>
      <w:r>
        <w:rPr>
          <w:rFonts w:ascii="ITC Avant Garde" w:hAnsi="ITC Avant Garde"/>
        </w:rPr>
        <w:t xml:space="preserve">y de la persona que atendió la diligencia agregaron como </w:t>
      </w:r>
      <w:r>
        <w:rPr>
          <w:rFonts w:ascii="ITC Avant Garde" w:hAnsi="ITC Avant Garde"/>
          <w:b/>
        </w:rPr>
        <w:t xml:space="preserve">“TABLA 3” </w:t>
      </w:r>
      <w:r>
        <w:rPr>
          <w:rFonts w:ascii="ITC Avant Garde" w:hAnsi="ITC Avant Garde"/>
        </w:rPr>
        <w:t xml:space="preserve">el resultado del comparativo realizado ente las tablas 1 y 2, antes señaladas, </w:t>
      </w:r>
      <w:r w:rsidR="003F1669">
        <w:rPr>
          <w:rFonts w:ascii="ITC Avant Garde" w:hAnsi="ITC Avant Garde"/>
        </w:rPr>
        <w:t xml:space="preserve">cuyo resultado fue el </w:t>
      </w:r>
      <w:r>
        <w:rPr>
          <w:rFonts w:ascii="ITC Avant Garde" w:hAnsi="ITC Avant Garde"/>
        </w:rPr>
        <w:t>siguiente:</w:t>
      </w:r>
      <w:r w:rsidR="00DB08AE" w:rsidRPr="00DB08AE">
        <w:rPr>
          <w:rFonts w:ascii="Arial" w:hAnsi="Arial" w:cs="Arial"/>
          <w:b/>
          <w:noProof/>
          <w:lang w:eastAsia="es-MX"/>
        </w:rPr>
        <w:t xml:space="preserve"> </w:t>
      </w:r>
    </w:p>
    <w:p w14:paraId="4C4101DD" w14:textId="7185B0F2" w:rsidR="00E17709" w:rsidRDefault="00E17709" w:rsidP="00907F25">
      <w:pPr>
        <w:spacing w:after="240" w:line="360" w:lineRule="auto"/>
        <w:jc w:val="center"/>
        <w:rPr>
          <w:rFonts w:ascii="Arial" w:hAnsi="Arial" w:cs="Arial"/>
          <w:b/>
        </w:rPr>
      </w:pPr>
      <w:r w:rsidRPr="006336CB">
        <w:rPr>
          <w:rFonts w:ascii="Arial" w:hAnsi="Arial" w:cs="Arial"/>
          <w:b/>
        </w:rPr>
        <w:t>TABLA 3</w:t>
      </w:r>
    </w:p>
    <w:p w14:paraId="30E222E2" w14:textId="02FBE41D" w:rsidR="00BC5163" w:rsidRDefault="00BC5163" w:rsidP="00907F25">
      <w:pPr>
        <w:spacing w:after="240" w:line="360" w:lineRule="auto"/>
        <w:jc w:val="center"/>
        <w:rPr>
          <w:rFonts w:ascii="Arial" w:hAnsi="Arial" w:cs="Arial"/>
          <w:b/>
        </w:rPr>
      </w:pPr>
      <w:r>
        <w:rPr>
          <w:noProof/>
          <w:lang w:eastAsia="es-MX"/>
        </w:rPr>
        <w:drawing>
          <wp:inline distT="0" distB="0" distL="0" distR="0" wp14:anchorId="146AEC14" wp14:editId="2136BB16">
            <wp:extent cx="6555502" cy="4850296"/>
            <wp:effectExtent l="0" t="0" r="0" b="7620"/>
            <wp:docPr id="16" name="Imagen 16" descr="Esta imagen muestra la estación, banda TV/TDT, canal radiodifundido, canal multiprogramado, nombre comercial, canal en que la visitada retrasmite la señal radiodifundido." title="Tab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416" t="32937" r="14107" b="10554"/>
                    <a:stretch/>
                  </pic:blipFill>
                  <pic:spPr bwMode="auto">
                    <a:xfrm>
                      <a:off x="0" y="0"/>
                      <a:ext cx="6615779" cy="4894894"/>
                    </a:xfrm>
                    <a:prstGeom prst="rect">
                      <a:avLst/>
                    </a:prstGeom>
                    <a:ln>
                      <a:noFill/>
                    </a:ln>
                    <a:extLst>
                      <a:ext uri="{53640926-AAD7-44D8-BBD7-CCE9431645EC}">
                        <a14:shadowObscured xmlns:a14="http://schemas.microsoft.com/office/drawing/2010/main"/>
                      </a:ext>
                    </a:extLst>
                  </pic:spPr>
                </pic:pic>
              </a:graphicData>
            </a:graphic>
          </wp:inline>
        </w:drawing>
      </w:r>
    </w:p>
    <w:p w14:paraId="3E3FE9FB" w14:textId="16E62E7C" w:rsidR="00E414FF" w:rsidRPr="00F84B6A" w:rsidRDefault="00E414FF" w:rsidP="006C0767">
      <w:pPr>
        <w:spacing w:before="240" w:after="240" w:line="360" w:lineRule="auto"/>
        <w:rPr>
          <w:rFonts w:ascii="ITC Avant Garde" w:hAnsi="ITC Avant Garde" w:cs="Arial"/>
          <w:sz w:val="21"/>
          <w:szCs w:val="21"/>
        </w:rPr>
      </w:pPr>
      <w:r w:rsidRPr="00F84B6A">
        <w:rPr>
          <w:rFonts w:ascii="ITC Avant Garde" w:hAnsi="ITC Avant Garde" w:cs="Arial"/>
          <w:sz w:val="21"/>
          <w:szCs w:val="21"/>
          <w:vertAlign w:val="superscript"/>
        </w:rPr>
        <w:t>(5)</w:t>
      </w:r>
      <w:r w:rsidRPr="00F84B6A">
        <w:rPr>
          <w:rFonts w:ascii="ITC Avant Garde" w:hAnsi="ITC Avant Garde" w:cs="Arial"/>
          <w:sz w:val="21"/>
          <w:szCs w:val="21"/>
        </w:rPr>
        <w:t xml:space="preserve"> </w:t>
      </w:r>
      <w:r w:rsidRPr="00F84B6A">
        <w:rPr>
          <w:rFonts w:ascii="ITC Avant Garde" w:hAnsi="ITC Avant Garde" w:cs="Arial"/>
          <w:sz w:val="14"/>
          <w:szCs w:val="14"/>
        </w:rPr>
        <w:t>En banda TV no existe canal multiprogramado.</w:t>
      </w:r>
    </w:p>
    <w:p w14:paraId="57387CF3" w14:textId="77777777" w:rsidR="00E2222D" w:rsidRDefault="00E414FF" w:rsidP="00907F25">
      <w:pPr>
        <w:spacing w:after="240" w:line="360" w:lineRule="auto"/>
        <w:jc w:val="both"/>
        <w:rPr>
          <w:rFonts w:ascii="Arial Narrow" w:hAnsi="Arial Narrow" w:cs="Arial"/>
          <w:sz w:val="18"/>
          <w:szCs w:val="18"/>
          <w:vertAlign w:val="superscript"/>
        </w:rPr>
      </w:pPr>
      <w:r w:rsidRPr="00F84B6A">
        <w:rPr>
          <w:rFonts w:ascii="ITC Avant Garde" w:hAnsi="ITC Avant Garde" w:cs="Arial"/>
          <w:sz w:val="21"/>
          <w:szCs w:val="21"/>
          <w:vertAlign w:val="superscript"/>
        </w:rPr>
        <w:lastRenderedPageBreak/>
        <w:t>(6)</w:t>
      </w:r>
      <w:r w:rsidRPr="00F84B6A">
        <w:rPr>
          <w:rFonts w:ascii="ITC Avant Garde" w:hAnsi="ITC Avant Garde" w:cs="Arial"/>
          <w:sz w:val="21"/>
          <w:szCs w:val="21"/>
        </w:rPr>
        <w:t xml:space="preserve"> </w:t>
      </w:r>
      <w:r w:rsidRPr="00F84B6A">
        <w:rPr>
          <w:rFonts w:ascii="ITC Avant Garde" w:hAnsi="ITC Avant Garde" w:cs="Arial"/>
          <w:sz w:val="14"/>
          <w:szCs w:val="14"/>
        </w:rPr>
        <w:t>Los comentarios de las OBSERVACIONES pueden corroborarse y constatarse en las fotografías tomadas el 10-12-2015 de las 14:20 a las 16:00 horas mismas que se encuentran en el anexo 13 de la presente acta</w:t>
      </w:r>
      <w:r w:rsidRPr="00F84B6A">
        <w:rPr>
          <w:rFonts w:ascii="ITC Avant Garde" w:hAnsi="ITC Avant Garde" w:cs="Arial"/>
          <w:sz w:val="21"/>
          <w:szCs w:val="21"/>
        </w:rPr>
        <w:t>.</w:t>
      </w:r>
      <w:r w:rsidRPr="0052131A">
        <w:rPr>
          <w:rFonts w:ascii="Arial Narrow" w:hAnsi="Arial Narrow" w:cs="Arial"/>
          <w:sz w:val="18"/>
          <w:szCs w:val="18"/>
          <w:vertAlign w:val="superscript"/>
        </w:rPr>
        <w:t xml:space="preserve"> </w:t>
      </w:r>
    </w:p>
    <w:p w14:paraId="1D548834" w14:textId="25141DBA" w:rsidR="00E2222D" w:rsidRDefault="00612CCE" w:rsidP="00907F25">
      <w:pPr>
        <w:tabs>
          <w:tab w:val="left" w:pos="2694"/>
        </w:tabs>
        <w:spacing w:after="240" w:line="360" w:lineRule="auto"/>
        <w:contextualSpacing/>
        <w:jc w:val="both"/>
        <w:rPr>
          <w:rFonts w:ascii="ITC Avant Garde" w:eastAsia="Times New Roman" w:hAnsi="ITC Avant Garde"/>
          <w:bCs/>
          <w:color w:val="000000"/>
          <w:lang w:eastAsia="es-MX"/>
        </w:rPr>
      </w:pPr>
      <w:r>
        <w:rPr>
          <w:rFonts w:ascii="ITC Avant Garde" w:eastAsia="Times New Roman" w:hAnsi="ITC Avant Garde"/>
          <w:bCs/>
          <w:lang w:eastAsia="es-ES"/>
        </w:rPr>
        <w:t xml:space="preserve">Al respecto, </w:t>
      </w:r>
      <w:r w:rsidR="00E414FF">
        <w:rPr>
          <w:rFonts w:ascii="ITC Avant Garde" w:eastAsia="Times New Roman" w:hAnsi="ITC Avant Garde"/>
          <w:b/>
          <w:bCs/>
          <w:color w:val="000000"/>
          <w:lang w:eastAsia="es-MX"/>
        </w:rPr>
        <w:t>LOS VERIFICADORES</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en presencia de </w:t>
      </w:r>
      <w:r w:rsidR="00E414FF">
        <w:rPr>
          <w:rFonts w:ascii="ITC Avant Garde" w:eastAsia="Times New Roman" w:hAnsi="ITC Avant Garde"/>
          <w:b/>
          <w:bCs/>
          <w:color w:val="000000"/>
          <w:lang w:eastAsia="es-MX"/>
        </w:rPr>
        <w:t>LOS TESTIGOS</w:t>
      </w:r>
      <w:r>
        <w:rPr>
          <w:rFonts w:ascii="ITC Avant Garde" w:eastAsia="Times New Roman" w:hAnsi="ITC Avant Garde"/>
          <w:bCs/>
          <w:color w:val="000000"/>
          <w:lang w:eastAsia="es-MX"/>
        </w:rPr>
        <w:t xml:space="preserve"> solicitaron a la persona que atendió la diligencia que indicara y mostrara si retransmite las señales radiodifundidas de las Instituciones Públicas Federales </w:t>
      </w:r>
      <w:r w:rsidR="00CF6FC2">
        <w:rPr>
          <w:rFonts w:ascii="ITC Avant Garde" w:eastAsia="Times New Roman" w:hAnsi="ITC Avant Garde"/>
          <w:bCs/>
          <w:color w:val="000000"/>
          <w:lang w:eastAsia="es-MX"/>
        </w:rPr>
        <w:t xml:space="preserve">e indicara </w:t>
      </w:r>
      <w:r w:rsidR="00CF6FC2" w:rsidRPr="00310D70">
        <w:rPr>
          <w:rFonts w:ascii="ITC Avant Garde" w:eastAsia="Times New Roman" w:hAnsi="ITC Avant Garde"/>
          <w:bCs/>
          <w:color w:val="000000"/>
          <w:lang w:eastAsia="es-MX"/>
        </w:rPr>
        <w:t>la definición de imagen y sonido que entrega a sus suscriptores y usuarios para estas señales</w:t>
      </w:r>
      <w:r w:rsidR="00CF6FC2">
        <w:rPr>
          <w:rFonts w:ascii="ITC Avant Garde" w:eastAsia="Times New Roman" w:hAnsi="ITC Avant Garde"/>
          <w:bCs/>
          <w:color w:val="000000"/>
          <w:lang w:eastAsia="es-MX"/>
        </w:rPr>
        <w:t>.</w:t>
      </w:r>
    </w:p>
    <w:p w14:paraId="2110C934" w14:textId="0258A23C" w:rsidR="00E2222D" w:rsidRDefault="00CF6FC2" w:rsidP="00907F25">
      <w:pPr>
        <w:tabs>
          <w:tab w:val="left" w:pos="2694"/>
        </w:tabs>
        <w:spacing w:after="240" w:line="360" w:lineRule="auto"/>
        <w:contextualSpacing/>
        <w:jc w:val="both"/>
        <w:rPr>
          <w:rFonts w:ascii="ITC Avant Garde" w:hAnsi="ITC Avant Garde"/>
        </w:rPr>
      </w:pPr>
      <w:r>
        <w:rPr>
          <w:rFonts w:ascii="ITC Avant Garde" w:hAnsi="ITC Avant Garde"/>
        </w:rPr>
        <w:t>Al respecto, la persona que recibió la visita señaló:</w:t>
      </w:r>
    </w:p>
    <w:p w14:paraId="50601877" w14:textId="1E4D56D5" w:rsidR="00E2222D" w:rsidRDefault="00E414FF" w:rsidP="00907F25">
      <w:pPr>
        <w:spacing w:after="240" w:line="360" w:lineRule="auto"/>
        <w:ind w:left="851" w:right="900"/>
        <w:contextualSpacing/>
        <w:jc w:val="both"/>
        <w:rPr>
          <w:rFonts w:ascii="ITC Avant Garde" w:hAnsi="ITC Avant Garde" w:cs="Arial"/>
          <w:i/>
          <w:sz w:val="20"/>
        </w:rPr>
      </w:pPr>
      <w:r w:rsidRPr="00F32E58">
        <w:rPr>
          <w:rFonts w:ascii="ITC Avant Garde" w:hAnsi="ITC Avant Garde" w:cs="Arial"/>
          <w:i/>
          <w:sz w:val="20"/>
        </w:rPr>
        <w:t xml:space="preserve">“Actualmente LA VISITADA </w:t>
      </w:r>
      <w:r w:rsidRPr="00F32E58">
        <w:rPr>
          <w:rFonts w:ascii="ITC Avant Garde" w:hAnsi="ITC Avant Garde" w:cs="Arial"/>
          <w:b/>
          <w:i/>
          <w:sz w:val="20"/>
          <w:u w:val="single"/>
        </w:rPr>
        <w:t xml:space="preserve">no retransmite la señal multiprogramada 11.2 ‘Once niños’ del IPN, </w:t>
      </w:r>
      <w:r w:rsidRPr="00F32E58">
        <w:rPr>
          <w:rFonts w:ascii="ITC Avant Garde" w:hAnsi="ITC Avant Garde" w:cs="Arial"/>
          <w:i/>
          <w:sz w:val="20"/>
        </w:rPr>
        <w:t xml:space="preserve">el resto de las Instituciones Públicas Federales si están siendo retransmitidas a los suscriptores y usuarios; siendo recibidas a través del aire, es decir se toman a través de las señales radiodifundidas disponibles indicadas en la ‘tabla 1’; dichas señales se reciben con calidad SD a los suscriptores y usuarios, en todos los paquetes que LA VISITADA oferta. Para corroborar mi dicho, les solicito tomar las fotografías de dichos canales en la pantalla conectada a la red de TV por cable. </w:t>
      </w:r>
      <w:r w:rsidRPr="00F32E58">
        <w:rPr>
          <w:rFonts w:ascii="ITC Avant Garde" w:hAnsi="ITC Avant Garde" w:cs="Arial"/>
          <w:b/>
          <w:i/>
          <w:sz w:val="20"/>
          <w:u w:val="single"/>
        </w:rPr>
        <w:t>Reitero que sólo la señal de multiprogramada 11.2 ‘once niños’ del IPN, no está siendo retransmitida por LA VISITADA para sus suscriptores y usuarios;</w:t>
      </w:r>
      <w:r w:rsidRPr="00F32E58">
        <w:rPr>
          <w:rFonts w:ascii="ITC Avant Garde" w:hAnsi="ITC Avant Garde" w:cs="Arial"/>
          <w:i/>
          <w:sz w:val="20"/>
        </w:rPr>
        <w:t xml:space="preserve"> cabe mencionar que esta señal no se encuentra disponible de forma radiodifundida, lo cual se debe corroborar con la información de la  “TABLA 1”.</w:t>
      </w:r>
    </w:p>
    <w:p w14:paraId="7A7656E5" w14:textId="32E7C4D1" w:rsidR="00E2222D" w:rsidRDefault="00CF6FC2" w:rsidP="00907F25">
      <w:pPr>
        <w:spacing w:after="240" w:line="360" w:lineRule="auto"/>
        <w:contextualSpacing/>
        <w:jc w:val="both"/>
        <w:rPr>
          <w:rFonts w:ascii="ITC Avant Garde" w:hAnsi="ITC Avant Garde"/>
        </w:rPr>
      </w:pPr>
      <w:r>
        <w:rPr>
          <w:rFonts w:ascii="ITC Avant Garde" w:hAnsi="ITC Avant Garde" w:cs="Arial"/>
        </w:rPr>
        <w:t xml:space="preserve">En virtud de lo anterior, </w:t>
      </w:r>
      <w:r w:rsidR="00E414FF">
        <w:rPr>
          <w:rFonts w:ascii="ITC Avant Garde" w:eastAsia="Times New Roman" w:hAnsi="ITC Avant Garde"/>
          <w:b/>
          <w:bCs/>
          <w:lang w:eastAsia="es-ES"/>
        </w:rPr>
        <w:t>LOS VERIFICADORES</w:t>
      </w:r>
      <w:r>
        <w:rPr>
          <w:rFonts w:ascii="ITC Avant Garde" w:eastAsia="Times New Roman" w:hAnsi="ITC Avant Garde"/>
          <w:b/>
          <w:bCs/>
          <w:lang w:eastAsia="es-ES"/>
        </w:rPr>
        <w:t xml:space="preserve"> </w:t>
      </w:r>
      <w:r>
        <w:rPr>
          <w:rFonts w:ascii="ITC Avant Garde" w:hAnsi="ITC Avant Garde"/>
        </w:rPr>
        <w:t xml:space="preserve">en presencia de </w:t>
      </w:r>
      <w:r w:rsidR="00E414FF">
        <w:rPr>
          <w:rFonts w:ascii="ITC Avant Garde" w:hAnsi="ITC Avant Garde"/>
          <w:b/>
        </w:rPr>
        <w:t>LOS TESTIGOS</w:t>
      </w:r>
      <w:r>
        <w:rPr>
          <w:rFonts w:ascii="ITC Avant Garde" w:hAnsi="ITC Avant Garde"/>
          <w:b/>
        </w:rPr>
        <w:t xml:space="preserve"> </w:t>
      </w:r>
      <w:r>
        <w:rPr>
          <w:rFonts w:ascii="ITC Avant Garde" w:hAnsi="ITC Avant Garde"/>
        </w:rPr>
        <w:t xml:space="preserve">y de la persona que atendió la diligencia agregaron como </w:t>
      </w:r>
      <w:r>
        <w:rPr>
          <w:rFonts w:ascii="ITC Avant Garde" w:hAnsi="ITC Avant Garde"/>
          <w:b/>
        </w:rPr>
        <w:t xml:space="preserve">“TABLA 4” </w:t>
      </w:r>
      <w:r>
        <w:rPr>
          <w:rFonts w:ascii="ITC Avant Garde" w:hAnsi="ITC Avant Garde"/>
        </w:rPr>
        <w:t>la información de las señales radiodifundidas de instituciones públicas federales</w:t>
      </w:r>
      <w:r w:rsidR="002813F7">
        <w:rPr>
          <w:rFonts w:ascii="ITC Avant Garde" w:hAnsi="ITC Avant Garde"/>
        </w:rPr>
        <w:t xml:space="preserve"> retransmitidas por </w:t>
      </w:r>
      <w:r w:rsidR="002813F7">
        <w:rPr>
          <w:rFonts w:ascii="ITC Avant Garde" w:hAnsi="ITC Avant Garde"/>
          <w:b/>
        </w:rPr>
        <w:t>MEGA CABLE</w:t>
      </w:r>
      <w:r>
        <w:rPr>
          <w:rFonts w:ascii="ITC Avant Garde" w:hAnsi="ITC Avant Garde"/>
        </w:rPr>
        <w:t>, cuyo resultado fue el siguiente:</w:t>
      </w:r>
    </w:p>
    <w:p w14:paraId="52A1904A" w14:textId="77777777" w:rsidR="00E12243" w:rsidRDefault="00802C6F" w:rsidP="00907F25">
      <w:pPr>
        <w:spacing w:after="240" w:line="360" w:lineRule="auto"/>
        <w:ind w:left="4253"/>
        <w:contextualSpacing/>
        <w:jc w:val="both"/>
        <w:rPr>
          <w:rFonts w:ascii="Arial" w:hAnsi="Arial" w:cs="Arial"/>
          <w:b/>
        </w:rPr>
        <w:sectPr w:rsidR="00E12243" w:rsidSect="00802C6F">
          <w:headerReference w:type="default" r:id="rId17"/>
          <w:pgSz w:w="12240" w:h="15840"/>
          <w:pgMar w:top="2126" w:right="1325" w:bottom="1701" w:left="1701" w:header="709" w:footer="962" w:gutter="0"/>
          <w:cols w:space="708"/>
          <w:docGrid w:linePitch="360"/>
        </w:sectPr>
      </w:pPr>
      <w:r w:rsidRPr="001B1FD3">
        <w:rPr>
          <w:rFonts w:ascii="Arial" w:hAnsi="Arial" w:cs="Arial"/>
          <w:b/>
        </w:rPr>
        <w:t>TABLA 4</w:t>
      </w:r>
    </w:p>
    <w:p w14:paraId="34142273" w14:textId="7FA67434" w:rsidR="007A3423" w:rsidRDefault="007A3423" w:rsidP="00D679AD">
      <w:pPr>
        <w:tabs>
          <w:tab w:val="left" w:pos="4253"/>
        </w:tabs>
        <w:spacing w:after="240" w:line="360" w:lineRule="auto"/>
        <w:ind w:left="4253" w:hanging="4395"/>
        <w:contextualSpacing/>
        <w:jc w:val="both"/>
        <w:rPr>
          <w:rFonts w:ascii="ITC Avant Garde" w:hAnsi="ITC Avant Garde"/>
        </w:rPr>
      </w:pPr>
      <w:r>
        <w:rPr>
          <w:noProof/>
          <w:lang w:eastAsia="es-MX"/>
        </w:rPr>
        <w:lastRenderedPageBreak/>
        <w:drawing>
          <wp:inline distT="0" distB="0" distL="0" distR="0" wp14:anchorId="5BC738F9" wp14:editId="2FC4FBC2">
            <wp:extent cx="6265545" cy="2607945"/>
            <wp:effectExtent l="0" t="0" r="1905" b="1905"/>
            <wp:docPr id="17" name="Imagen 1" descr="Esta imagen muestra la institución pública federal, nombre del canal, medio de recepción de la señal utilzada, definición con la que recibe la señal (analógica NTSC, Digital SD, Digital HD) canal en la visitada retransmite la señal) Definición con la que la  visitada retransmiten la señal (analógica NTSC, Digital SD, Digital HD)" title="Tab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a:extLst>
                        <a:ext uri="{28A0092B-C50C-407E-A947-70E740481C1C}">
                          <a14:useLocalDpi xmlns:a14="http://schemas.microsoft.com/office/drawing/2010/main" val="0"/>
                        </a:ext>
                      </a:extLst>
                    </a:blip>
                    <a:srcRect l="51061" t="28641" r="14493" b="21744"/>
                    <a:stretch/>
                  </pic:blipFill>
                  <pic:spPr>
                    <a:xfrm>
                      <a:off x="0" y="0"/>
                      <a:ext cx="6265545" cy="2607945"/>
                    </a:xfrm>
                    <a:prstGeom prst="rect">
                      <a:avLst/>
                    </a:prstGeom>
                  </pic:spPr>
                </pic:pic>
              </a:graphicData>
            </a:graphic>
          </wp:inline>
        </w:drawing>
      </w:r>
    </w:p>
    <w:p w14:paraId="65FBB652" w14:textId="57F076DF" w:rsidR="00E2222D" w:rsidRDefault="00E414FF" w:rsidP="00907F25">
      <w:pPr>
        <w:spacing w:after="240" w:line="360" w:lineRule="auto"/>
        <w:jc w:val="both"/>
        <w:rPr>
          <w:rFonts w:ascii="ITC Avant Garde" w:hAnsi="ITC Avant Garde" w:cs="Arial"/>
          <w:sz w:val="14"/>
          <w:szCs w:val="14"/>
        </w:rPr>
      </w:pPr>
      <w:r w:rsidRPr="00F84B6A">
        <w:rPr>
          <w:rFonts w:ascii="ITC Avant Garde" w:hAnsi="ITC Avant Garde" w:cs="Arial"/>
          <w:sz w:val="21"/>
          <w:szCs w:val="21"/>
          <w:vertAlign w:val="superscript"/>
        </w:rPr>
        <w:t>(7)</w:t>
      </w:r>
      <w:r w:rsidRPr="00F84B6A">
        <w:rPr>
          <w:rFonts w:ascii="ITC Avant Garde" w:hAnsi="ITC Avant Garde" w:cs="Arial"/>
          <w:sz w:val="21"/>
          <w:szCs w:val="21"/>
        </w:rPr>
        <w:t xml:space="preserve"> </w:t>
      </w:r>
      <w:r w:rsidRPr="00F84B6A">
        <w:rPr>
          <w:rFonts w:ascii="ITC Avant Garde" w:hAnsi="ITC Avant Garde" w:cs="Arial"/>
          <w:sz w:val="14"/>
          <w:szCs w:val="14"/>
        </w:rPr>
        <w:t>Las fotografías correspondientes a esta tabla fueron tomadas el 10-12-2015 de las 16:01 a las 16:15 horas se encuentran en el anexo 15.</w:t>
      </w:r>
    </w:p>
    <w:p w14:paraId="0FD324F9" w14:textId="518C16EE" w:rsidR="00E2222D" w:rsidRDefault="006A7614" w:rsidP="00907F25">
      <w:pPr>
        <w:spacing w:after="240" w:line="360" w:lineRule="auto"/>
        <w:jc w:val="both"/>
        <w:rPr>
          <w:rFonts w:ascii="ITC Avant Garde" w:eastAsia="Times New Roman" w:hAnsi="ITC Avant Garde"/>
          <w:lang w:eastAsia="es-ES"/>
        </w:rPr>
      </w:pPr>
      <w:r w:rsidRPr="006A7614">
        <w:rPr>
          <w:rFonts w:ascii="ITC Avant Garde" w:eastAsia="Times New Roman" w:hAnsi="ITC Avant Garde"/>
          <w:lang w:eastAsia="es-ES"/>
        </w:rPr>
        <w:t xml:space="preserve">Dado lo anterior, </w:t>
      </w:r>
      <w:r w:rsidRPr="006A7614">
        <w:rPr>
          <w:rFonts w:ascii="ITC Avant Garde" w:eastAsia="Times New Roman" w:hAnsi="ITC Avant Garde"/>
          <w:b/>
          <w:lang w:eastAsia="es-ES"/>
        </w:rPr>
        <w:t>LOS VERIFICADORES</w:t>
      </w:r>
      <w:r w:rsidRPr="006A7614">
        <w:rPr>
          <w:rFonts w:ascii="ITC Avant Garde" w:eastAsia="Times New Roman" w:hAnsi="ITC Avant Garde"/>
          <w:lang w:eastAsia="es-ES"/>
        </w:rPr>
        <w:t xml:space="preserve"> con fundamento en el artículo 68 de la </w:t>
      </w:r>
      <w:r w:rsidRPr="006A7614">
        <w:rPr>
          <w:rFonts w:ascii="ITC Avant Garde" w:eastAsia="Times New Roman" w:hAnsi="ITC Avant Garde"/>
          <w:b/>
          <w:lang w:eastAsia="es-ES"/>
        </w:rPr>
        <w:t>LFPA</w:t>
      </w:r>
      <w:r w:rsidRPr="006A7614">
        <w:rPr>
          <w:rFonts w:ascii="ITC Avant Garde" w:eastAsia="Times New Roman" w:hAnsi="ITC Avant Garde"/>
          <w:lang w:eastAsia="es-ES"/>
        </w:rPr>
        <w:t xml:space="preserve">, invitaron a la persona que recibió la visita para que </w:t>
      </w:r>
      <w:r w:rsidR="00160CCE">
        <w:rPr>
          <w:rFonts w:ascii="ITC Avant Garde" w:eastAsia="Times New Roman" w:hAnsi="ITC Avant Garde"/>
          <w:lang w:eastAsia="es-ES"/>
        </w:rPr>
        <w:t xml:space="preserve">manifestara en ese acto lo que a su derecho conviniera respecto de los hechos asentados en el acta, manifestando lo siguiente: </w:t>
      </w:r>
      <w:r w:rsidR="00160CCE" w:rsidRPr="004A04DD">
        <w:rPr>
          <w:rFonts w:ascii="ITC Avant Garde" w:eastAsia="Times New Roman" w:hAnsi="ITC Avant Garde"/>
          <w:i/>
          <w:lang w:eastAsia="es-ES"/>
        </w:rPr>
        <w:t>“Me reservo el derecho que me confiere la</w:t>
      </w:r>
      <w:r w:rsidR="004A04DD" w:rsidRPr="004A04DD">
        <w:rPr>
          <w:rFonts w:ascii="ITC Avant Garde" w:eastAsia="Times New Roman" w:hAnsi="ITC Avant Garde"/>
          <w:i/>
          <w:lang w:eastAsia="es-ES"/>
        </w:rPr>
        <w:t xml:space="preserve"> </w:t>
      </w:r>
      <w:r w:rsidR="00160CCE" w:rsidRPr="004A04DD">
        <w:rPr>
          <w:rFonts w:ascii="ITC Avant Garde" w:eastAsia="Times New Roman" w:hAnsi="ITC Avant Garde"/>
          <w:i/>
          <w:lang w:eastAsia="es-ES"/>
        </w:rPr>
        <w:t>Ley</w:t>
      </w:r>
      <w:r w:rsidR="004A04DD" w:rsidRPr="004A04DD">
        <w:rPr>
          <w:rFonts w:ascii="ITC Avant Garde" w:eastAsia="Times New Roman" w:hAnsi="ITC Avant Garde"/>
          <w:i/>
          <w:lang w:eastAsia="es-ES"/>
        </w:rPr>
        <w:t>”.</w:t>
      </w:r>
    </w:p>
    <w:p w14:paraId="154E04CC" w14:textId="77777777" w:rsidR="00E2222D" w:rsidRDefault="00CF6FC2" w:rsidP="00907F25">
      <w:pPr>
        <w:spacing w:after="240" w:line="360" w:lineRule="auto"/>
        <w:jc w:val="both"/>
        <w:rPr>
          <w:rFonts w:ascii="ITC Avant Garde" w:eastAsia="Times New Roman" w:hAnsi="ITC Avant Garde"/>
          <w:lang w:eastAsia="es-ES"/>
        </w:rPr>
      </w:pPr>
      <w:r>
        <w:rPr>
          <w:rFonts w:ascii="ITC Avant Garde" w:eastAsia="Times New Roman" w:hAnsi="ITC Avant Garde"/>
          <w:lang w:eastAsia="es-ES"/>
        </w:rPr>
        <w:t xml:space="preserve">Asimismo, </w:t>
      </w:r>
      <w:r w:rsidR="0065324B">
        <w:rPr>
          <w:rFonts w:ascii="ITC Avant Garde" w:eastAsia="Times New Roman" w:hAnsi="ITC Avant Garde"/>
          <w:b/>
          <w:lang w:eastAsia="es-ES"/>
        </w:rPr>
        <w:t>LOS VERIFICADORES</w:t>
      </w:r>
      <w:r>
        <w:rPr>
          <w:rFonts w:ascii="ITC Avant Garde" w:eastAsia="Times New Roman" w:hAnsi="ITC Avant Garde"/>
          <w:lang w:eastAsia="es-ES"/>
        </w:rPr>
        <w:t xml:space="preserve"> procedieron </w:t>
      </w:r>
      <w:r w:rsidRPr="00310D70">
        <w:rPr>
          <w:rFonts w:ascii="ITC Avant Garde" w:eastAsia="Times New Roman" w:hAnsi="ITC Avant Garde"/>
          <w:lang w:eastAsia="es-ES"/>
        </w:rPr>
        <w:t xml:space="preserve">a cerrar parcialmente </w:t>
      </w:r>
      <w:r w:rsidR="00621CCC">
        <w:rPr>
          <w:rFonts w:ascii="ITC Avant Garde" w:eastAsia="Times New Roman" w:hAnsi="ITC Avant Garde"/>
          <w:lang w:eastAsia="es-ES"/>
        </w:rPr>
        <w:t xml:space="preserve">el acta de verificación iniciada </w:t>
      </w:r>
      <w:r w:rsidRPr="00310D70">
        <w:rPr>
          <w:rFonts w:ascii="ITC Avant Garde" w:eastAsia="Times New Roman" w:hAnsi="ITC Avant Garde"/>
          <w:lang w:eastAsia="es-ES"/>
        </w:rPr>
        <w:t xml:space="preserve">a las </w:t>
      </w:r>
      <w:r w:rsidR="001F50BC">
        <w:rPr>
          <w:rFonts w:ascii="ITC Avant Garde" w:eastAsia="Times New Roman" w:hAnsi="ITC Avant Garde"/>
          <w:lang w:eastAsia="es-ES"/>
        </w:rPr>
        <w:t xml:space="preserve">diez </w:t>
      </w:r>
      <w:r w:rsidRPr="00310D70">
        <w:rPr>
          <w:rFonts w:ascii="ITC Avant Garde" w:eastAsia="Times New Roman" w:hAnsi="ITC Avant Garde"/>
          <w:lang w:eastAsia="es-ES"/>
        </w:rPr>
        <w:t xml:space="preserve">horas </w:t>
      </w:r>
      <w:r w:rsidR="00621CCC">
        <w:rPr>
          <w:rFonts w:ascii="ITC Avant Garde" w:eastAsia="Times New Roman" w:hAnsi="ITC Avant Garde"/>
          <w:lang w:eastAsia="es-ES"/>
        </w:rPr>
        <w:t xml:space="preserve">del </w:t>
      </w:r>
      <w:r w:rsidR="0065324B">
        <w:rPr>
          <w:rFonts w:ascii="ITC Avant Garde" w:eastAsia="Times New Roman" w:hAnsi="ITC Avant Garde"/>
          <w:lang w:eastAsia="es-ES"/>
        </w:rPr>
        <w:t>diez de diciembre</w:t>
      </w:r>
      <w:r w:rsidR="00621CCC">
        <w:rPr>
          <w:rFonts w:ascii="ITC Avant Garde" w:eastAsia="Times New Roman" w:hAnsi="ITC Avant Garde"/>
          <w:lang w:eastAsia="es-ES"/>
        </w:rPr>
        <w:t xml:space="preserve"> de dos mil quince para continuarla el </w:t>
      </w:r>
      <w:r w:rsidR="0065324B">
        <w:rPr>
          <w:rFonts w:ascii="ITC Avant Garde" w:eastAsia="Times New Roman" w:hAnsi="ITC Avant Garde"/>
          <w:lang w:eastAsia="es-ES"/>
        </w:rPr>
        <w:t>once</w:t>
      </w:r>
      <w:r w:rsidR="00621CCC">
        <w:rPr>
          <w:rFonts w:ascii="ITC Avant Garde" w:eastAsia="Times New Roman" w:hAnsi="ITC Avant Garde"/>
          <w:lang w:eastAsia="es-ES"/>
        </w:rPr>
        <w:t xml:space="preserve"> siguiente a las </w:t>
      </w:r>
      <w:r w:rsidR="0065324B">
        <w:rPr>
          <w:rFonts w:ascii="ITC Avant Garde" w:eastAsia="Times New Roman" w:hAnsi="ITC Avant Garde"/>
          <w:lang w:eastAsia="es-ES"/>
        </w:rPr>
        <w:t>diez</w:t>
      </w:r>
      <w:r w:rsidR="00621CCC">
        <w:rPr>
          <w:rFonts w:ascii="ITC Avant Garde" w:eastAsia="Times New Roman" w:hAnsi="ITC Avant Garde"/>
          <w:lang w:eastAsia="es-ES"/>
        </w:rPr>
        <w:t xml:space="preserve"> horas en el domicilio donde se llevó a cabo la visita de verificación.</w:t>
      </w:r>
    </w:p>
    <w:p w14:paraId="380341FF" w14:textId="5C38114F" w:rsidR="00E2222D" w:rsidRDefault="00621CCC" w:rsidP="00907F25">
      <w:pPr>
        <w:spacing w:after="240" w:line="360" w:lineRule="auto"/>
        <w:jc w:val="both"/>
        <w:rPr>
          <w:rFonts w:ascii="ITC Avant Garde" w:hAnsi="ITC Avant Garde"/>
        </w:rPr>
      </w:pPr>
      <w:r w:rsidRPr="0010398B">
        <w:rPr>
          <w:rFonts w:ascii="ITC Avant Garde" w:eastAsia="Times New Roman" w:hAnsi="ITC Avant Garde"/>
          <w:bCs/>
          <w:color w:val="000000"/>
          <w:lang w:eastAsia="es-MX"/>
        </w:rPr>
        <w:t xml:space="preserve">El </w:t>
      </w:r>
      <w:r w:rsidR="0065324B">
        <w:rPr>
          <w:rFonts w:ascii="ITC Avant Garde" w:eastAsia="Times New Roman" w:hAnsi="ITC Avant Garde"/>
          <w:bCs/>
          <w:color w:val="000000"/>
          <w:lang w:eastAsia="es-MX"/>
        </w:rPr>
        <w:t>once de diciembre</w:t>
      </w:r>
      <w:r w:rsidRPr="0010398B">
        <w:rPr>
          <w:rFonts w:ascii="ITC Avant Garde" w:eastAsia="Times New Roman" w:hAnsi="ITC Avant Garde"/>
          <w:bCs/>
          <w:color w:val="000000"/>
          <w:lang w:eastAsia="es-MX"/>
        </w:rPr>
        <w:t xml:space="preserve"> de dos mil </w:t>
      </w:r>
      <w:r>
        <w:rPr>
          <w:rFonts w:ascii="ITC Avant Garde" w:eastAsia="Times New Roman" w:hAnsi="ITC Avant Garde"/>
          <w:bCs/>
          <w:color w:val="000000"/>
          <w:lang w:eastAsia="es-MX"/>
        </w:rPr>
        <w:t>quince</w:t>
      </w:r>
      <w:r w:rsidRPr="0010398B">
        <w:rPr>
          <w:rFonts w:ascii="ITC Avant Garde" w:eastAsia="Times New Roman" w:hAnsi="ITC Avant Garde"/>
          <w:bCs/>
          <w:color w:val="000000"/>
          <w:lang w:eastAsia="es-MX"/>
        </w:rPr>
        <w:t xml:space="preserve">, </w:t>
      </w:r>
      <w:r w:rsidRPr="006A7614">
        <w:rPr>
          <w:rFonts w:ascii="ITC Avant Garde" w:eastAsia="Times New Roman" w:hAnsi="ITC Avant Garde"/>
          <w:b/>
          <w:lang w:eastAsia="es-ES"/>
        </w:rPr>
        <w:t>LOS VERIFICADORES</w:t>
      </w:r>
      <w:r w:rsidRPr="006A7614">
        <w:rPr>
          <w:rFonts w:ascii="ITC Avant Garde" w:eastAsia="Times New Roman" w:hAnsi="ITC Avant Garde"/>
          <w:lang w:eastAsia="es-ES"/>
        </w:rPr>
        <w:t xml:space="preserve"> </w:t>
      </w:r>
      <w:r w:rsidR="0065324B">
        <w:rPr>
          <w:rFonts w:ascii="ITC Avant Garde" w:eastAsia="Times New Roman" w:hAnsi="ITC Avant Garde"/>
          <w:lang w:eastAsia="es-ES"/>
        </w:rPr>
        <w:t xml:space="preserve">se </w:t>
      </w:r>
      <w:r w:rsidRPr="000E0014">
        <w:rPr>
          <w:rFonts w:ascii="ITC Avant Garde" w:hAnsi="ITC Avant Garde"/>
        </w:rPr>
        <w:t xml:space="preserve">constituyeron </w:t>
      </w:r>
      <w:r>
        <w:rPr>
          <w:rFonts w:ascii="ITC Avant Garde" w:hAnsi="ITC Avant Garde"/>
        </w:rPr>
        <w:t xml:space="preserve">nuevamente </w:t>
      </w:r>
      <w:r w:rsidRPr="000E0014">
        <w:rPr>
          <w:rFonts w:ascii="ITC Avant Garde" w:hAnsi="ITC Avant Garde"/>
        </w:rPr>
        <w:t xml:space="preserve">en el inmueble ubicado en </w:t>
      </w:r>
      <w:r w:rsidR="00730107">
        <w:rPr>
          <w:rFonts w:ascii="ITC Avant Garde" w:eastAsia="Times New Roman" w:hAnsi="ITC Avant Garde"/>
          <w:bCs/>
          <w:color w:val="000000"/>
          <w:lang w:eastAsia="es-MX"/>
        </w:rPr>
        <w:t>Avenida 5 de Febrero número 1311, Colonia Nuevo Carrillo Puerto, Código Postal 76138, Santiago de Querétaro, Querétaro,</w:t>
      </w:r>
      <w:r w:rsidRPr="000E0014">
        <w:rPr>
          <w:rFonts w:ascii="ITC Avant Garde" w:hAnsi="ITC Avant Garde"/>
        </w:rPr>
        <w:t xml:space="preserve"> en propiedad o en posesión de </w:t>
      </w:r>
      <w:r w:rsidR="00730107">
        <w:rPr>
          <w:rFonts w:ascii="ITC Avant Garde" w:hAnsi="ITC Avant Garde"/>
          <w:b/>
        </w:rPr>
        <w:t>MEGA CABLE</w:t>
      </w:r>
      <w:r w:rsidRPr="000E0014">
        <w:rPr>
          <w:rFonts w:ascii="ITC Avant Garde" w:hAnsi="ITC Avant Garde"/>
        </w:rPr>
        <w:t xml:space="preserve">, a efecto de continuar con </w:t>
      </w:r>
      <w:r w:rsidR="001F50BC">
        <w:rPr>
          <w:rFonts w:ascii="ITC Avant Garde" w:hAnsi="ITC Avant Garde"/>
        </w:rPr>
        <w:t>la visita</w:t>
      </w:r>
      <w:r w:rsidRPr="000E0014">
        <w:rPr>
          <w:rFonts w:ascii="ITC Avant Garde" w:hAnsi="ITC Avant Garde"/>
        </w:rPr>
        <w:t xml:space="preserve"> de inspección-verificación o</w:t>
      </w:r>
      <w:r>
        <w:rPr>
          <w:rFonts w:ascii="ITC Avant Garde" w:hAnsi="ITC Avant Garde"/>
        </w:rPr>
        <w:t xml:space="preserve">rdinaria </w:t>
      </w:r>
      <w:r w:rsidR="0051132B">
        <w:rPr>
          <w:rFonts w:ascii="ITC Avant Garde" w:hAnsi="ITC Avant Garde"/>
          <w:b/>
        </w:rPr>
        <w:t>IFT/DF/DGV/1299/2015</w:t>
      </w:r>
      <w:r w:rsidRPr="006A7614">
        <w:rPr>
          <w:rFonts w:ascii="ITC Avant Garde" w:eastAsia="Times New Roman" w:hAnsi="ITC Avant Garde"/>
          <w:bCs/>
          <w:color w:val="000000"/>
          <w:lang w:eastAsia="es-MX"/>
        </w:rPr>
        <w:t xml:space="preserve"> </w:t>
      </w:r>
      <w:r w:rsidRPr="006A7614">
        <w:rPr>
          <w:rFonts w:ascii="ITC Avant Garde" w:hAnsi="ITC Avant Garde"/>
        </w:rPr>
        <w:t xml:space="preserve">y una vez que se identificaron, fueron atendidos por </w:t>
      </w:r>
      <w:r>
        <w:rPr>
          <w:rFonts w:ascii="ITC Avant Garde" w:eastAsia="Times New Roman" w:hAnsi="ITC Avant Garde"/>
          <w:bCs/>
          <w:color w:val="000000"/>
          <w:lang w:eastAsia="es-MX"/>
        </w:rPr>
        <w:t xml:space="preserve">el </w:t>
      </w:r>
      <w:r w:rsidRPr="00E0607B">
        <w:rPr>
          <w:rFonts w:ascii="ITC Avant Garde" w:eastAsia="Times New Roman" w:hAnsi="ITC Avant Garde"/>
          <w:bCs/>
          <w:color w:val="000000"/>
          <w:lang w:eastAsia="es-MX"/>
        </w:rPr>
        <w:t xml:space="preserve"> </w:t>
      </w:r>
      <w:r w:rsidRPr="00597B8D">
        <w:rPr>
          <w:rFonts w:ascii="ITC Avant Garde" w:eastAsia="Times New Roman" w:hAnsi="ITC Avant Garde"/>
          <w:b/>
          <w:bCs/>
          <w:color w:val="000000"/>
          <w:lang w:eastAsia="es-MX"/>
        </w:rPr>
        <w:t>C.</w:t>
      </w:r>
      <w:r w:rsidRPr="00E0607B">
        <w:rPr>
          <w:rFonts w:ascii="ITC Avant Garde" w:eastAsia="Times New Roman" w:hAnsi="ITC Avant Garde"/>
          <w:bCs/>
          <w:color w:val="000000"/>
          <w:lang w:eastAsia="es-MX"/>
        </w:rPr>
        <w:t xml:space="preserve"> </w:t>
      </w:r>
      <w:r w:rsidR="009E3863">
        <w:rPr>
          <w:rFonts w:ascii="ITC Avant Garde" w:hAnsi="ITC Avant Garde"/>
          <w:b/>
          <w:bCs/>
          <w:color w:val="0000FF"/>
        </w:rPr>
        <w:t>“CONFIDENCIAL POR LEY”</w:t>
      </w:r>
      <w:r w:rsidR="00730107">
        <w:rPr>
          <w:rFonts w:ascii="ITC Avant Garde" w:eastAsia="Times New Roman" w:hAnsi="ITC Avant Garde"/>
          <w:bCs/>
          <w:color w:val="000000"/>
          <w:lang w:eastAsia="es-MX"/>
        </w:rPr>
        <w:t>,</w:t>
      </w:r>
      <w:r w:rsidRPr="00524B87">
        <w:rPr>
          <w:rFonts w:ascii="ITC Avant Garde" w:eastAsia="Times New Roman" w:hAnsi="ITC Avant Garde"/>
          <w:bCs/>
          <w:color w:val="000000"/>
          <w:lang w:eastAsia="es-MX"/>
        </w:rPr>
        <w:t xml:space="preserve"> quien se identificó con credencial para votar</w:t>
      </w:r>
      <w:r w:rsidRPr="000F18B4">
        <w:rPr>
          <w:rFonts w:ascii="ITC Avant Garde" w:hAnsi="ITC Avant Garde" w:cs="Arial"/>
        </w:rPr>
        <w:t xml:space="preserve">, </w:t>
      </w:r>
      <w:r w:rsidRPr="00524B87">
        <w:rPr>
          <w:rFonts w:ascii="ITC Avant Garde" w:hAnsi="ITC Avant Garde"/>
        </w:rPr>
        <w:t xml:space="preserve">con </w:t>
      </w:r>
      <w:r>
        <w:rPr>
          <w:rFonts w:ascii="ITC Avant Garde" w:hAnsi="ITC Avant Garde"/>
        </w:rPr>
        <w:t xml:space="preserve">clave de elector </w:t>
      </w:r>
      <w:r w:rsidR="000F358F">
        <w:rPr>
          <w:rFonts w:ascii="ITC Avant Garde" w:hAnsi="ITC Avant Garde"/>
          <w:b/>
          <w:bCs/>
          <w:color w:val="0000FF"/>
        </w:rPr>
        <w:t>“CONFIDENCIAL POR LEY”</w:t>
      </w:r>
      <w:r>
        <w:rPr>
          <w:rFonts w:ascii="ITC Avant Garde" w:hAnsi="ITC Avant Garde"/>
        </w:rPr>
        <w:t>,</w:t>
      </w:r>
      <w:r w:rsidR="00730107">
        <w:rPr>
          <w:rFonts w:ascii="ITC Avant Garde" w:hAnsi="ITC Avant Garde"/>
        </w:rPr>
        <w:t xml:space="preserve"> </w:t>
      </w:r>
      <w:r>
        <w:rPr>
          <w:rFonts w:ascii="ITC Avant Garde" w:hAnsi="ITC Avant Garde"/>
        </w:rPr>
        <w:t xml:space="preserve">quien manifestó tener el carácter de </w:t>
      </w:r>
      <w:r w:rsidR="000F358F">
        <w:rPr>
          <w:rFonts w:ascii="ITC Avant Garde" w:hAnsi="ITC Avant Garde"/>
          <w:b/>
          <w:bCs/>
          <w:color w:val="0000FF"/>
        </w:rPr>
        <w:t xml:space="preserve">“CONFIDENCIAL POR LEY” </w:t>
      </w:r>
      <w:r>
        <w:rPr>
          <w:rFonts w:ascii="ITC Avant Garde" w:hAnsi="ITC Avant Garde"/>
        </w:rPr>
        <w:t xml:space="preserve">de la empresa visitada, </w:t>
      </w:r>
      <w:r>
        <w:rPr>
          <w:rFonts w:ascii="ITC Avant Garde" w:hAnsi="ITC Avant Garde"/>
        </w:rPr>
        <w:lastRenderedPageBreak/>
        <w:t xml:space="preserve">acreditando su dicho mediante credencial de empleado expedida por </w:t>
      </w:r>
      <w:r>
        <w:rPr>
          <w:rFonts w:ascii="ITC Avant Garde" w:hAnsi="ITC Avant Garde"/>
          <w:i/>
        </w:rPr>
        <w:t>“MEGA CA</w:t>
      </w:r>
      <w:r w:rsidR="00730107">
        <w:rPr>
          <w:rFonts w:ascii="ITC Avant Garde" w:hAnsi="ITC Avant Garde"/>
          <w:i/>
        </w:rPr>
        <w:t>BLE COMUNICACIONES</w:t>
      </w:r>
      <w:r>
        <w:rPr>
          <w:rFonts w:ascii="ITC Avant Garde" w:hAnsi="ITC Avant Garde"/>
          <w:i/>
        </w:rPr>
        <w:t>”</w:t>
      </w:r>
      <w:r>
        <w:rPr>
          <w:rFonts w:ascii="ITC Avant Garde" w:hAnsi="ITC Avant Garde"/>
        </w:rPr>
        <w:t xml:space="preserve">, quien </w:t>
      </w:r>
      <w:r w:rsidRPr="00524B87">
        <w:rPr>
          <w:rFonts w:ascii="ITC Avant Garde" w:eastAsia="Times New Roman" w:hAnsi="ITC Avant Garde"/>
          <w:bCs/>
          <w:color w:val="000000"/>
          <w:lang w:eastAsia="es-MX"/>
        </w:rPr>
        <w:t>design</w:t>
      </w:r>
      <w:r>
        <w:rPr>
          <w:rFonts w:ascii="ITC Avant Garde" w:eastAsia="Times New Roman" w:hAnsi="ITC Avant Garde"/>
          <w:bCs/>
          <w:color w:val="000000"/>
          <w:lang w:eastAsia="es-MX"/>
        </w:rPr>
        <w:t>ó</w:t>
      </w:r>
      <w:r w:rsidRPr="00524B87">
        <w:rPr>
          <w:rFonts w:ascii="ITC Avant Garde" w:eastAsia="Times New Roman" w:hAnsi="ITC Avant Garde"/>
          <w:bCs/>
          <w:color w:val="000000"/>
          <w:lang w:eastAsia="es-MX"/>
        </w:rPr>
        <w:t xml:space="preserve"> como testigos de asistencia a los </w:t>
      </w:r>
      <w:r w:rsidRPr="00597B8D">
        <w:rPr>
          <w:rFonts w:ascii="ITC Avant Garde" w:eastAsia="Times New Roman" w:hAnsi="ITC Avant Garde"/>
          <w:b/>
          <w:bCs/>
          <w:color w:val="000000"/>
          <w:lang w:eastAsia="es-MX"/>
        </w:rPr>
        <w:t xml:space="preserve">CC. </w:t>
      </w:r>
      <w:r w:rsidR="000F358F">
        <w:rPr>
          <w:rFonts w:ascii="ITC Avant Garde" w:hAnsi="ITC Avant Garde"/>
          <w:b/>
          <w:bCs/>
          <w:color w:val="0000FF"/>
        </w:rPr>
        <w:t>“CONFIDENCIAL POR LEY”</w:t>
      </w:r>
      <w:r>
        <w:rPr>
          <w:rFonts w:ascii="ITC Avant Garde" w:hAnsi="ITC Avant Garde"/>
          <w:b/>
        </w:rPr>
        <w:t xml:space="preserve"> </w:t>
      </w:r>
      <w:r w:rsidRPr="006A7614">
        <w:rPr>
          <w:rFonts w:ascii="ITC Avant Garde" w:hAnsi="ITC Avant Garde"/>
        </w:rPr>
        <w:t>(</w:t>
      </w:r>
      <w:r>
        <w:rPr>
          <w:rFonts w:ascii="ITC Avant Garde" w:hAnsi="ITC Avant Garde"/>
        </w:rPr>
        <w:t xml:space="preserve">en lo sucesivo </w:t>
      </w:r>
      <w:r w:rsidRPr="006A7614">
        <w:rPr>
          <w:rFonts w:ascii="ITC Avant Garde" w:hAnsi="ITC Avant Garde"/>
        </w:rPr>
        <w:t>“</w:t>
      </w:r>
      <w:r w:rsidRPr="006A7614">
        <w:rPr>
          <w:rFonts w:ascii="ITC Avant Garde" w:hAnsi="ITC Avant Garde"/>
          <w:b/>
        </w:rPr>
        <w:t>LOS TESTIGOS</w:t>
      </w:r>
      <w:r>
        <w:rPr>
          <w:rFonts w:ascii="ITC Avant Garde" w:hAnsi="ITC Avant Garde"/>
        </w:rPr>
        <w:t>”).</w:t>
      </w:r>
    </w:p>
    <w:p w14:paraId="722C6C44" w14:textId="77777777" w:rsidR="00E2222D" w:rsidRDefault="00BB50E7" w:rsidP="00907F25">
      <w:pPr>
        <w:spacing w:after="240" w:line="360" w:lineRule="auto"/>
        <w:jc w:val="both"/>
        <w:rPr>
          <w:rFonts w:ascii="ITC Avant Garde" w:eastAsia="Times New Roman" w:hAnsi="ITC Avant Garde"/>
          <w:lang w:eastAsia="es-ES"/>
        </w:rPr>
      </w:pPr>
      <w:r w:rsidRPr="006A7614">
        <w:rPr>
          <w:rFonts w:ascii="ITC Avant Garde" w:eastAsia="Times New Roman" w:hAnsi="ITC Avant Garde"/>
          <w:b/>
          <w:lang w:val="es-ES" w:eastAsia="es-ES"/>
        </w:rPr>
        <w:t>LOS VERIFICADORES</w:t>
      </w:r>
      <w:r w:rsidR="001D5511">
        <w:rPr>
          <w:rFonts w:ascii="ITC Avant Garde" w:eastAsia="Times New Roman" w:hAnsi="ITC Avant Garde"/>
          <w:b/>
          <w:lang w:val="es-ES" w:eastAsia="es-ES"/>
        </w:rPr>
        <w:t xml:space="preserve"> </w:t>
      </w:r>
      <w:r w:rsidR="001D5511" w:rsidRPr="009569B8">
        <w:rPr>
          <w:rFonts w:ascii="ITC Avant Garde" w:eastAsia="Times New Roman" w:hAnsi="ITC Avant Garde"/>
          <w:lang w:val="es-ES" w:eastAsia="es-ES"/>
        </w:rPr>
        <w:t>hicieron constar</w:t>
      </w:r>
      <w:r w:rsidR="001D5511">
        <w:rPr>
          <w:rFonts w:ascii="ITC Avant Garde" w:eastAsia="Times New Roman" w:hAnsi="ITC Avant Garde"/>
          <w:lang w:val="es-ES" w:eastAsia="es-ES"/>
        </w:rPr>
        <w:t xml:space="preserve"> en el Acta de Verificación</w:t>
      </w:r>
      <w:r w:rsidR="001D5511">
        <w:rPr>
          <w:rFonts w:ascii="ITC Avant Garde" w:eastAsia="Times New Roman" w:hAnsi="ITC Avant Garde"/>
          <w:b/>
          <w:lang w:val="es-ES" w:eastAsia="es-ES"/>
        </w:rPr>
        <w:t xml:space="preserve"> </w:t>
      </w:r>
      <w:r w:rsidR="001D5511">
        <w:rPr>
          <w:rFonts w:ascii="ITC Avant Garde" w:eastAsia="Times New Roman" w:hAnsi="ITC Avant Garde"/>
          <w:lang w:val="es-ES" w:eastAsia="es-ES"/>
        </w:rPr>
        <w:t xml:space="preserve">lo acontecido en la diligencia </w:t>
      </w:r>
      <w:r w:rsidR="00FC568B">
        <w:rPr>
          <w:rFonts w:ascii="ITC Avant Garde" w:eastAsia="Times New Roman" w:hAnsi="ITC Avant Garde"/>
          <w:lang w:val="es-ES" w:eastAsia="es-ES"/>
        </w:rPr>
        <w:t>esencialmente</w:t>
      </w:r>
      <w:r w:rsidR="001D5511">
        <w:rPr>
          <w:rFonts w:ascii="ITC Avant Garde" w:eastAsia="Times New Roman" w:hAnsi="ITC Avant Garde"/>
          <w:lang w:val="es-ES" w:eastAsia="es-ES"/>
        </w:rPr>
        <w:t xml:space="preserve"> como sigue:</w:t>
      </w:r>
    </w:p>
    <w:p w14:paraId="60D1AB26" w14:textId="77777777" w:rsidR="00E2222D" w:rsidRDefault="00730107" w:rsidP="00907F25">
      <w:pPr>
        <w:spacing w:after="240" w:line="360" w:lineRule="auto"/>
        <w:jc w:val="both"/>
        <w:rPr>
          <w:rFonts w:ascii="ITC Avant Garde" w:eastAsia="Times New Roman" w:hAnsi="ITC Avant Garde"/>
          <w:lang w:eastAsia="es-ES"/>
        </w:rPr>
      </w:pPr>
      <w:r>
        <w:rPr>
          <w:rFonts w:ascii="ITC Avant Garde" w:eastAsia="Times New Roman" w:hAnsi="ITC Avant Garde"/>
          <w:b/>
          <w:lang w:eastAsia="es-ES"/>
        </w:rPr>
        <w:t>LOS VERIFICADORES</w:t>
      </w:r>
      <w:r w:rsidR="00BB50E7">
        <w:rPr>
          <w:rFonts w:ascii="ITC Avant Garde" w:eastAsia="Times New Roman" w:hAnsi="ITC Avant Garde"/>
          <w:b/>
          <w:lang w:eastAsia="es-ES"/>
        </w:rPr>
        <w:t xml:space="preserve">, </w:t>
      </w:r>
      <w:r w:rsidR="00BB50E7">
        <w:rPr>
          <w:rFonts w:ascii="ITC Avant Garde" w:eastAsia="Times New Roman" w:hAnsi="ITC Avant Garde"/>
          <w:lang w:eastAsia="es-ES"/>
        </w:rPr>
        <w:t xml:space="preserve">en presencia de </w:t>
      </w:r>
      <w:r>
        <w:rPr>
          <w:rFonts w:ascii="ITC Avant Garde" w:eastAsia="Times New Roman" w:hAnsi="ITC Avant Garde"/>
          <w:b/>
          <w:lang w:eastAsia="es-ES"/>
        </w:rPr>
        <w:t>LOS TESTIGOS</w:t>
      </w:r>
      <w:r w:rsidR="00BB50E7">
        <w:rPr>
          <w:rFonts w:ascii="ITC Avant Garde" w:eastAsia="Times New Roman" w:hAnsi="ITC Avant Garde"/>
          <w:lang w:eastAsia="es-ES"/>
        </w:rPr>
        <w:t>, solicitaron a la persona que atendió la diligencia, c</w:t>
      </w:r>
      <w:r w:rsidR="00BB50E7" w:rsidRPr="00310D70">
        <w:rPr>
          <w:rFonts w:ascii="ITC Avant Garde" w:eastAsia="Times New Roman" w:hAnsi="ITC Avant Garde"/>
          <w:lang w:eastAsia="es-ES"/>
        </w:rPr>
        <w:t xml:space="preserve">onectar una pantalla con la capacidad de poder mostrar señales radiodifundidas digitales y analógicas, a una antena aérea con capacidad de recepción de frecuencias en las bandas VHF y UHF, a fin de corroborar las señales radiodifundidas de cualquier concesionario de televisión radiodifundida </w:t>
      </w:r>
      <w:r w:rsidR="00876E5B">
        <w:rPr>
          <w:rFonts w:ascii="ITC Avant Garde" w:eastAsia="Times New Roman" w:hAnsi="ITC Avant Garde"/>
          <w:lang w:eastAsia="es-ES"/>
        </w:rPr>
        <w:t>en esa población</w:t>
      </w:r>
      <w:r w:rsidR="00BB50E7">
        <w:rPr>
          <w:rFonts w:ascii="ITC Avant Garde" w:eastAsia="Times New Roman" w:hAnsi="ITC Avant Garde"/>
          <w:lang w:eastAsia="es-ES"/>
        </w:rPr>
        <w:t>.</w:t>
      </w:r>
    </w:p>
    <w:p w14:paraId="29939B60" w14:textId="77777777" w:rsidR="00E12243" w:rsidRDefault="00BB50E7" w:rsidP="00907F25">
      <w:pPr>
        <w:spacing w:after="240" w:line="360" w:lineRule="auto"/>
        <w:ind w:left="851" w:right="902"/>
        <w:jc w:val="both"/>
        <w:rPr>
          <w:rFonts w:ascii="ITC Avant Garde" w:hAnsi="ITC Avant Garde"/>
          <w:i/>
          <w:sz w:val="20"/>
        </w:rPr>
        <w:sectPr w:rsidR="00E12243" w:rsidSect="00802C6F">
          <w:headerReference w:type="default" r:id="rId19"/>
          <w:pgSz w:w="12240" w:h="15840"/>
          <w:pgMar w:top="2126" w:right="1325" w:bottom="1701" w:left="1701" w:header="709" w:footer="962" w:gutter="0"/>
          <w:cols w:space="708"/>
          <w:docGrid w:linePitch="360"/>
        </w:sectPr>
      </w:pPr>
      <w:r w:rsidRPr="00F32E58">
        <w:rPr>
          <w:rFonts w:ascii="ITC Avant Garde" w:eastAsia="Times New Roman" w:hAnsi="ITC Avant Garde"/>
          <w:sz w:val="20"/>
          <w:lang w:eastAsia="es-ES"/>
        </w:rPr>
        <w:t>Al respecto, la persona que atendió la diligencia señaló:</w:t>
      </w:r>
      <w:r w:rsidRPr="00F32E58">
        <w:rPr>
          <w:rFonts w:ascii="Arial" w:hAnsi="Arial" w:cs="Arial"/>
          <w:sz w:val="20"/>
        </w:rPr>
        <w:t xml:space="preserve"> </w:t>
      </w:r>
      <w:r w:rsidR="00730107" w:rsidRPr="00F32E58">
        <w:rPr>
          <w:rFonts w:ascii="ITC Avant Garde" w:hAnsi="ITC Avant Garde"/>
          <w:i/>
          <w:sz w:val="20"/>
        </w:rPr>
        <w:t>“En este momento conectamos una pantalla digital marca PHILIPS de 32 pulgadas modelo 32PFL2508/F8 con resolución de 1080i (1920X1080 pixeles) que tiene la capacidad de mostrar señales digitales con calidad SD y HD, así como señales analógicas con calidad NTSC, con la finalidad de corroborar las señales radiodifundidas de cualquier concesionario de televisión radiodifundida dentro de la misma zona de cobertura geográfica. La pantalla se encuentra conectada a una antena aérea instalada en la azotea, antena tipo yagi de varios elementos marca steren para exteriores VHF (recepción 88-230 MHZ) y UHF (recepción 470 a 900 Mhz) compatible para recibir señales radiodifundidas digitales y analógicas, orientada hacia el cerro del “Cimatario” donde se encuentran las estaciones terrenas transmisoras, autorizo tomen fotografías de las señales radiodifundidas mostradas, así como de la pantalla y de la antena utilizados para este escenario.”.</w:t>
      </w:r>
    </w:p>
    <w:p w14:paraId="06B68B9A" w14:textId="77777777" w:rsidR="00E2222D" w:rsidRDefault="004D3F48" w:rsidP="00907F25">
      <w:pPr>
        <w:spacing w:after="240" w:line="360" w:lineRule="auto"/>
        <w:jc w:val="both"/>
        <w:rPr>
          <w:rFonts w:ascii="ITC Avant Garde" w:hAnsi="ITC Avant Garde"/>
        </w:rPr>
      </w:pPr>
      <w:r w:rsidRPr="00FF4ECF">
        <w:rPr>
          <w:rFonts w:ascii="ITC Avant Garde" w:hAnsi="ITC Avant Garde"/>
          <w:b/>
        </w:rPr>
        <w:lastRenderedPageBreak/>
        <w:t>LOS VERIFICADORES</w:t>
      </w:r>
      <w:r>
        <w:rPr>
          <w:rFonts w:ascii="ITC Avant Garde" w:hAnsi="ITC Avant Garde"/>
          <w:b/>
        </w:rPr>
        <w:t xml:space="preserve"> </w:t>
      </w:r>
      <w:r>
        <w:rPr>
          <w:rFonts w:ascii="ITC Avant Garde" w:hAnsi="ITC Avant Garde"/>
        </w:rPr>
        <w:t xml:space="preserve">en presencia de </w:t>
      </w:r>
      <w:r w:rsidR="001A1853">
        <w:rPr>
          <w:rFonts w:ascii="ITC Avant Garde" w:hAnsi="ITC Avant Garde"/>
          <w:b/>
        </w:rPr>
        <w:t>LOS TESTIGOS</w:t>
      </w:r>
      <w:r>
        <w:rPr>
          <w:rFonts w:ascii="ITC Avant Garde" w:hAnsi="ITC Avant Garde"/>
          <w:b/>
        </w:rPr>
        <w:t xml:space="preserve"> </w:t>
      </w:r>
      <w:r>
        <w:rPr>
          <w:rFonts w:ascii="ITC Avant Garde" w:hAnsi="ITC Avant Garde"/>
        </w:rPr>
        <w:t xml:space="preserve">y de la persona que atendió la diligencia agregaron como </w:t>
      </w:r>
      <w:r>
        <w:rPr>
          <w:rFonts w:ascii="ITC Avant Garde" w:hAnsi="ITC Avant Garde"/>
          <w:b/>
        </w:rPr>
        <w:t>“TABLA 5”</w:t>
      </w:r>
      <w:r>
        <w:rPr>
          <w:rFonts w:ascii="ITC Avant Garde" w:hAnsi="ITC Avant Garde"/>
        </w:rPr>
        <w:t xml:space="preserve"> las señales radiodifundidas cuyo resultado fue el siguiente:</w:t>
      </w:r>
    </w:p>
    <w:p w14:paraId="741EEDAD" w14:textId="001865DF" w:rsidR="004D3F48" w:rsidRDefault="004D3F48" w:rsidP="00907F25">
      <w:pPr>
        <w:spacing w:after="240" w:line="360" w:lineRule="auto"/>
        <w:jc w:val="center"/>
        <w:rPr>
          <w:rFonts w:ascii="Arial" w:hAnsi="Arial" w:cs="Arial"/>
          <w:b/>
        </w:rPr>
      </w:pPr>
      <w:r w:rsidRPr="00C75CD3">
        <w:rPr>
          <w:rFonts w:ascii="Arial" w:hAnsi="Arial" w:cs="Arial"/>
          <w:b/>
        </w:rPr>
        <w:t>TABLA 5</w:t>
      </w:r>
    </w:p>
    <w:p w14:paraId="4308DD0D" w14:textId="2E137290" w:rsidR="00FA09FD" w:rsidRDefault="00FA09FD" w:rsidP="00907F25">
      <w:pPr>
        <w:spacing w:after="240" w:line="360" w:lineRule="auto"/>
        <w:ind w:right="-376"/>
        <w:jc w:val="center"/>
        <w:rPr>
          <w:rFonts w:ascii="Arial" w:hAnsi="Arial" w:cs="Arial"/>
          <w:b/>
        </w:rPr>
      </w:pPr>
      <w:r w:rsidRPr="00FA09FD">
        <w:rPr>
          <w:noProof/>
          <w:lang w:eastAsia="es-MX"/>
        </w:rPr>
        <w:drawing>
          <wp:inline distT="0" distB="0" distL="0" distR="0" wp14:anchorId="3B1EBEC0" wp14:editId="21D42D9F">
            <wp:extent cx="5823000" cy="3232150"/>
            <wp:effectExtent l="0" t="0" r="6350" b="6350"/>
            <wp:docPr id="7" name="Imagen 7" descr="Esta imagen muestra la ubicación de la estación de tv radiodifundidas, estaciones de TV, Banda TV TDT, Canal, Radiodifundido,canal multiprogramado, nombre comercial, calidad de la señal " title="Tab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231" t="38214" r="12084" b="11102"/>
                    <a:stretch/>
                  </pic:blipFill>
                  <pic:spPr bwMode="auto">
                    <a:xfrm>
                      <a:off x="0" y="0"/>
                      <a:ext cx="5859447" cy="3252381"/>
                    </a:xfrm>
                    <a:prstGeom prst="rect">
                      <a:avLst/>
                    </a:prstGeom>
                    <a:ln>
                      <a:noFill/>
                    </a:ln>
                    <a:extLst>
                      <a:ext uri="{53640926-AAD7-44D8-BBD7-CCE9431645EC}">
                        <a14:shadowObscured xmlns:a14="http://schemas.microsoft.com/office/drawing/2010/main"/>
                      </a:ext>
                    </a:extLst>
                  </pic:spPr>
                </pic:pic>
              </a:graphicData>
            </a:graphic>
          </wp:inline>
        </w:drawing>
      </w:r>
    </w:p>
    <w:p w14:paraId="33DDE497" w14:textId="17249C75" w:rsidR="00631E1D" w:rsidRDefault="00631E1D" w:rsidP="00907F25">
      <w:pPr>
        <w:spacing w:after="240" w:line="360" w:lineRule="auto"/>
        <w:jc w:val="both"/>
        <w:rPr>
          <w:rFonts w:ascii="Arial Narrow" w:hAnsi="Arial Narrow" w:cs="Arial"/>
          <w:sz w:val="14"/>
          <w:szCs w:val="14"/>
          <w:vertAlign w:val="superscript"/>
        </w:rPr>
      </w:pPr>
      <w:r>
        <w:rPr>
          <w:noProof/>
          <w:lang w:eastAsia="es-MX"/>
        </w:rPr>
        <w:lastRenderedPageBreak/>
        <w:drawing>
          <wp:inline distT="0" distB="0" distL="0" distR="0" wp14:anchorId="7292E907" wp14:editId="36A40070">
            <wp:extent cx="5788443" cy="3304572"/>
            <wp:effectExtent l="0" t="0" r="3175" b="0"/>
            <wp:docPr id="8" name="Imagen 8" title="Continuación de la Tab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0842" t="28985" r="10793" b="13445"/>
                    <a:stretch/>
                  </pic:blipFill>
                  <pic:spPr bwMode="auto">
                    <a:xfrm>
                      <a:off x="0" y="0"/>
                      <a:ext cx="5824968" cy="3325424"/>
                    </a:xfrm>
                    <a:prstGeom prst="rect">
                      <a:avLst/>
                    </a:prstGeom>
                    <a:ln>
                      <a:noFill/>
                    </a:ln>
                    <a:extLst>
                      <a:ext uri="{53640926-AAD7-44D8-BBD7-CCE9431645EC}">
                        <a14:shadowObscured xmlns:a14="http://schemas.microsoft.com/office/drawing/2010/main"/>
                      </a:ext>
                    </a:extLst>
                  </pic:spPr>
                </pic:pic>
              </a:graphicData>
            </a:graphic>
          </wp:inline>
        </w:drawing>
      </w:r>
    </w:p>
    <w:p w14:paraId="04761BF9" w14:textId="62500BB4" w:rsidR="00E2222D" w:rsidRDefault="001A1853" w:rsidP="00907F25">
      <w:pPr>
        <w:spacing w:after="240" w:line="360" w:lineRule="auto"/>
        <w:jc w:val="both"/>
        <w:rPr>
          <w:rFonts w:ascii="ITC Avant Garde" w:eastAsia="Times New Roman" w:hAnsi="ITC Avant Garde" w:cs="Arial"/>
          <w:sz w:val="14"/>
          <w:szCs w:val="14"/>
          <w:lang w:eastAsia="es-MX"/>
        </w:rPr>
      </w:pPr>
      <w:r w:rsidRPr="00894A54">
        <w:rPr>
          <w:rFonts w:ascii="Arial Narrow" w:hAnsi="Arial Narrow" w:cs="Arial"/>
          <w:sz w:val="14"/>
          <w:szCs w:val="14"/>
          <w:vertAlign w:val="superscript"/>
        </w:rPr>
        <w:t xml:space="preserve"> </w:t>
      </w:r>
      <w:r w:rsidRPr="00A600AB">
        <w:rPr>
          <w:rFonts w:ascii="ITC Avant Garde" w:eastAsia="Times New Roman" w:hAnsi="ITC Avant Garde" w:cs="Arial"/>
          <w:sz w:val="21"/>
          <w:szCs w:val="21"/>
          <w:vertAlign w:val="superscript"/>
          <w:lang w:eastAsia="es-MX"/>
        </w:rPr>
        <w:t>(8)</w:t>
      </w:r>
      <w:r w:rsidRPr="00486715">
        <w:rPr>
          <w:rFonts w:ascii="ITC Avant Garde" w:eastAsia="Times New Roman" w:hAnsi="ITC Avant Garde" w:cs="Arial"/>
          <w:sz w:val="21"/>
          <w:szCs w:val="21"/>
          <w:lang w:eastAsia="es-MX"/>
        </w:rPr>
        <w:t xml:space="preserve"> </w:t>
      </w:r>
      <w:r w:rsidRPr="003C3D9F">
        <w:rPr>
          <w:rFonts w:ascii="ITC Avant Garde" w:eastAsia="Times New Roman" w:hAnsi="ITC Avant Garde" w:cs="Arial"/>
          <w:sz w:val="14"/>
          <w:szCs w:val="14"/>
          <w:lang w:eastAsia="es-MX"/>
        </w:rPr>
        <w:t xml:space="preserve">Las fotografías de estas señales radiodifundidas fueron tomadas el </w:t>
      </w:r>
      <w:r>
        <w:rPr>
          <w:rFonts w:ascii="ITC Avant Garde" w:eastAsia="Times New Roman" w:hAnsi="ITC Avant Garde" w:cs="Arial"/>
          <w:sz w:val="14"/>
          <w:szCs w:val="14"/>
          <w:lang w:eastAsia="es-MX"/>
        </w:rPr>
        <w:t>11-12</w:t>
      </w:r>
      <w:r w:rsidRPr="003C3D9F">
        <w:rPr>
          <w:rFonts w:ascii="ITC Avant Garde" w:eastAsia="Times New Roman" w:hAnsi="ITC Avant Garde" w:cs="Arial"/>
          <w:sz w:val="14"/>
          <w:szCs w:val="14"/>
          <w:lang w:eastAsia="es-MX"/>
        </w:rPr>
        <w:t>-20</w:t>
      </w:r>
      <w:r>
        <w:rPr>
          <w:rFonts w:ascii="ITC Avant Garde" w:eastAsia="Times New Roman" w:hAnsi="ITC Avant Garde" w:cs="Arial"/>
          <w:sz w:val="14"/>
          <w:szCs w:val="14"/>
          <w:lang w:eastAsia="es-MX"/>
        </w:rPr>
        <w:t xml:space="preserve">15 de las </w:t>
      </w:r>
      <w:r w:rsidRPr="003F080E">
        <w:rPr>
          <w:rFonts w:ascii="ITC Avant Garde" w:eastAsia="Times New Roman" w:hAnsi="ITC Avant Garde" w:cs="Arial"/>
          <w:sz w:val="14"/>
          <w:szCs w:val="14"/>
          <w:lang w:eastAsia="es-MX"/>
        </w:rPr>
        <w:t>10:40 a las 10:55 hrs</w:t>
      </w:r>
      <w:r>
        <w:rPr>
          <w:rFonts w:ascii="ITC Avant Garde" w:eastAsia="Times New Roman" w:hAnsi="ITC Avant Garde" w:cs="Arial"/>
          <w:sz w:val="14"/>
          <w:szCs w:val="14"/>
          <w:lang w:eastAsia="es-MX"/>
        </w:rPr>
        <w:t xml:space="preserve"> se encuentran en el anexo 16.</w:t>
      </w:r>
    </w:p>
    <w:p w14:paraId="1A2B0208" w14:textId="77777777" w:rsidR="00E2222D" w:rsidRDefault="004D3F48" w:rsidP="00907F25">
      <w:pPr>
        <w:spacing w:after="240" w:line="360" w:lineRule="auto"/>
        <w:contextualSpacing/>
        <w:jc w:val="both"/>
        <w:rPr>
          <w:rFonts w:ascii="ITC Avant Garde" w:hAnsi="ITC Avant Garde"/>
        </w:rPr>
      </w:pPr>
      <w:r>
        <w:rPr>
          <w:rFonts w:ascii="ITC Avant Garde" w:hAnsi="ITC Avant Garde"/>
        </w:rPr>
        <w:t xml:space="preserve">Acto seguido, </w:t>
      </w:r>
      <w:r w:rsidRPr="00FF4ECF">
        <w:rPr>
          <w:rFonts w:ascii="ITC Avant Garde" w:hAnsi="ITC Avant Garde"/>
          <w:b/>
        </w:rPr>
        <w:t>LOS VERIFICADORES</w:t>
      </w:r>
      <w:r>
        <w:rPr>
          <w:rFonts w:ascii="ITC Avant Garde" w:hAnsi="ITC Avant Garde"/>
          <w:b/>
        </w:rPr>
        <w:t xml:space="preserve"> </w:t>
      </w:r>
      <w:r>
        <w:rPr>
          <w:rFonts w:ascii="ITC Avant Garde" w:hAnsi="ITC Avant Garde"/>
        </w:rPr>
        <w:t xml:space="preserve">en presencia de </w:t>
      </w:r>
      <w:r w:rsidR="001A1853">
        <w:rPr>
          <w:rFonts w:ascii="ITC Avant Garde" w:hAnsi="ITC Avant Garde"/>
          <w:b/>
        </w:rPr>
        <w:t>LOS TESTIGOS</w:t>
      </w:r>
      <w:r>
        <w:rPr>
          <w:rFonts w:ascii="ITC Avant Garde" w:hAnsi="ITC Avant Garde"/>
          <w:b/>
        </w:rPr>
        <w:t xml:space="preserve"> </w:t>
      </w:r>
      <w:r w:rsidRPr="00246D53">
        <w:rPr>
          <w:rFonts w:ascii="ITC Avant Garde" w:hAnsi="ITC Avant Garde"/>
        </w:rPr>
        <w:t>solicitaron</w:t>
      </w:r>
      <w:r>
        <w:rPr>
          <w:rFonts w:ascii="ITC Avant Garde" w:hAnsi="ITC Avant Garde"/>
          <w:b/>
        </w:rPr>
        <w:t xml:space="preserve"> </w:t>
      </w:r>
      <w:r w:rsidRPr="00246D53">
        <w:rPr>
          <w:rFonts w:ascii="ITC Avant Garde" w:hAnsi="ITC Avant Garde"/>
        </w:rPr>
        <w:t xml:space="preserve">a </w:t>
      </w:r>
      <w:r>
        <w:rPr>
          <w:rFonts w:ascii="ITC Avant Garde" w:hAnsi="ITC Avant Garde"/>
        </w:rPr>
        <w:t xml:space="preserve">la persona que atendió la diligencia, indicara y </w:t>
      </w:r>
      <w:r w:rsidR="001A1853">
        <w:rPr>
          <w:rFonts w:ascii="ITC Avant Garde" w:hAnsi="ITC Avant Garde"/>
        </w:rPr>
        <w:t>de</w:t>
      </w:r>
      <w:r>
        <w:rPr>
          <w:rFonts w:ascii="ITC Avant Garde" w:hAnsi="ITC Avant Garde"/>
        </w:rPr>
        <w:t>mostrara si retransmite las señales radiodifundidas indicadas en la “</w:t>
      </w:r>
      <w:r>
        <w:rPr>
          <w:rFonts w:ascii="ITC Avant Garde" w:hAnsi="ITC Avant Garde"/>
          <w:b/>
        </w:rPr>
        <w:t>TABLA 5”,</w:t>
      </w:r>
      <w:r>
        <w:rPr>
          <w:rFonts w:ascii="ITC Avant Garde" w:hAnsi="ITC Avant Garde"/>
        </w:rPr>
        <w:t xml:space="preserve"> el medio por el cual obtiene dichas señales y cuál es la definición de imagen y sonido con las que las retransmite.</w:t>
      </w:r>
    </w:p>
    <w:p w14:paraId="4E110D28" w14:textId="77777777" w:rsidR="00E2222D" w:rsidRDefault="004D3F48" w:rsidP="00907F25">
      <w:pPr>
        <w:spacing w:after="240" w:line="360" w:lineRule="auto"/>
        <w:ind w:left="851" w:right="902"/>
        <w:contextualSpacing/>
        <w:jc w:val="both"/>
        <w:rPr>
          <w:rFonts w:ascii="ITC Avant Garde" w:hAnsi="ITC Avant Garde"/>
          <w:i/>
          <w:sz w:val="20"/>
        </w:rPr>
      </w:pPr>
      <w:r w:rsidRPr="00F32E58">
        <w:rPr>
          <w:rFonts w:ascii="ITC Avant Garde" w:hAnsi="ITC Avant Garde"/>
          <w:sz w:val="20"/>
        </w:rPr>
        <w:t xml:space="preserve">Al respecto, la persona que recibió la visita señaló: </w:t>
      </w:r>
      <w:r w:rsidR="001A1853" w:rsidRPr="00F32E58">
        <w:rPr>
          <w:rFonts w:ascii="ITC Avant Garde" w:hAnsi="ITC Avant Garde"/>
          <w:i/>
          <w:sz w:val="20"/>
        </w:rPr>
        <w:t xml:space="preserve">“LA VISITADA sí retransmite las señales indicadas en la ‘TABLA 5’. Todas las señales radiodifundidas que retransmite LA VISITADA son captadas del aire a través de las dos antenas aéreas multicanal, instaladas en la azotea del inmueble donde se actúa, son recibidas de manera gratuita. La definición de las señales radiodifundidas retransmitidas depende del paquete contratado por el suscriptor, actualmente solo el paquete SUPERDIGITAL retransmite las señales radiodifundidas en definiciones HD (Alta Definición) y SD (Definición Estándar), el resto de los paquetes retransmite las señales radiodifundidas solo en SD (Definición Estándar); es decir solo suscriptores que cuentan con el </w:t>
      </w:r>
      <w:r w:rsidR="001A1853" w:rsidRPr="00F32E58">
        <w:rPr>
          <w:rFonts w:ascii="ITC Avant Garde" w:hAnsi="ITC Avant Garde"/>
          <w:i/>
          <w:sz w:val="20"/>
        </w:rPr>
        <w:lastRenderedPageBreak/>
        <w:t>paquete SUPERDIGITAL reciben con definición HD las señales radiodifundidas. Para corroborar mi dicho, en éstos momentos procedemos a conectar una pantalla a uno de nuestros decodificadores que es capaz de mostrar las señales entregadas en los 3 paquetes ofertados; y procedemos a sintonizar cada uno de los canales correspondientes a las señales radiodifundidas de la ‘TABLA 5’. Les solicito para corroborar mi dicho, que tomen fotografías de dicha pantalla que muestra las señales radiodifundidas retransmitidas en la red de televisión por cable.”.</w:t>
      </w:r>
    </w:p>
    <w:p w14:paraId="14500F09" w14:textId="7EF9BE93" w:rsidR="00E2222D" w:rsidRDefault="004D3F48" w:rsidP="00907F25">
      <w:pPr>
        <w:spacing w:after="240" w:line="360" w:lineRule="auto"/>
        <w:contextualSpacing/>
        <w:jc w:val="both"/>
        <w:rPr>
          <w:rFonts w:ascii="ITC Avant Garde" w:hAnsi="ITC Avant Garde"/>
        </w:rPr>
      </w:pPr>
      <w:r>
        <w:rPr>
          <w:rFonts w:ascii="ITC Avant Garde" w:eastAsia="Times New Roman" w:hAnsi="ITC Avant Garde"/>
          <w:bCs/>
          <w:lang w:eastAsia="es-ES"/>
        </w:rPr>
        <w:t xml:space="preserve">En virtud de lo anterior, </w:t>
      </w:r>
      <w:r w:rsidR="001A1853">
        <w:rPr>
          <w:rFonts w:ascii="ITC Avant Garde" w:eastAsia="Times New Roman" w:hAnsi="ITC Avant Garde"/>
          <w:b/>
          <w:bCs/>
          <w:lang w:eastAsia="es-ES"/>
        </w:rPr>
        <w:t>LOS VERIFICADORES</w:t>
      </w:r>
      <w:r>
        <w:rPr>
          <w:rFonts w:ascii="ITC Avant Garde" w:eastAsia="Times New Roman" w:hAnsi="ITC Avant Garde"/>
          <w:b/>
          <w:bCs/>
          <w:lang w:eastAsia="es-ES"/>
        </w:rPr>
        <w:t xml:space="preserve"> </w:t>
      </w:r>
      <w:r>
        <w:rPr>
          <w:rFonts w:ascii="ITC Avant Garde" w:hAnsi="ITC Avant Garde"/>
        </w:rPr>
        <w:t xml:space="preserve">en presencia de </w:t>
      </w:r>
      <w:r w:rsidR="001A1853">
        <w:rPr>
          <w:rFonts w:ascii="ITC Avant Garde" w:hAnsi="ITC Avant Garde"/>
          <w:b/>
        </w:rPr>
        <w:t>LOS TESTIGOS</w:t>
      </w:r>
      <w:r>
        <w:rPr>
          <w:rFonts w:ascii="ITC Avant Garde" w:hAnsi="ITC Avant Garde"/>
          <w:b/>
        </w:rPr>
        <w:t xml:space="preserve"> </w:t>
      </w:r>
      <w:r>
        <w:rPr>
          <w:rFonts w:ascii="ITC Avant Garde" w:hAnsi="ITC Avant Garde"/>
        </w:rPr>
        <w:t xml:space="preserve">y de la persona que atendió la diligencia agregaron como </w:t>
      </w:r>
      <w:r>
        <w:rPr>
          <w:rFonts w:ascii="ITC Avant Garde" w:hAnsi="ITC Avant Garde"/>
          <w:b/>
        </w:rPr>
        <w:t>“TABLA 6”</w:t>
      </w:r>
      <w:r>
        <w:rPr>
          <w:rFonts w:ascii="ITC Avant Garde" w:hAnsi="ITC Avant Garde"/>
        </w:rPr>
        <w:t xml:space="preserve"> la información de los canales mostrados en la pantalla conectada </w:t>
      </w:r>
      <w:r w:rsidR="001A1853">
        <w:rPr>
          <w:rFonts w:ascii="ITC Avant Garde" w:hAnsi="ITC Avant Garde"/>
        </w:rPr>
        <w:t>a la red de televisión por cable</w:t>
      </w:r>
      <w:r>
        <w:rPr>
          <w:rFonts w:ascii="ITC Avant Garde" w:hAnsi="ITC Avant Garde"/>
        </w:rPr>
        <w:t xml:space="preserve"> de </w:t>
      </w:r>
      <w:r w:rsidR="001A1853">
        <w:rPr>
          <w:rFonts w:ascii="ITC Avant Garde" w:hAnsi="ITC Avant Garde"/>
          <w:b/>
        </w:rPr>
        <w:t>MEGA CABLE</w:t>
      </w:r>
      <w:r>
        <w:rPr>
          <w:rFonts w:ascii="ITC Avant Garde" w:hAnsi="ITC Avant Garde"/>
          <w:b/>
        </w:rPr>
        <w:t xml:space="preserve">, </w:t>
      </w:r>
      <w:r>
        <w:rPr>
          <w:rFonts w:ascii="ITC Avant Garde" w:hAnsi="ITC Avant Garde"/>
        </w:rPr>
        <w:t>cuyo resultado fue el siguiente:</w:t>
      </w:r>
    </w:p>
    <w:p w14:paraId="449C8076" w14:textId="2F8E707C" w:rsidR="004D3F48" w:rsidRDefault="004D3F48" w:rsidP="00907F25">
      <w:pPr>
        <w:spacing w:after="240" w:line="360" w:lineRule="auto"/>
        <w:jc w:val="center"/>
        <w:rPr>
          <w:rFonts w:ascii="Arial" w:hAnsi="Arial" w:cs="Arial"/>
          <w:b/>
        </w:rPr>
      </w:pPr>
      <w:r w:rsidRPr="00910814">
        <w:rPr>
          <w:rFonts w:ascii="Arial" w:hAnsi="Arial" w:cs="Arial"/>
          <w:b/>
        </w:rPr>
        <w:t>TABLA 6</w:t>
      </w:r>
    </w:p>
    <w:p w14:paraId="067DFED2" w14:textId="5F46A5C1" w:rsidR="00AA47C7" w:rsidRDefault="00AA47C7" w:rsidP="00907F25">
      <w:pPr>
        <w:spacing w:after="240" w:line="360" w:lineRule="auto"/>
        <w:jc w:val="center"/>
        <w:rPr>
          <w:rFonts w:ascii="Arial" w:hAnsi="Arial" w:cs="Arial"/>
          <w:b/>
        </w:rPr>
      </w:pPr>
      <w:r>
        <w:rPr>
          <w:noProof/>
          <w:lang w:eastAsia="es-MX"/>
        </w:rPr>
        <w:drawing>
          <wp:inline distT="0" distB="0" distL="0" distR="0" wp14:anchorId="5C1ABF98" wp14:editId="689A76E0">
            <wp:extent cx="5749248" cy="3750198"/>
            <wp:effectExtent l="0" t="0" r="4445" b="3175"/>
            <wp:docPr id="9" name="Imagen 9" descr="Esta tabla muestra la información de los canales mostrados en la pantalla conectada a la red de televisión por cable de MEGA CABLE" title="Tab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286" t="30074" r="12241" b="10856"/>
                    <a:stretch/>
                  </pic:blipFill>
                  <pic:spPr bwMode="auto">
                    <a:xfrm>
                      <a:off x="0" y="0"/>
                      <a:ext cx="5820010" cy="3796355"/>
                    </a:xfrm>
                    <a:prstGeom prst="rect">
                      <a:avLst/>
                    </a:prstGeom>
                    <a:ln>
                      <a:noFill/>
                    </a:ln>
                    <a:extLst>
                      <a:ext uri="{53640926-AAD7-44D8-BBD7-CCE9431645EC}">
                        <a14:shadowObscured xmlns:a14="http://schemas.microsoft.com/office/drawing/2010/main"/>
                      </a:ext>
                    </a:extLst>
                  </pic:spPr>
                </pic:pic>
              </a:graphicData>
            </a:graphic>
          </wp:inline>
        </w:drawing>
      </w:r>
    </w:p>
    <w:p w14:paraId="3451C258" w14:textId="6A8DC4B6" w:rsidR="00AA47C7" w:rsidRDefault="00D679AD" w:rsidP="00907F25">
      <w:pPr>
        <w:spacing w:after="240" w:line="360" w:lineRule="auto"/>
        <w:jc w:val="center"/>
        <w:rPr>
          <w:rFonts w:ascii="Arial" w:hAnsi="Arial" w:cs="Arial"/>
          <w:b/>
        </w:rPr>
      </w:pPr>
      <w:r>
        <w:rPr>
          <w:rFonts w:ascii="Arial" w:hAnsi="Arial" w:cs="Arial"/>
          <w:b/>
        </w:rPr>
        <w:object w:dxaOrig="8838" w:dyaOrig="12036" w14:anchorId="64577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ntinuación de la tabla 6 muestra la información de los canales mostrados en la pantalla conectada a la red de televisión por cable de MEGA CABLE" style="width:442.05pt;height:601.95pt;mso-position-vertical:absolute" o:ole="">
            <v:imagedata r:id="rId23" o:title=""/>
          </v:shape>
          <o:OLEObject Type="Embed" ProgID="Word.Document.12" ShapeID="_x0000_i1025" DrawAspect="Content" ObjectID="_1600590572" r:id="rId24">
            <o:FieldCodes>\s</o:FieldCodes>
          </o:OLEObject>
        </w:object>
      </w:r>
    </w:p>
    <w:p w14:paraId="04E205EC" w14:textId="1BCA071F" w:rsidR="00AA47C7" w:rsidRDefault="00D679AD" w:rsidP="00907F25">
      <w:pPr>
        <w:tabs>
          <w:tab w:val="left" w:pos="6020"/>
        </w:tabs>
        <w:spacing w:after="240" w:line="360" w:lineRule="auto"/>
        <w:jc w:val="both"/>
        <w:rPr>
          <w:rFonts w:ascii="ITC Avant Garde" w:eastAsia="Times New Roman" w:hAnsi="ITC Avant Garde" w:cs="Arial"/>
          <w:sz w:val="21"/>
          <w:szCs w:val="21"/>
          <w:vertAlign w:val="superscript"/>
          <w:lang w:eastAsia="es-MX"/>
        </w:rPr>
      </w:pPr>
      <w:r>
        <w:rPr>
          <w:rFonts w:ascii="ITC Avant Garde" w:eastAsia="Times New Roman" w:hAnsi="ITC Avant Garde" w:cs="Arial"/>
          <w:sz w:val="21"/>
          <w:szCs w:val="21"/>
          <w:vertAlign w:val="superscript"/>
          <w:lang w:eastAsia="es-MX"/>
        </w:rPr>
        <w:object w:dxaOrig="8838" w:dyaOrig="7312" w14:anchorId="02AF8308">
          <v:shape id="_x0000_i1026" type="#_x0000_t75" alt="Continuación de la tabla 6 muestra la información de los canales mostrados en la pantalla conectada a la red de televisión por cable de MEGA CABLE" style="width:442.05pt;height:365pt;mso-position-vertical:absolute" o:ole="">
            <v:imagedata r:id="rId25" o:title=""/>
          </v:shape>
          <o:OLEObject Type="Embed" ProgID="Word.Document.12" ShapeID="_x0000_i1026" DrawAspect="Content" ObjectID="_1600590573" r:id="rId26">
            <o:FieldCodes>\s</o:FieldCodes>
          </o:OLEObject>
        </w:object>
      </w:r>
    </w:p>
    <w:p w14:paraId="5B7C9383" w14:textId="6E8B944D" w:rsidR="00E2222D" w:rsidRDefault="001A1853" w:rsidP="00907F25">
      <w:pPr>
        <w:tabs>
          <w:tab w:val="left" w:pos="6020"/>
        </w:tabs>
        <w:spacing w:after="240" w:line="360" w:lineRule="auto"/>
        <w:jc w:val="both"/>
        <w:rPr>
          <w:rFonts w:ascii="ITC Avant Garde" w:eastAsia="Times New Roman" w:hAnsi="ITC Avant Garde" w:cs="Arial"/>
          <w:sz w:val="21"/>
          <w:szCs w:val="21"/>
          <w:lang w:eastAsia="es-MX"/>
        </w:rPr>
      </w:pPr>
      <w:r w:rsidRPr="00005194">
        <w:rPr>
          <w:rFonts w:ascii="ITC Avant Garde" w:eastAsia="Times New Roman" w:hAnsi="ITC Avant Garde" w:cs="Arial"/>
          <w:sz w:val="21"/>
          <w:szCs w:val="21"/>
          <w:vertAlign w:val="superscript"/>
          <w:lang w:eastAsia="es-MX"/>
        </w:rPr>
        <w:t>(9)</w:t>
      </w:r>
      <w:r w:rsidRPr="00486715">
        <w:rPr>
          <w:rFonts w:ascii="ITC Avant Garde" w:eastAsia="Times New Roman" w:hAnsi="ITC Avant Garde" w:cs="Arial"/>
          <w:sz w:val="21"/>
          <w:szCs w:val="21"/>
          <w:lang w:eastAsia="es-MX"/>
        </w:rPr>
        <w:t xml:space="preserve"> </w:t>
      </w:r>
      <w:r w:rsidRPr="00005194">
        <w:rPr>
          <w:rFonts w:ascii="ITC Avant Garde" w:eastAsia="Times New Roman" w:hAnsi="ITC Avant Garde" w:cs="Arial"/>
          <w:sz w:val="14"/>
          <w:szCs w:val="14"/>
          <w:lang w:eastAsia="es-MX"/>
        </w:rPr>
        <w:t xml:space="preserve">Las fotografías de las señales radiodifundías retransmitidas en la red de tv por cable de LA VISITADA, fueron tomadas el </w:t>
      </w:r>
      <w:r>
        <w:rPr>
          <w:rFonts w:ascii="ITC Avant Garde" w:eastAsia="Times New Roman" w:hAnsi="ITC Avant Garde" w:cs="Arial"/>
          <w:sz w:val="14"/>
          <w:szCs w:val="14"/>
          <w:lang w:eastAsia="es-MX"/>
        </w:rPr>
        <w:t>11-12</w:t>
      </w:r>
      <w:r w:rsidRPr="00005194">
        <w:rPr>
          <w:rFonts w:ascii="ITC Avant Garde" w:eastAsia="Times New Roman" w:hAnsi="ITC Avant Garde" w:cs="Arial"/>
          <w:sz w:val="14"/>
          <w:szCs w:val="14"/>
          <w:lang w:eastAsia="es-MX"/>
        </w:rPr>
        <w:t xml:space="preserve">-2015 de las </w:t>
      </w:r>
      <w:r w:rsidRPr="007E4CEE">
        <w:rPr>
          <w:rFonts w:ascii="ITC Avant Garde" w:eastAsia="Times New Roman" w:hAnsi="ITC Avant Garde" w:cs="Arial"/>
          <w:sz w:val="14"/>
          <w:szCs w:val="14"/>
          <w:lang w:eastAsia="es-MX"/>
        </w:rPr>
        <w:t>11:00 a las 11:27 hrs</w:t>
      </w:r>
      <w:r w:rsidRPr="00005194">
        <w:rPr>
          <w:rFonts w:ascii="ITC Avant Garde" w:eastAsia="Times New Roman" w:hAnsi="ITC Avant Garde" w:cs="Arial"/>
          <w:sz w:val="14"/>
          <w:szCs w:val="14"/>
          <w:lang w:eastAsia="es-MX"/>
        </w:rPr>
        <w:t xml:space="preserve">  y se encuentran en el anexo 17.</w:t>
      </w:r>
    </w:p>
    <w:p w14:paraId="4487D05B" w14:textId="77777777" w:rsidR="00E2222D" w:rsidRDefault="004D3F48" w:rsidP="00907F25">
      <w:pPr>
        <w:spacing w:after="240" w:line="360" w:lineRule="auto"/>
        <w:contextualSpacing/>
        <w:jc w:val="both"/>
        <w:rPr>
          <w:rFonts w:ascii="ITC Avant Garde" w:eastAsia="Times New Roman" w:hAnsi="ITC Avant Garde"/>
          <w:bCs/>
          <w:color w:val="000000"/>
          <w:lang w:eastAsia="es-MX"/>
        </w:rPr>
      </w:pPr>
      <w:r>
        <w:rPr>
          <w:rFonts w:ascii="ITC Avant Garde" w:eastAsia="Times New Roman" w:hAnsi="ITC Avant Garde"/>
          <w:bCs/>
          <w:lang w:eastAsia="es-ES"/>
        </w:rPr>
        <w:t xml:space="preserve">Con base en lo anterior, </w:t>
      </w:r>
      <w:r w:rsidR="001A1853">
        <w:rPr>
          <w:rFonts w:ascii="ITC Avant Garde" w:eastAsia="Times New Roman" w:hAnsi="ITC Avant Garde"/>
          <w:b/>
          <w:bCs/>
          <w:color w:val="000000"/>
          <w:lang w:eastAsia="es-MX"/>
        </w:rPr>
        <w:t>LOS VERIFICADORES</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en presencia de </w:t>
      </w:r>
      <w:r w:rsidR="001A1853">
        <w:rPr>
          <w:rFonts w:ascii="ITC Avant Garde" w:eastAsia="Times New Roman" w:hAnsi="ITC Avant Garde"/>
          <w:b/>
          <w:bCs/>
          <w:color w:val="000000"/>
          <w:lang w:eastAsia="es-MX"/>
        </w:rPr>
        <w:t>LOS TESTIGOS</w:t>
      </w:r>
      <w:r>
        <w:rPr>
          <w:rFonts w:ascii="ITC Avant Garde" w:eastAsia="Times New Roman" w:hAnsi="ITC Avant Garde"/>
          <w:bCs/>
          <w:color w:val="000000"/>
          <w:lang w:eastAsia="es-MX"/>
        </w:rPr>
        <w:t xml:space="preserve"> solicitaron a la persona que atendió la diligencia que mostrara al mismo tiempo cada uno de los canales de programación de la pantalla relacionada en la </w:t>
      </w:r>
      <w:r>
        <w:rPr>
          <w:rFonts w:ascii="ITC Avant Garde" w:eastAsia="Times New Roman" w:hAnsi="ITC Avant Garde"/>
          <w:b/>
          <w:bCs/>
          <w:color w:val="000000"/>
          <w:lang w:eastAsia="es-MX"/>
        </w:rPr>
        <w:t xml:space="preserve">“TABLA 5” </w:t>
      </w:r>
      <w:r>
        <w:rPr>
          <w:rFonts w:ascii="ITC Avant Garde" w:eastAsia="Times New Roman" w:hAnsi="ITC Avant Garde"/>
          <w:bCs/>
          <w:color w:val="000000"/>
          <w:lang w:eastAsia="es-MX"/>
        </w:rPr>
        <w:t xml:space="preserve">versus los canales de programación de la pantalla relacionada con la </w:t>
      </w:r>
      <w:r>
        <w:rPr>
          <w:rFonts w:ascii="ITC Avant Garde" w:eastAsia="Times New Roman" w:hAnsi="ITC Avant Garde"/>
          <w:b/>
          <w:bCs/>
          <w:color w:val="000000"/>
          <w:lang w:eastAsia="es-MX"/>
        </w:rPr>
        <w:t>“TABLA 6”</w:t>
      </w:r>
      <w:r>
        <w:rPr>
          <w:rFonts w:ascii="ITC Avant Garde" w:eastAsia="Times New Roman" w:hAnsi="ITC Avant Garde"/>
          <w:bCs/>
          <w:color w:val="000000"/>
          <w:lang w:eastAsia="es-MX"/>
        </w:rPr>
        <w:t>, en forma íntegra y sin modificaciones, incluyendo publicidad.</w:t>
      </w:r>
    </w:p>
    <w:p w14:paraId="2368FC40" w14:textId="77777777" w:rsidR="00E2222D" w:rsidRDefault="004D3F48" w:rsidP="00907F25">
      <w:pPr>
        <w:spacing w:after="240" w:line="360" w:lineRule="auto"/>
        <w:contextualSpacing/>
        <w:jc w:val="both"/>
        <w:rPr>
          <w:rFonts w:ascii="ITC Avant Garde" w:eastAsia="Times New Roman" w:hAnsi="ITC Avant Garde"/>
          <w:bCs/>
          <w:color w:val="000000"/>
          <w:lang w:eastAsia="es-MX"/>
        </w:rPr>
      </w:pPr>
      <w:r>
        <w:rPr>
          <w:rFonts w:ascii="ITC Avant Garde" w:hAnsi="ITC Avant Garde"/>
        </w:rPr>
        <w:t xml:space="preserve">Al respecto, la persona que recibió la visita señaló: </w:t>
      </w:r>
      <w:r w:rsidRPr="00310D70">
        <w:rPr>
          <w:rFonts w:ascii="ITC Avant Garde" w:hAnsi="ITC Avant Garde"/>
          <w:i/>
        </w:rPr>
        <w:t>“</w:t>
      </w:r>
      <w:r w:rsidRPr="00310D70">
        <w:rPr>
          <w:rFonts w:ascii="ITC Avant Garde" w:eastAsia="Times New Roman" w:hAnsi="ITC Avant Garde"/>
          <w:bCs/>
          <w:i/>
          <w:color w:val="000000"/>
          <w:lang w:eastAsia="es-MX"/>
        </w:rPr>
        <w:t xml:space="preserve">Si, autorizo que se tomen las fotografías solicitas, y que la información resultante de las mismas sea utilizada para constatar y corroborar si LA VISITADA se encuentra retransmitiendo o no las señales </w:t>
      </w:r>
      <w:r w:rsidRPr="00310D70">
        <w:rPr>
          <w:rFonts w:ascii="ITC Avant Garde" w:eastAsia="Times New Roman" w:hAnsi="ITC Avant Garde"/>
          <w:bCs/>
          <w:i/>
          <w:color w:val="000000"/>
          <w:lang w:eastAsia="es-MX"/>
        </w:rPr>
        <w:lastRenderedPageBreak/>
        <w:t>radiodifundidas de la “TABLA 5”, en forma íntegra y sin modificaciones, simultanea, incluyendo publicidad”</w:t>
      </w:r>
      <w:r w:rsidRPr="00310D70">
        <w:rPr>
          <w:rFonts w:ascii="ITC Avant Garde" w:eastAsia="Times New Roman" w:hAnsi="ITC Avant Garde"/>
          <w:bCs/>
          <w:color w:val="000000"/>
          <w:lang w:eastAsia="es-MX"/>
        </w:rPr>
        <w:t>.</w:t>
      </w:r>
    </w:p>
    <w:p w14:paraId="15586801" w14:textId="77777777" w:rsidR="00E2222D" w:rsidRDefault="004D3F48" w:rsidP="00907F25">
      <w:pPr>
        <w:spacing w:after="240" w:line="360" w:lineRule="auto"/>
        <w:contextualSpacing/>
        <w:jc w:val="both"/>
        <w:rPr>
          <w:rFonts w:ascii="ITC Avant Garde" w:hAnsi="ITC Avant Garde"/>
        </w:rPr>
      </w:pPr>
      <w:r>
        <w:rPr>
          <w:rFonts w:ascii="ITC Avant Garde" w:hAnsi="ITC Avant Garde"/>
        </w:rPr>
        <w:t xml:space="preserve">En virtud de lo anterior, </w:t>
      </w:r>
      <w:r w:rsidR="004C60CB">
        <w:rPr>
          <w:rFonts w:ascii="ITC Avant Garde" w:eastAsia="Times New Roman" w:hAnsi="ITC Avant Garde"/>
          <w:b/>
          <w:bCs/>
          <w:lang w:eastAsia="es-ES"/>
        </w:rPr>
        <w:t>LOS VERIFICADORES</w:t>
      </w:r>
      <w:r>
        <w:rPr>
          <w:rFonts w:ascii="ITC Avant Garde" w:eastAsia="Times New Roman" w:hAnsi="ITC Avant Garde"/>
          <w:b/>
          <w:bCs/>
          <w:lang w:eastAsia="es-ES"/>
        </w:rPr>
        <w:t xml:space="preserve"> </w:t>
      </w:r>
      <w:r>
        <w:rPr>
          <w:rFonts w:ascii="ITC Avant Garde" w:hAnsi="ITC Avant Garde"/>
        </w:rPr>
        <w:t xml:space="preserve">en presencia de </w:t>
      </w:r>
      <w:r w:rsidR="004C60CB">
        <w:rPr>
          <w:rFonts w:ascii="ITC Avant Garde" w:hAnsi="ITC Avant Garde"/>
          <w:b/>
        </w:rPr>
        <w:t>LOS TESTIGOS</w:t>
      </w:r>
      <w:r>
        <w:rPr>
          <w:rFonts w:ascii="ITC Avant Garde" w:hAnsi="ITC Avant Garde"/>
          <w:b/>
        </w:rPr>
        <w:t xml:space="preserve"> </w:t>
      </w:r>
      <w:r>
        <w:rPr>
          <w:rFonts w:ascii="ITC Avant Garde" w:hAnsi="ITC Avant Garde"/>
        </w:rPr>
        <w:t xml:space="preserve">y de la persona que atendió la diligencia agregaron como </w:t>
      </w:r>
      <w:r>
        <w:rPr>
          <w:rFonts w:ascii="ITC Avant Garde" w:hAnsi="ITC Avant Garde"/>
          <w:b/>
        </w:rPr>
        <w:t xml:space="preserve">“TABLA 7” </w:t>
      </w:r>
      <w:r>
        <w:rPr>
          <w:rFonts w:ascii="ITC Avant Garde" w:hAnsi="ITC Avant Garde"/>
        </w:rPr>
        <w:t>el resultado del comparativo realizado ente las tablas 5 y 6, antes señaladas, resultó en lo siguiente:</w:t>
      </w:r>
    </w:p>
    <w:p w14:paraId="7EC50C9C" w14:textId="454B70F3" w:rsidR="004D3F48" w:rsidRDefault="004D3F48" w:rsidP="00907F25">
      <w:pPr>
        <w:spacing w:after="240" w:line="360" w:lineRule="auto"/>
        <w:jc w:val="center"/>
        <w:rPr>
          <w:rFonts w:ascii="Arial" w:hAnsi="Arial" w:cs="Arial"/>
          <w:b/>
        </w:rPr>
      </w:pPr>
      <w:r w:rsidRPr="0064722D">
        <w:rPr>
          <w:rFonts w:ascii="Arial" w:hAnsi="Arial" w:cs="Arial"/>
          <w:b/>
        </w:rPr>
        <w:t>TABLA 7</w:t>
      </w:r>
    </w:p>
    <w:p w14:paraId="7A38F77C" w14:textId="3F1F5651" w:rsidR="00AA47C7" w:rsidRDefault="00D679AD" w:rsidP="00907F25">
      <w:pPr>
        <w:spacing w:after="240" w:line="360" w:lineRule="auto"/>
        <w:jc w:val="center"/>
        <w:rPr>
          <w:rFonts w:ascii="Arial" w:hAnsi="Arial" w:cs="Arial"/>
          <w:b/>
        </w:rPr>
      </w:pPr>
      <w:r>
        <w:rPr>
          <w:rFonts w:ascii="Arial" w:hAnsi="Arial" w:cs="Arial"/>
          <w:b/>
        </w:rPr>
        <w:object w:dxaOrig="8838" w:dyaOrig="8634" w14:anchorId="5FF96098">
          <v:shape id="_x0000_i1027" type="#_x0000_t75" alt="Esta tabla 7 muestra el comparativo entre la tabla 5 y 6 " style="width:442.05pt;height:6in" o:ole="">
            <v:imagedata r:id="rId27" o:title=""/>
          </v:shape>
          <o:OLEObject Type="Embed" ProgID="Word.Document.12" ShapeID="_x0000_i1027" DrawAspect="Content" ObjectID="_1600590574" r:id="rId28">
            <o:FieldCodes>\s</o:FieldCodes>
          </o:OLEObject>
        </w:object>
      </w:r>
    </w:p>
    <w:p w14:paraId="30882B32" w14:textId="70ABFFB6" w:rsidR="00AA47C7" w:rsidRDefault="00D679AD" w:rsidP="00907F25">
      <w:pPr>
        <w:spacing w:after="240" w:line="360" w:lineRule="auto"/>
        <w:jc w:val="center"/>
        <w:rPr>
          <w:rFonts w:ascii="Arial" w:hAnsi="Arial" w:cs="Arial"/>
          <w:b/>
        </w:rPr>
      </w:pPr>
      <w:r>
        <w:rPr>
          <w:rFonts w:ascii="Arial" w:hAnsi="Arial" w:cs="Arial"/>
          <w:b/>
        </w:rPr>
        <w:object w:dxaOrig="8838" w:dyaOrig="13002" w14:anchorId="55A83A0B">
          <v:shape id="_x0000_i1028" type="#_x0000_t75" alt="Continuación de la tabla 7 muestra el comparativo entre la tabla 5 y 6 " style="width:442.05pt;height:650.5pt;mso-position-vertical:absolute" o:ole="">
            <v:imagedata r:id="rId29" o:title=""/>
          </v:shape>
          <o:OLEObject Type="Embed" ProgID="Word.Document.12" ShapeID="_x0000_i1028" DrawAspect="Content" ObjectID="_1600590575" r:id="rId30">
            <o:FieldCodes>\s</o:FieldCodes>
          </o:OLEObject>
        </w:object>
      </w:r>
    </w:p>
    <w:p w14:paraId="54C97AD0" w14:textId="173AE4CA" w:rsidR="00AA47C7" w:rsidRDefault="00D679AD" w:rsidP="00907F25">
      <w:pPr>
        <w:tabs>
          <w:tab w:val="left" w:pos="6020"/>
        </w:tabs>
        <w:spacing w:after="240" w:line="360" w:lineRule="auto"/>
        <w:jc w:val="both"/>
        <w:rPr>
          <w:rFonts w:ascii="ITC Avant Garde" w:eastAsia="Times New Roman" w:hAnsi="ITC Avant Garde" w:cs="Arial"/>
          <w:sz w:val="21"/>
          <w:szCs w:val="21"/>
          <w:vertAlign w:val="superscript"/>
          <w:lang w:eastAsia="es-MX"/>
        </w:rPr>
      </w:pPr>
      <w:r>
        <w:rPr>
          <w:rFonts w:ascii="ITC Avant Garde" w:eastAsia="Times New Roman" w:hAnsi="ITC Avant Garde" w:cs="Arial"/>
          <w:sz w:val="21"/>
          <w:szCs w:val="21"/>
          <w:vertAlign w:val="superscript"/>
          <w:lang w:eastAsia="es-MX"/>
        </w:rPr>
        <w:object w:dxaOrig="8838" w:dyaOrig="6790" w14:anchorId="2BBCD447">
          <v:shape id="_x0000_i1029" type="#_x0000_t75" alt="Continuación de la tabla 7 muestra el comparativo entre la tabla 5 y 6 " style="width:442.05pt;height:339.9pt;mso-position-vertical:absolute" o:ole="">
            <v:imagedata r:id="rId31" o:title=""/>
          </v:shape>
          <o:OLEObject Type="Embed" ProgID="Word.Document.12" ShapeID="_x0000_i1029" DrawAspect="Content" ObjectID="_1600590576" r:id="rId32">
            <o:FieldCodes>\s</o:FieldCodes>
          </o:OLEObject>
        </w:object>
      </w:r>
    </w:p>
    <w:p w14:paraId="50450F19" w14:textId="26A64C4A" w:rsidR="00E2222D" w:rsidRDefault="004C60CB" w:rsidP="00907F25">
      <w:pPr>
        <w:tabs>
          <w:tab w:val="left" w:pos="6020"/>
        </w:tabs>
        <w:spacing w:after="240" w:line="360" w:lineRule="auto"/>
        <w:jc w:val="both"/>
        <w:rPr>
          <w:rFonts w:ascii="ITC Avant Garde" w:eastAsia="Times New Roman" w:hAnsi="ITC Avant Garde" w:cs="Arial"/>
          <w:sz w:val="21"/>
          <w:szCs w:val="21"/>
          <w:lang w:eastAsia="es-MX"/>
        </w:rPr>
      </w:pPr>
      <w:r w:rsidRPr="00E9350C">
        <w:rPr>
          <w:rFonts w:ascii="ITC Avant Garde" w:eastAsia="Times New Roman" w:hAnsi="ITC Avant Garde" w:cs="Arial"/>
          <w:sz w:val="21"/>
          <w:szCs w:val="21"/>
          <w:vertAlign w:val="superscript"/>
          <w:lang w:eastAsia="es-MX"/>
        </w:rPr>
        <w:t>(10)</w:t>
      </w:r>
      <w:r w:rsidRPr="00486715">
        <w:rPr>
          <w:rFonts w:ascii="ITC Avant Garde" w:eastAsia="Times New Roman" w:hAnsi="ITC Avant Garde" w:cs="Arial"/>
          <w:sz w:val="21"/>
          <w:szCs w:val="21"/>
          <w:lang w:eastAsia="es-MX"/>
        </w:rPr>
        <w:t xml:space="preserve"> </w:t>
      </w:r>
      <w:r w:rsidRPr="00E9350C">
        <w:rPr>
          <w:rFonts w:ascii="ITC Avant Garde" w:eastAsia="Times New Roman" w:hAnsi="ITC Avant Garde" w:cs="Arial"/>
          <w:sz w:val="14"/>
          <w:szCs w:val="14"/>
          <w:lang w:eastAsia="es-MX"/>
        </w:rPr>
        <w:t xml:space="preserve">Los comentarios de las OBSERVACIONES pueden corroborarse y constatarse en las fotografías tomadas el </w:t>
      </w:r>
      <w:r>
        <w:rPr>
          <w:rFonts w:ascii="ITC Avant Garde" w:eastAsia="Times New Roman" w:hAnsi="ITC Avant Garde" w:cs="Arial"/>
          <w:sz w:val="14"/>
          <w:szCs w:val="14"/>
          <w:lang w:eastAsia="es-MX"/>
        </w:rPr>
        <w:t>11-12</w:t>
      </w:r>
      <w:r w:rsidRPr="00E9350C">
        <w:rPr>
          <w:rFonts w:ascii="ITC Avant Garde" w:eastAsia="Times New Roman" w:hAnsi="ITC Avant Garde" w:cs="Arial"/>
          <w:sz w:val="14"/>
          <w:szCs w:val="14"/>
          <w:lang w:eastAsia="es-MX"/>
        </w:rPr>
        <w:t xml:space="preserve">-2015 de las </w:t>
      </w:r>
      <w:r w:rsidRPr="00B86AD1">
        <w:rPr>
          <w:rFonts w:ascii="ITC Avant Garde" w:eastAsia="Times New Roman" w:hAnsi="ITC Avant Garde" w:cs="Arial"/>
          <w:sz w:val="14"/>
          <w:szCs w:val="14"/>
          <w:lang w:eastAsia="es-MX"/>
        </w:rPr>
        <w:t>11:29 a las 12:46 hrs</w:t>
      </w:r>
      <w:r w:rsidRPr="00E9350C">
        <w:rPr>
          <w:rFonts w:ascii="ITC Avant Garde" w:eastAsia="Times New Roman" w:hAnsi="ITC Avant Garde" w:cs="Arial"/>
          <w:sz w:val="14"/>
          <w:szCs w:val="14"/>
          <w:lang w:eastAsia="es-MX"/>
        </w:rPr>
        <w:t>, mismas que se encuentran en el anexo 18.</w:t>
      </w:r>
    </w:p>
    <w:p w14:paraId="58AAFA09" w14:textId="7F3285D4" w:rsidR="00E2222D" w:rsidRDefault="004D3F48" w:rsidP="00907F25">
      <w:pPr>
        <w:spacing w:after="240" w:line="360" w:lineRule="auto"/>
        <w:contextualSpacing/>
        <w:jc w:val="both"/>
        <w:rPr>
          <w:rFonts w:ascii="ITC Avant Garde" w:eastAsia="Times New Roman" w:hAnsi="ITC Avant Garde"/>
          <w:bCs/>
          <w:color w:val="000000"/>
          <w:lang w:eastAsia="es-MX"/>
        </w:rPr>
      </w:pPr>
      <w:r>
        <w:rPr>
          <w:rFonts w:ascii="ITC Avant Garde" w:eastAsia="Times New Roman" w:hAnsi="ITC Avant Garde"/>
          <w:bCs/>
          <w:lang w:eastAsia="es-ES"/>
        </w:rPr>
        <w:t xml:space="preserve">Al respecto, </w:t>
      </w:r>
      <w:r w:rsidR="004C60CB">
        <w:rPr>
          <w:rFonts w:ascii="ITC Avant Garde" w:eastAsia="Times New Roman" w:hAnsi="ITC Avant Garde"/>
          <w:b/>
          <w:bCs/>
          <w:color w:val="000000"/>
          <w:lang w:eastAsia="es-MX"/>
        </w:rPr>
        <w:t>LOS VERIFICADORES</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en presencia de </w:t>
      </w:r>
      <w:r w:rsidR="004C60CB">
        <w:rPr>
          <w:rFonts w:ascii="ITC Avant Garde" w:eastAsia="Times New Roman" w:hAnsi="ITC Avant Garde"/>
          <w:b/>
          <w:bCs/>
          <w:color w:val="000000"/>
          <w:lang w:eastAsia="es-MX"/>
        </w:rPr>
        <w:t>LOS TESTIGOS</w:t>
      </w:r>
      <w:r>
        <w:rPr>
          <w:rFonts w:ascii="ITC Avant Garde" w:eastAsia="Times New Roman" w:hAnsi="ITC Avant Garde"/>
          <w:bCs/>
          <w:color w:val="000000"/>
          <w:lang w:eastAsia="es-MX"/>
        </w:rPr>
        <w:t xml:space="preserve"> solicitaron a la persona que atendió la diligencia que indicara y </w:t>
      </w:r>
      <w:r w:rsidR="004C60CB">
        <w:rPr>
          <w:rFonts w:ascii="ITC Avant Garde" w:eastAsia="Times New Roman" w:hAnsi="ITC Avant Garde"/>
          <w:bCs/>
          <w:color w:val="000000"/>
          <w:lang w:eastAsia="es-MX"/>
        </w:rPr>
        <w:t>de</w:t>
      </w:r>
      <w:r>
        <w:rPr>
          <w:rFonts w:ascii="ITC Avant Garde" w:eastAsia="Times New Roman" w:hAnsi="ITC Avant Garde"/>
          <w:bCs/>
          <w:color w:val="000000"/>
          <w:lang w:eastAsia="es-MX"/>
        </w:rPr>
        <w:t xml:space="preserve">mostrara si retransmite las señales radiodifundidas de las Instituciones Públicas Federales e indicara </w:t>
      </w:r>
      <w:r w:rsidRPr="00246D53">
        <w:rPr>
          <w:rFonts w:ascii="ITC Avant Garde" w:eastAsia="Times New Roman" w:hAnsi="ITC Avant Garde"/>
          <w:bCs/>
          <w:color w:val="000000"/>
          <w:lang w:eastAsia="es-MX"/>
        </w:rPr>
        <w:t>la definición de imagen y sonido que entrega a sus suscriptores y usuarios para estas señales</w:t>
      </w:r>
      <w:r>
        <w:rPr>
          <w:rFonts w:ascii="ITC Avant Garde" w:eastAsia="Times New Roman" w:hAnsi="ITC Avant Garde"/>
          <w:bCs/>
          <w:color w:val="000000"/>
          <w:lang w:eastAsia="es-MX"/>
        </w:rPr>
        <w:t>.</w:t>
      </w:r>
    </w:p>
    <w:p w14:paraId="6A314E1E" w14:textId="77777777" w:rsidR="00E2222D" w:rsidRDefault="004D3F48" w:rsidP="00907F25">
      <w:pPr>
        <w:spacing w:after="240" w:line="360" w:lineRule="auto"/>
        <w:contextualSpacing/>
        <w:jc w:val="both"/>
        <w:rPr>
          <w:rFonts w:ascii="ITC Avant Garde" w:hAnsi="ITC Avant Garde"/>
        </w:rPr>
      </w:pPr>
      <w:r>
        <w:rPr>
          <w:rFonts w:ascii="ITC Avant Garde" w:hAnsi="ITC Avant Garde"/>
        </w:rPr>
        <w:t>Al respecto, la persona que recibió la visita señaló:</w:t>
      </w:r>
    </w:p>
    <w:p w14:paraId="7F227FB0" w14:textId="77777777" w:rsidR="00E2222D" w:rsidRDefault="004D3F48" w:rsidP="00907F25">
      <w:pPr>
        <w:spacing w:after="240" w:line="360" w:lineRule="auto"/>
        <w:ind w:left="851" w:right="900"/>
        <w:jc w:val="both"/>
        <w:rPr>
          <w:rFonts w:ascii="ITC Avant Garde" w:hAnsi="ITC Avant Garde"/>
          <w:i/>
          <w:sz w:val="20"/>
        </w:rPr>
      </w:pPr>
      <w:r w:rsidRPr="00F32E58">
        <w:rPr>
          <w:rFonts w:ascii="ITC Avant Garde" w:hAnsi="ITC Avant Garde"/>
          <w:b/>
          <w:i/>
          <w:sz w:val="20"/>
          <w:u w:val="single"/>
        </w:rPr>
        <w:t>“</w:t>
      </w:r>
      <w:r w:rsidR="004C60CB" w:rsidRPr="00F32E58">
        <w:rPr>
          <w:rFonts w:ascii="ITC Avant Garde" w:hAnsi="ITC Avant Garde"/>
          <w:b/>
          <w:i/>
          <w:sz w:val="20"/>
          <w:u w:val="single"/>
        </w:rPr>
        <w:t>Actualmente LA VISITADA no retransmite la señal multiprogramada 11.2 ‘Once niños’ del IPN,</w:t>
      </w:r>
      <w:r w:rsidR="004C60CB" w:rsidRPr="00F32E58">
        <w:rPr>
          <w:rFonts w:ascii="ITC Avant Garde" w:hAnsi="ITC Avant Garde"/>
          <w:i/>
          <w:sz w:val="20"/>
        </w:rPr>
        <w:t xml:space="preserve"> el resto de las Instituciones Públicas Federales si están siendo retransmitidas a los suscriptores y usuarios; siendo recibidas a través del aire, es decir se toman de las señales radiodifundidas disponibles indicadas en la ‘tabla 5’; dichas señales se reciben con calidad SD a los suscriptores y </w:t>
      </w:r>
      <w:r w:rsidR="004C60CB" w:rsidRPr="00F32E58">
        <w:rPr>
          <w:rFonts w:ascii="ITC Avant Garde" w:hAnsi="ITC Avant Garde"/>
          <w:i/>
          <w:sz w:val="20"/>
        </w:rPr>
        <w:lastRenderedPageBreak/>
        <w:t xml:space="preserve">usuarios, en todos los paquetes que LA VISITADA oferta. Para corroborar mi dicho, les solicito tomar las fotografías de dichos canales en la pantalla conectada a la red de TV por cable. </w:t>
      </w:r>
      <w:r w:rsidR="004C60CB" w:rsidRPr="00F32E58">
        <w:rPr>
          <w:rFonts w:ascii="ITC Avant Garde" w:hAnsi="ITC Avant Garde"/>
          <w:b/>
          <w:i/>
          <w:sz w:val="20"/>
          <w:u w:val="single"/>
        </w:rPr>
        <w:t>Reitero que sólo la señal de multiprogramada 11.2 ‘once niños’ del IPN no está siendo retransmitida</w:t>
      </w:r>
      <w:r w:rsidR="004C60CB" w:rsidRPr="00F32E58">
        <w:rPr>
          <w:rFonts w:ascii="ITC Avant Garde" w:hAnsi="ITC Avant Garde"/>
          <w:i/>
          <w:sz w:val="20"/>
        </w:rPr>
        <w:t xml:space="preserve"> por LA VISITADA para sus suscriptores y usuarios; cabe mencionar que esta señal no se encuentra disponible de forma radiodifundida, lo cual se debe corroborar con la información de la  “TABLA 5”.</w:t>
      </w:r>
    </w:p>
    <w:p w14:paraId="5AA9E2AD" w14:textId="77777777" w:rsidR="00E2222D" w:rsidRDefault="00E057B4" w:rsidP="00907F25">
      <w:pPr>
        <w:spacing w:after="240" w:line="360" w:lineRule="auto"/>
        <w:contextualSpacing/>
        <w:jc w:val="both"/>
        <w:rPr>
          <w:rFonts w:ascii="ITC Avant Garde" w:hAnsi="ITC Avant Garde"/>
        </w:rPr>
      </w:pPr>
      <w:r>
        <w:rPr>
          <w:rFonts w:ascii="ITC Avant Garde" w:hAnsi="ITC Avant Garde" w:cs="Arial"/>
        </w:rPr>
        <w:t xml:space="preserve">En virtud de lo anterior, </w:t>
      </w:r>
      <w:r w:rsidR="005A2F01">
        <w:rPr>
          <w:rFonts w:ascii="ITC Avant Garde" w:eastAsia="Times New Roman" w:hAnsi="ITC Avant Garde"/>
          <w:b/>
          <w:bCs/>
          <w:lang w:eastAsia="es-ES"/>
        </w:rPr>
        <w:t>LOS VERIFICADORES</w:t>
      </w:r>
      <w:r>
        <w:rPr>
          <w:rFonts w:ascii="ITC Avant Garde" w:eastAsia="Times New Roman" w:hAnsi="ITC Avant Garde"/>
          <w:b/>
          <w:bCs/>
          <w:lang w:eastAsia="es-ES"/>
        </w:rPr>
        <w:t xml:space="preserve"> </w:t>
      </w:r>
      <w:r>
        <w:rPr>
          <w:rFonts w:ascii="ITC Avant Garde" w:hAnsi="ITC Avant Garde"/>
        </w:rPr>
        <w:t xml:space="preserve">en presencia de </w:t>
      </w:r>
      <w:r w:rsidR="005A2F01">
        <w:rPr>
          <w:rFonts w:ascii="ITC Avant Garde" w:hAnsi="ITC Avant Garde"/>
          <w:b/>
        </w:rPr>
        <w:t>LOS TESTIGOS</w:t>
      </w:r>
      <w:r>
        <w:rPr>
          <w:rFonts w:ascii="ITC Avant Garde" w:hAnsi="ITC Avant Garde"/>
          <w:b/>
        </w:rPr>
        <w:t xml:space="preserve"> </w:t>
      </w:r>
      <w:r>
        <w:rPr>
          <w:rFonts w:ascii="ITC Avant Garde" w:hAnsi="ITC Avant Garde"/>
        </w:rPr>
        <w:t xml:space="preserve">y de la persona que atendió la diligencia agregaron como </w:t>
      </w:r>
      <w:r>
        <w:rPr>
          <w:rFonts w:ascii="ITC Avant Garde" w:hAnsi="ITC Avant Garde"/>
          <w:b/>
        </w:rPr>
        <w:t xml:space="preserve">“TABLA 8” </w:t>
      </w:r>
      <w:r>
        <w:rPr>
          <w:rFonts w:ascii="ITC Avant Garde" w:hAnsi="ITC Avant Garde"/>
        </w:rPr>
        <w:t xml:space="preserve">la información de las señales radiodifundidas de </w:t>
      </w:r>
      <w:r w:rsidR="00235BB7">
        <w:rPr>
          <w:rFonts w:ascii="ITC Avant Garde" w:hAnsi="ITC Avant Garde"/>
        </w:rPr>
        <w:t xml:space="preserve">Instituciones Públicas Federales </w:t>
      </w:r>
      <w:r w:rsidR="0038051F">
        <w:rPr>
          <w:rFonts w:ascii="ITC Avant Garde" w:hAnsi="ITC Avant Garde"/>
        </w:rPr>
        <w:t xml:space="preserve">retransmitidas por </w:t>
      </w:r>
      <w:r w:rsidR="0038051F">
        <w:rPr>
          <w:rFonts w:ascii="ITC Avant Garde" w:hAnsi="ITC Avant Garde"/>
          <w:b/>
        </w:rPr>
        <w:t>MEGA CABLE</w:t>
      </w:r>
      <w:r>
        <w:rPr>
          <w:rFonts w:ascii="ITC Avant Garde" w:hAnsi="ITC Avant Garde"/>
        </w:rPr>
        <w:t>, cuyo resultado fue el siguiente:</w:t>
      </w:r>
    </w:p>
    <w:p w14:paraId="373C20D6" w14:textId="2D21DC52" w:rsidR="00F64145" w:rsidRDefault="00E057B4" w:rsidP="00907F25">
      <w:pPr>
        <w:spacing w:after="240" w:line="360" w:lineRule="auto"/>
        <w:jc w:val="center"/>
        <w:rPr>
          <w:rFonts w:ascii="Arial" w:hAnsi="Arial" w:cs="Arial"/>
          <w:b/>
        </w:rPr>
      </w:pPr>
      <w:r w:rsidRPr="0026237C">
        <w:rPr>
          <w:rFonts w:ascii="Arial" w:hAnsi="Arial" w:cs="Arial"/>
          <w:b/>
        </w:rPr>
        <w:t>TABLA 8</w:t>
      </w:r>
      <w:r w:rsidR="00CD0B2D">
        <w:rPr>
          <w:rFonts w:ascii="Arial" w:hAnsi="Arial" w:cs="Arial"/>
          <w:b/>
        </w:rPr>
        <w:object w:dxaOrig="8838" w:dyaOrig="6036" w14:anchorId="794A7CDE">
          <v:shape id="_x0000_i1030" type="#_x0000_t75" alt="Esta tabla 8 muestra la información de las señales radiodifundidas de Instituciones Públicas Federales retransmitidas por MEGA CABLE" style="width:442.05pt;height:301.4pt;mso-position-vertical:absolute" o:ole="">
            <v:imagedata r:id="rId33" o:title=""/>
          </v:shape>
          <o:OLEObject Type="Embed" ProgID="Word.Document.12" ShapeID="_x0000_i1030" DrawAspect="Content" ObjectID="_1600590577" r:id="rId34">
            <o:FieldCodes>\s</o:FieldCodes>
          </o:OLEObject>
        </w:object>
      </w:r>
    </w:p>
    <w:p w14:paraId="722879C1" w14:textId="47FF8CE8" w:rsidR="00E2222D" w:rsidRDefault="00CD0B2D" w:rsidP="00CD0B2D">
      <w:pPr>
        <w:spacing w:after="240" w:line="360" w:lineRule="auto"/>
        <w:jc w:val="center"/>
        <w:rPr>
          <w:rFonts w:ascii="ITC Avant Garde" w:eastAsia="Times New Roman" w:hAnsi="ITC Avant Garde" w:cs="Arial"/>
          <w:sz w:val="21"/>
          <w:szCs w:val="21"/>
          <w:lang w:eastAsia="es-MX"/>
        </w:rPr>
      </w:pPr>
      <w:r>
        <w:rPr>
          <w:noProof/>
          <w:lang w:eastAsia="es-MX"/>
        </w:rPr>
        <w:lastRenderedPageBreak/>
        <w:drawing>
          <wp:inline distT="0" distB="0" distL="0" distR="0" wp14:anchorId="39C5BDED" wp14:editId="252B71B0">
            <wp:extent cx="6464300" cy="3348355"/>
            <wp:effectExtent l="0" t="0" r="0" b="4445"/>
            <wp:docPr id="1" name="Imagen 1" descr="muestra la información de las señales radiodifundidas de Instituciones Públicas Federales retransmitidas por MEGA CABLE" title="Continuación de la tab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61068" t="31495" r="8397" b="12255"/>
                    <a:stretch/>
                  </pic:blipFill>
                  <pic:spPr bwMode="auto">
                    <a:xfrm>
                      <a:off x="0" y="0"/>
                      <a:ext cx="6464300" cy="3348355"/>
                    </a:xfrm>
                    <a:prstGeom prst="rect">
                      <a:avLst/>
                    </a:prstGeom>
                    <a:ln>
                      <a:noFill/>
                    </a:ln>
                    <a:extLst>
                      <a:ext uri="{53640926-AAD7-44D8-BBD7-CCE9431645EC}">
                        <a14:shadowObscured xmlns:a14="http://schemas.microsoft.com/office/drawing/2010/main"/>
                      </a:ext>
                    </a:extLst>
                  </pic:spPr>
                </pic:pic>
              </a:graphicData>
            </a:graphic>
          </wp:inline>
        </w:drawing>
      </w:r>
      <w:r w:rsidR="008A7E1A" w:rsidRPr="00C41DA0">
        <w:rPr>
          <w:rFonts w:ascii="ITC Avant Garde" w:eastAsia="Times New Roman" w:hAnsi="ITC Avant Garde" w:cs="Arial"/>
          <w:sz w:val="21"/>
          <w:szCs w:val="21"/>
          <w:vertAlign w:val="superscript"/>
          <w:lang w:eastAsia="es-MX"/>
        </w:rPr>
        <w:t>(11)</w:t>
      </w:r>
      <w:r w:rsidR="008A7E1A" w:rsidRPr="00486715">
        <w:rPr>
          <w:rFonts w:ascii="ITC Avant Garde" w:eastAsia="Times New Roman" w:hAnsi="ITC Avant Garde" w:cs="Arial"/>
          <w:sz w:val="21"/>
          <w:szCs w:val="21"/>
          <w:lang w:eastAsia="es-MX"/>
        </w:rPr>
        <w:t xml:space="preserve"> </w:t>
      </w:r>
      <w:r w:rsidR="008A7E1A">
        <w:rPr>
          <w:rFonts w:ascii="ITC Avant Garde" w:eastAsia="Times New Roman" w:hAnsi="ITC Avant Garde" w:cs="Arial"/>
          <w:sz w:val="14"/>
          <w:szCs w:val="14"/>
          <w:lang w:eastAsia="es-MX"/>
        </w:rPr>
        <w:t>Las fotografías de</w:t>
      </w:r>
      <w:r w:rsidR="008A7E1A" w:rsidRPr="00C41DA0">
        <w:rPr>
          <w:rFonts w:ascii="ITC Avant Garde" w:eastAsia="Times New Roman" w:hAnsi="ITC Avant Garde" w:cs="Arial"/>
          <w:sz w:val="14"/>
          <w:szCs w:val="14"/>
          <w:lang w:eastAsia="es-MX"/>
        </w:rPr>
        <w:t xml:space="preserve"> </w:t>
      </w:r>
      <w:r w:rsidR="008A7E1A">
        <w:rPr>
          <w:rFonts w:ascii="ITC Avant Garde" w:eastAsia="Times New Roman" w:hAnsi="ITC Avant Garde" w:cs="Arial"/>
          <w:sz w:val="14"/>
          <w:szCs w:val="14"/>
          <w:lang w:eastAsia="es-MX"/>
        </w:rPr>
        <w:t>la TABLA 8 fueron tomadas el 11-12</w:t>
      </w:r>
      <w:r w:rsidR="008A7E1A" w:rsidRPr="00C41DA0">
        <w:rPr>
          <w:rFonts w:ascii="ITC Avant Garde" w:eastAsia="Times New Roman" w:hAnsi="ITC Avant Garde" w:cs="Arial"/>
          <w:sz w:val="14"/>
          <w:szCs w:val="14"/>
          <w:lang w:eastAsia="es-MX"/>
        </w:rPr>
        <w:t xml:space="preserve">-2015 de las </w:t>
      </w:r>
      <w:r w:rsidR="008A7E1A" w:rsidRPr="000E3B02">
        <w:rPr>
          <w:rFonts w:ascii="ITC Avant Garde" w:eastAsia="Times New Roman" w:hAnsi="ITC Avant Garde" w:cs="Arial"/>
          <w:sz w:val="14"/>
          <w:szCs w:val="14"/>
          <w:lang w:eastAsia="es-MX"/>
        </w:rPr>
        <w:t>12:55 a las 13:00 horas</w:t>
      </w:r>
      <w:r w:rsidR="008A7E1A">
        <w:rPr>
          <w:rFonts w:ascii="ITC Avant Garde" w:eastAsia="Times New Roman" w:hAnsi="ITC Avant Garde" w:cs="Arial"/>
          <w:sz w:val="14"/>
          <w:szCs w:val="14"/>
          <w:lang w:eastAsia="es-MX"/>
        </w:rPr>
        <w:t xml:space="preserve"> y se encuentran en el anexo 20</w:t>
      </w:r>
    </w:p>
    <w:p w14:paraId="7B106269" w14:textId="1CBDC564" w:rsidR="00E2222D" w:rsidRDefault="00E057B4" w:rsidP="00907F25">
      <w:pPr>
        <w:spacing w:after="240" w:line="360" w:lineRule="auto"/>
        <w:jc w:val="both"/>
        <w:rPr>
          <w:rFonts w:ascii="ITC Avant Garde" w:hAnsi="ITC Avant Garde"/>
        </w:rPr>
      </w:pPr>
      <w:r w:rsidRPr="00310D70">
        <w:rPr>
          <w:rFonts w:ascii="ITC Avant Garde" w:hAnsi="ITC Avant Garde"/>
        </w:rPr>
        <w:t>Continuando con la diligencia y con e</w:t>
      </w:r>
      <w:r>
        <w:rPr>
          <w:rFonts w:ascii="ITC Avant Garde" w:hAnsi="ITC Avant Garde"/>
        </w:rPr>
        <w:t xml:space="preserve">l fin de concluir con la misma </w:t>
      </w:r>
      <w:r w:rsidRPr="00310D70">
        <w:rPr>
          <w:rFonts w:ascii="ITC Avant Garde" w:hAnsi="ITC Avant Garde"/>
          <w:b/>
        </w:rPr>
        <w:t>LOS VERIFICADORES</w:t>
      </w:r>
      <w:r w:rsidRPr="00310D70">
        <w:rPr>
          <w:rFonts w:ascii="ITC Avant Garde" w:hAnsi="ITC Avant Garde"/>
        </w:rPr>
        <w:t xml:space="preserve">, en presencia de </w:t>
      </w:r>
      <w:r w:rsidR="008A7E1A">
        <w:rPr>
          <w:rFonts w:ascii="ITC Avant Garde" w:hAnsi="ITC Avant Garde"/>
          <w:b/>
        </w:rPr>
        <w:t>LOS TESTIGOS</w:t>
      </w:r>
      <w:r>
        <w:rPr>
          <w:rFonts w:ascii="ITC Avant Garde" w:hAnsi="ITC Avant Garde"/>
        </w:rPr>
        <w:t>, invitaron</w:t>
      </w:r>
      <w:r w:rsidRPr="00310D70">
        <w:rPr>
          <w:rFonts w:ascii="ITC Avant Garde" w:hAnsi="ITC Avant Garde"/>
        </w:rPr>
        <w:t xml:space="preserve"> a la persona que recib</w:t>
      </w:r>
      <w:r>
        <w:rPr>
          <w:rFonts w:ascii="ITC Avant Garde" w:hAnsi="ITC Avant Garde"/>
        </w:rPr>
        <w:t>ió</w:t>
      </w:r>
      <w:r w:rsidRPr="00310D70">
        <w:rPr>
          <w:rFonts w:ascii="ITC Avant Garde" w:hAnsi="ITC Avant Garde"/>
        </w:rPr>
        <w:t xml:space="preserve"> la visita con fundamento en el artículo 68 de la </w:t>
      </w:r>
      <w:r w:rsidR="00E05EEB">
        <w:rPr>
          <w:rFonts w:ascii="ITC Avant Garde" w:hAnsi="ITC Avant Garde"/>
          <w:b/>
        </w:rPr>
        <w:t>LFPA</w:t>
      </w:r>
      <w:r w:rsidRPr="00310D70">
        <w:rPr>
          <w:rFonts w:ascii="ITC Avant Garde" w:hAnsi="ITC Avant Garde"/>
        </w:rPr>
        <w:t xml:space="preserve">, </w:t>
      </w:r>
      <w:r>
        <w:rPr>
          <w:rFonts w:ascii="ITC Avant Garde" w:hAnsi="ITC Avant Garde"/>
        </w:rPr>
        <w:t xml:space="preserve">para que manifestara </w:t>
      </w:r>
      <w:r w:rsidRPr="00310D70">
        <w:rPr>
          <w:rFonts w:ascii="ITC Avant Garde" w:hAnsi="ITC Avant Garde"/>
        </w:rPr>
        <w:t>lo que a su derecho conv</w:t>
      </w:r>
      <w:r>
        <w:rPr>
          <w:rFonts w:ascii="ITC Avant Garde" w:hAnsi="ITC Avant Garde"/>
        </w:rPr>
        <w:t>iniera</w:t>
      </w:r>
      <w:r w:rsidRPr="00310D70">
        <w:rPr>
          <w:rFonts w:ascii="ITC Avant Garde" w:hAnsi="ITC Avant Garde"/>
        </w:rPr>
        <w:t xml:space="preserve"> respecto de los hechos asentados en </w:t>
      </w:r>
      <w:r w:rsidR="001F50BC">
        <w:rPr>
          <w:rFonts w:ascii="ITC Avant Garde" w:hAnsi="ITC Avant Garde"/>
        </w:rPr>
        <w:t xml:space="preserve">el </w:t>
      </w:r>
      <w:r w:rsidRPr="00310D70">
        <w:rPr>
          <w:rFonts w:ascii="ITC Avant Garde" w:hAnsi="ITC Avant Garde"/>
        </w:rPr>
        <w:t xml:space="preserve">acta, así como para que dentro del término de </w:t>
      </w:r>
      <w:r w:rsidRPr="00E057B4">
        <w:rPr>
          <w:rFonts w:ascii="ITC Avant Garde" w:hAnsi="ITC Avant Garde"/>
        </w:rPr>
        <w:t xml:space="preserve">cinco </w:t>
      </w:r>
      <w:r w:rsidRPr="00310D70">
        <w:rPr>
          <w:rFonts w:ascii="ITC Avant Garde" w:hAnsi="ITC Avant Garde"/>
        </w:rPr>
        <w:t>días hábiles, contados a partir del día siguiente de la presente actuación</w:t>
      </w:r>
      <w:r>
        <w:rPr>
          <w:rFonts w:ascii="ITC Avant Garde" w:hAnsi="ITC Avant Garde"/>
        </w:rPr>
        <w:t xml:space="preserve"> </w:t>
      </w:r>
      <w:r w:rsidRPr="00310D70">
        <w:rPr>
          <w:rFonts w:ascii="ITC Avant Garde" w:hAnsi="ITC Avant Garde"/>
        </w:rPr>
        <w:t>present</w:t>
      </w:r>
      <w:r>
        <w:rPr>
          <w:rFonts w:ascii="ITC Avant Garde" w:hAnsi="ITC Avant Garde"/>
        </w:rPr>
        <w:t>ara</w:t>
      </w:r>
      <w:r w:rsidRPr="00310D70">
        <w:rPr>
          <w:rFonts w:ascii="ITC Avant Garde" w:hAnsi="ITC Avant Garde"/>
        </w:rPr>
        <w:t xml:space="preserve"> por escrito las pruebas y defensas que estim</w:t>
      </w:r>
      <w:r>
        <w:rPr>
          <w:rFonts w:ascii="ITC Avant Garde" w:hAnsi="ITC Avant Garde"/>
        </w:rPr>
        <w:t>ara</w:t>
      </w:r>
      <w:r w:rsidRPr="00310D70">
        <w:rPr>
          <w:rFonts w:ascii="ITC Avant Garde" w:hAnsi="ITC Avant Garde"/>
        </w:rPr>
        <w:t xml:space="preserve"> procedentes</w:t>
      </w:r>
      <w:r>
        <w:rPr>
          <w:rFonts w:ascii="ITC Avant Garde" w:hAnsi="ITC Avant Garde"/>
        </w:rPr>
        <w:t>.</w:t>
      </w:r>
    </w:p>
    <w:p w14:paraId="0D6494C5" w14:textId="03A59B82" w:rsidR="00E2222D" w:rsidRDefault="006A7614" w:rsidP="00907F25">
      <w:pPr>
        <w:spacing w:after="240" w:line="360" w:lineRule="auto"/>
        <w:jc w:val="both"/>
        <w:rPr>
          <w:rFonts w:ascii="ITC Avant Garde" w:hAnsi="ITC Avant Garde"/>
        </w:rPr>
      </w:pPr>
      <w:r w:rsidRPr="006A7614">
        <w:rPr>
          <w:rFonts w:ascii="ITC Avant Garde" w:hAnsi="ITC Avant Garde"/>
        </w:rPr>
        <w:t xml:space="preserve">El término de cinco días para que </w:t>
      </w:r>
      <w:r w:rsidR="00E05EEB">
        <w:rPr>
          <w:rFonts w:ascii="ITC Avant Garde" w:hAnsi="ITC Avant Garde"/>
          <w:b/>
        </w:rPr>
        <w:t>MEGA CABLE</w:t>
      </w:r>
      <w:r w:rsidR="00EF5A4F">
        <w:rPr>
          <w:rFonts w:ascii="ITC Avant Garde" w:hAnsi="ITC Avant Garde"/>
          <w:b/>
        </w:rPr>
        <w:t xml:space="preserve"> </w:t>
      </w:r>
      <w:r w:rsidR="00EF5A4F" w:rsidRPr="00EF5A4F">
        <w:rPr>
          <w:rFonts w:ascii="ITC Avant Garde" w:hAnsi="ITC Avant Garde"/>
        </w:rPr>
        <w:t>presentara</w:t>
      </w:r>
      <w:r w:rsidRPr="006A7614">
        <w:rPr>
          <w:rFonts w:ascii="ITC Avant Garde" w:hAnsi="ITC Avant Garde"/>
        </w:rPr>
        <w:t xml:space="preserve"> pruebas y defensas corrió</w:t>
      </w:r>
      <w:r w:rsidR="007446DE" w:rsidRPr="00C6592A">
        <w:rPr>
          <w:rFonts w:ascii="ITC Avant Garde" w:hAnsi="ITC Avant Garde"/>
        </w:rPr>
        <w:t xml:space="preserve"> del </w:t>
      </w:r>
      <w:r w:rsidR="00E05EEB">
        <w:rPr>
          <w:rFonts w:ascii="ITC Avant Garde" w:hAnsi="ITC Avant Garde"/>
        </w:rPr>
        <w:t>catorce al dieciocho de diciembre de dos mil quince</w:t>
      </w:r>
      <w:r w:rsidR="00D9171B" w:rsidRPr="0014464F">
        <w:rPr>
          <w:rFonts w:ascii="ITC Avant Garde" w:hAnsi="ITC Avant Garde"/>
        </w:rPr>
        <w:t>.</w:t>
      </w:r>
    </w:p>
    <w:p w14:paraId="71E8E034" w14:textId="77777777" w:rsidR="00E2222D" w:rsidRDefault="007446DE" w:rsidP="00907F25">
      <w:pPr>
        <w:spacing w:after="240" w:line="360" w:lineRule="auto"/>
        <w:jc w:val="both"/>
        <w:rPr>
          <w:rFonts w:ascii="ITC Avant Garde" w:hAnsi="ITC Avant Garde"/>
        </w:rPr>
      </w:pPr>
      <w:r w:rsidRPr="007446DE">
        <w:rPr>
          <w:rFonts w:ascii="ITC Avant Garde" w:hAnsi="ITC Avant Garde"/>
        </w:rPr>
        <w:t xml:space="preserve">El </w:t>
      </w:r>
      <w:r w:rsidR="00E05EEB">
        <w:rPr>
          <w:rFonts w:ascii="ITC Avant Garde" w:hAnsi="ITC Avant Garde"/>
        </w:rPr>
        <w:t>dieciocho de diciembre</w:t>
      </w:r>
      <w:r w:rsidRPr="007446DE">
        <w:rPr>
          <w:rFonts w:ascii="ITC Avant Garde" w:hAnsi="ITC Avant Garde"/>
        </w:rPr>
        <w:t xml:space="preserve"> de dos mil quince,</w:t>
      </w:r>
      <w:r>
        <w:rPr>
          <w:rFonts w:ascii="ITC Avant Garde" w:hAnsi="ITC Avant Garde"/>
        </w:rPr>
        <w:t xml:space="preserve"> el</w:t>
      </w:r>
      <w:r w:rsidRPr="007446DE">
        <w:rPr>
          <w:rFonts w:ascii="ITC Avant Garde" w:hAnsi="ITC Avant Garde"/>
        </w:rPr>
        <w:t xml:space="preserve"> </w:t>
      </w:r>
      <w:r w:rsidRPr="00311C56">
        <w:rPr>
          <w:rFonts w:ascii="ITC Avant Garde" w:eastAsia="Times New Roman" w:hAnsi="ITC Avant Garde"/>
          <w:b/>
          <w:bCs/>
          <w:color w:val="000000"/>
          <w:lang w:eastAsia="es-MX"/>
        </w:rPr>
        <w:t xml:space="preserve">C. </w:t>
      </w:r>
      <w:r>
        <w:rPr>
          <w:rFonts w:ascii="ITC Avant Garde" w:eastAsia="Times New Roman" w:hAnsi="ITC Avant Garde"/>
          <w:b/>
          <w:bCs/>
          <w:color w:val="000000"/>
          <w:lang w:eastAsia="es-MX"/>
        </w:rPr>
        <w:t>JORGE RAFAEL CUEVAS RENAUD</w:t>
      </w:r>
      <w:r>
        <w:rPr>
          <w:rFonts w:ascii="ITC Avant Garde" w:eastAsia="Times New Roman" w:hAnsi="ITC Avant Garde"/>
          <w:bCs/>
          <w:color w:val="000000"/>
          <w:lang w:eastAsia="es-MX"/>
        </w:rPr>
        <w:t xml:space="preserve"> en representación de </w:t>
      </w:r>
      <w:r w:rsidR="00E05EEB">
        <w:rPr>
          <w:rFonts w:ascii="ITC Avant Garde" w:eastAsia="Times New Roman" w:hAnsi="ITC Avant Garde"/>
          <w:b/>
          <w:bCs/>
          <w:color w:val="000000"/>
          <w:lang w:eastAsia="es-MX"/>
        </w:rPr>
        <w:t>MEGA CABLE</w:t>
      </w:r>
      <w:r>
        <w:rPr>
          <w:rFonts w:ascii="ITC Avant Garde" w:eastAsia="Times New Roman" w:hAnsi="ITC Avant Garde"/>
          <w:b/>
          <w:bCs/>
          <w:color w:val="000000"/>
          <w:lang w:eastAsia="es-MX"/>
        </w:rPr>
        <w:t xml:space="preserve"> </w:t>
      </w:r>
      <w:r w:rsidRPr="007446DE">
        <w:rPr>
          <w:rFonts w:ascii="ITC Avant Garde" w:hAnsi="ITC Avant Garde"/>
        </w:rPr>
        <w:t xml:space="preserve">presentó en la Oficialía de Partes del </w:t>
      </w:r>
      <w:r w:rsidR="00E05EEB">
        <w:rPr>
          <w:rFonts w:ascii="ITC Avant Garde" w:hAnsi="ITC Avant Garde"/>
          <w:b/>
        </w:rPr>
        <w:t>IFT</w:t>
      </w:r>
      <w:r w:rsidR="00040F61">
        <w:rPr>
          <w:rFonts w:ascii="ITC Avant Garde" w:hAnsi="ITC Avant Garde"/>
          <w:b/>
        </w:rPr>
        <w:t xml:space="preserve"> </w:t>
      </w:r>
      <w:r w:rsidRPr="007446DE">
        <w:rPr>
          <w:rFonts w:ascii="ITC Avant Garde" w:hAnsi="ITC Avant Garde"/>
        </w:rPr>
        <w:t xml:space="preserve">un escrito por el que realizó manifestaciones en torno a la visita de inspección y verificación </w:t>
      </w:r>
      <w:r w:rsidR="0051132B">
        <w:rPr>
          <w:rFonts w:ascii="ITC Avant Garde" w:hAnsi="ITC Avant Garde"/>
          <w:b/>
        </w:rPr>
        <w:t>IFT/DF/DGV/1299/2015</w:t>
      </w:r>
      <w:r w:rsidRPr="007446DE">
        <w:rPr>
          <w:rFonts w:ascii="ITC Avant Garde" w:hAnsi="ITC Avant Garde"/>
        </w:rPr>
        <w:t>, en las que a manera de resumen señaló:</w:t>
      </w:r>
    </w:p>
    <w:p w14:paraId="051D67B7" w14:textId="77777777" w:rsidR="00E2222D" w:rsidRDefault="007446DE" w:rsidP="00907F25">
      <w:pPr>
        <w:spacing w:after="240" w:line="360" w:lineRule="auto"/>
        <w:ind w:left="851" w:right="900"/>
        <w:jc w:val="both"/>
        <w:rPr>
          <w:rFonts w:ascii="ITC Avant Garde" w:hAnsi="ITC Avant Garde"/>
          <w:i/>
          <w:sz w:val="20"/>
        </w:rPr>
      </w:pPr>
      <w:r w:rsidRPr="00F32E58">
        <w:rPr>
          <w:rFonts w:ascii="ITC Avant Garde" w:hAnsi="ITC Avant Garde"/>
          <w:i/>
          <w:sz w:val="20"/>
        </w:rPr>
        <w:lastRenderedPageBreak/>
        <w:t xml:space="preserve">“En relación al Acta de Verificación Ordinaria </w:t>
      </w:r>
      <w:r w:rsidR="0051132B" w:rsidRPr="00F32E58">
        <w:rPr>
          <w:rFonts w:ascii="ITC Avant Garde" w:hAnsi="ITC Avant Garde"/>
          <w:i/>
          <w:sz w:val="20"/>
        </w:rPr>
        <w:t>IFT/DF/DGV/1299/2015</w:t>
      </w:r>
      <w:r w:rsidRPr="00F32E58">
        <w:rPr>
          <w:rFonts w:ascii="ITC Avant Garde" w:hAnsi="ITC Avant Garde"/>
          <w:i/>
          <w:sz w:val="20"/>
        </w:rPr>
        <w:t xml:space="preserve">, con fundamento en lo dispuesto por los artículos 15, 68 y demás </w:t>
      </w:r>
      <w:r w:rsidR="00E05EEB" w:rsidRPr="00F32E58">
        <w:rPr>
          <w:rFonts w:ascii="ITC Avant Garde" w:hAnsi="ITC Avant Garde"/>
          <w:i/>
          <w:sz w:val="20"/>
        </w:rPr>
        <w:t>aplicables de la L</w:t>
      </w:r>
      <w:r w:rsidRPr="00F32E58">
        <w:rPr>
          <w:rFonts w:ascii="ITC Avant Garde" w:hAnsi="ITC Avant Garde"/>
          <w:i/>
          <w:sz w:val="20"/>
        </w:rPr>
        <w:t xml:space="preserve">ey </w:t>
      </w:r>
      <w:r w:rsidR="00E05EEB" w:rsidRPr="00F32E58">
        <w:rPr>
          <w:rFonts w:ascii="ITC Avant Garde" w:hAnsi="ITC Avant Garde"/>
          <w:i/>
          <w:sz w:val="20"/>
        </w:rPr>
        <w:t>F</w:t>
      </w:r>
      <w:r w:rsidRPr="00F32E58">
        <w:rPr>
          <w:rFonts w:ascii="ITC Avant Garde" w:hAnsi="ITC Avant Garde"/>
          <w:i/>
          <w:sz w:val="20"/>
        </w:rPr>
        <w:t xml:space="preserve">ederal de </w:t>
      </w:r>
      <w:r w:rsidR="00E05EEB" w:rsidRPr="00F32E58">
        <w:rPr>
          <w:rFonts w:ascii="ITC Avant Garde" w:hAnsi="ITC Avant Garde"/>
          <w:i/>
          <w:sz w:val="20"/>
        </w:rPr>
        <w:t>P</w:t>
      </w:r>
      <w:r w:rsidRPr="00F32E58">
        <w:rPr>
          <w:rFonts w:ascii="ITC Avant Garde" w:hAnsi="ITC Avant Garde"/>
          <w:i/>
          <w:sz w:val="20"/>
        </w:rPr>
        <w:t xml:space="preserve">rocedimiento </w:t>
      </w:r>
      <w:r w:rsidR="00E05EEB" w:rsidRPr="00F32E58">
        <w:rPr>
          <w:rFonts w:ascii="ITC Avant Garde" w:hAnsi="ITC Avant Garde"/>
          <w:i/>
          <w:sz w:val="20"/>
        </w:rPr>
        <w:t>A</w:t>
      </w:r>
      <w:r w:rsidRPr="00F32E58">
        <w:rPr>
          <w:rFonts w:ascii="ITC Avant Garde" w:hAnsi="ITC Avant Garde"/>
          <w:i/>
          <w:sz w:val="20"/>
        </w:rPr>
        <w:t xml:space="preserve">dministrativo, y en virtud de no haberse reportado irregularidades, vengo por medio del presente escrito a solicitar se tenga por concluida en su totalidad el </w:t>
      </w:r>
      <w:r w:rsidR="00E05EEB" w:rsidRPr="00F32E58">
        <w:rPr>
          <w:rFonts w:ascii="ITC Avant Garde" w:hAnsi="ITC Avant Garde"/>
          <w:i/>
          <w:sz w:val="20"/>
        </w:rPr>
        <w:t>A</w:t>
      </w:r>
      <w:r w:rsidRPr="00F32E58">
        <w:rPr>
          <w:rFonts w:ascii="ITC Avant Garde" w:hAnsi="ITC Avant Garde"/>
          <w:i/>
          <w:sz w:val="20"/>
        </w:rPr>
        <w:t xml:space="preserve">cta de </w:t>
      </w:r>
      <w:r w:rsidR="00E05EEB" w:rsidRPr="00F32E58">
        <w:rPr>
          <w:rFonts w:ascii="ITC Avant Garde" w:hAnsi="ITC Avant Garde"/>
          <w:i/>
          <w:sz w:val="20"/>
        </w:rPr>
        <w:t>V</w:t>
      </w:r>
      <w:r w:rsidRPr="00F32E58">
        <w:rPr>
          <w:rFonts w:ascii="ITC Avant Garde" w:hAnsi="ITC Avant Garde"/>
          <w:i/>
          <w:sz w:val="20"/>
        </w:rPr>
        <w:t xml:space="preserve">erificación </w:t>
      </w:r>
      <w:r w:rsidR="00E05EEB" w:rsidRPr="00F32E58">
        <w:rPr>
          <w:rFonts w:ascii="ITC Avant Garde" w:hAnsi="ITC Avant Garde"/>
          <w:i/>
          <w:sz w:val="20"/>
        </w:rPr>
        <w:t>O</w:t>
      </w:r>
      <w:r w:rsidRPr="00F32E58">
        <w:rPr>
          <w:rFonts w:ascii="ITC Avant Garde" w:hAnsi="ITC Avant Garde"/>
          <w:i/>
          <w:sz w:val="20"/>
        </w:rPr>
        <w:t>rdinaria anteriormente señalada.”</w:t>
      </w:r>
    </w:p>
    <w:p w14:paraId="7D26E5B4" w14:textId="77777777" w:rsidR="00E2222D" w:rsidRDefault="00194D51" w:rsidP="00907F25">
      <w:pPr>
        <w:spacing w:after="240" w:line="360" w:lineRule="auto"/>
        <w:contextualSpacing/>
        <w:jc w:val="both"/>
        <w:rPr>
          <w:rFonts w:ascii="ITC Avant Garde" w:hAnsi="ITC Avant Garde"/>
        </w:rPr>
      </w:pPr>
      <w:r>
        <w:rPr>
          <w:rFonts w:ascii="ITC Avant Garde" w:hAnsi="ITC Avant Garde"/>
        </w:rPr>
        <w:t xml:space="preserve">Sin aportar probanza alguna </w:t>
      </w:r>
      <w:r w:rsidR="009317CE" w:rsidRPr="009317CE">
        <w:rPr>
          <w:rFonts w:ascii="ITC Avant Garde" w:hAnsi="ITC Avant Garde"/>
        </w:rPr>
        <w:t xml:space="preserve">relacionada a la visita de inspección y verificación </w:t>
      </w:r>
      <w:r w:rsidR="0051132B">
        <w:rPr>
          <w:rFonts w:ascii="ITC Avant Garde" w:hAnsi="ITC Avant Garde"/>
          <w:b/>
        </w:rPr>
        <w:t>IFT/DF/DGV/1299/2015</w:t>
      </w:r>
      <w:r w:rsidR="009317CE" w:rsidRPr="009317CE">
        <w:rPr>
          <w:rFonts w:ascii="ITC Avant Garde" w:hAnsi="ITC Avant Garde"/>
        </w:rPr>
        <w:t xml:space="preserve">. </w:t>
      </w:r>
    </w:p>
    <w:p w14:paraId="3A00E002" w14:textId="77777777" w:rsidR="00E2222D" w:rsidRDefault="00412BA3" w:rsidP="00907F25">
      <w:pPr>
        <w:spacing w:after="240" w:line="360" w:lineRule="auto"/>
        <w:jc w:val="both"/>
        <w:rPr>
          <w:rFonts w:ascii="ITC Avant Garde" w:hAnsi="ITC Avant Garde"/>
          <w:color w:val="000000"/>
        </w:rPr>
      </w:pPr>
      <w:r>
        <w:rPr>
          <w:rFonts w:ascii="ITC Avant Garde" w:hAnsi="ITC Avant Garde"/>
        </w:rPr>
        <w:t>Por lo anterior</w:t>
      </w:r>
      <w:r w:rsidRPr="00412BA3">
        <w:rPr>
          <w:rFonts w:ascii="ITC Avant Garde" w:hAnsi="ITC Avant Garde"/>
        </w:rPr>
        <w:t xml:space="preserve"> la </w:t>
      </w:r>
      <w:r w:rsidR="00E05EEB">
        <w:rPr>
          <w:rFonts w:ascii="ITC Avant Garde" w:hAnsi="ITC Avant Garde"/>
          <w:b/>
        </w:rPr>
        <w:t>DGV</w:t>
      </w:r>
      <w:r w:rsidRPr="00412BA3">
        <w:rPr>
          <w:rFonts w:ascii="ITC Avant Garde" w:hAnsi="ITC Avant Garde"/>
          <w:b/>
        </w:rPr>
        <w:t xml:space="preserve"> </w:t>
      </w:r>
      <w:r w:rsidRPr="00412BA3">
        <w:rPr>
          <w:rFonts w:ascii="ITC Avant Garde" w:hAnsi="ITC Avant Garde"/>
        </w:rPr>
        <w:t xml:space="preserve">concluyó que </w:t>
      </w:r>
      <w:r w:rsidR="009317CE">
        <w:rPr>
          <w:rFonts w:ascii="ITC Avant Garde" w:hAnsi="ITC Avant Garde"/>
          <w:b/>
        </w:rPr>
        <w:t>MEGA CABLE</w:t>
      </w:r>
      <w:r w:rsidRPr="00412BA3">
        <w:rPr>
          <w:rFonts w:ascii="ITC Avant Garde" w:hAnsi="ITC Avant Garde"/>
          <w:b/>
        </w:rPr>
        <w:t xml:space="preserve"> </w:t>
      </w:r>
      <w:r w:rsidRPr="00412BA3">
        <w:rPr>
          <w:rFonts w:ascii="ITC Avant Garde" w:eastAsia="ヒラギノ角ゴ Pro W3" w:hAnsi="ITC Avant Garde"/>
          <w:color w:val="000000"/>
        </w:rPr>
        <w:t>violenta con su conducta lo dispuesto en</w:t>
      </w:r>
      <w:r w:rsidR="009317CE" w:rsidRPr="00B215CD">
        <w:rPr>
          <w:rFonts w:ascii="ITC Avant Garde" w:hAnsi="ITC Avant Garde"/>
          <w:color w:val="000000"/>
        </w:rPr>
        <w:t xml:space="preserve"> el </w:t>
      </w:r>
      <w:r w:rsidR="00E05EEB">
        <w:rPr>
          <w:rFonts w:ascii="ITC Avant Garde" w:hAnsi="ITC Avant Garde"/>
          <w:b/>
        </w:rPr>
        <w:t>Artículo 12</w:t>
      </w:r>
      <w:r w:rsidR="00E05EEB">
        <w:rPr>
          <w:rFonts w:ascii="ITC Avant Garde" w:hAnsi="ITC Avant Garde"/>
        </w:rPr>
        <w:t xml:space="preserve"> de los </w:t>
      </w:r>
      <w:r w:rsidR="00E05EEB">
        <w:rPr>
          <w:rFonts w:ascii="ITC Avant Garde" w:hAnsi="ITC Avant Garde"/>
          <w:b/>
        </w:rPr>
        <w:t xml:space="preserve">LINEAMIENTOS, </w:t>
      </w:r>
      <w:r w:rsidR="00E05EEB">
        <w:rPr>
          <w:rFonts w:ascii="ITC Avant Garde" w:hAnsi="ITC Avant Garde"/>
        </w:rPr>
        <w:t xml:space="preserve">sus respectivas modificaciones contenidas en el </w:t>
      </w:r>
      <w:r w:rsidR="00E05EEB">
        <w:rPr>
          <w:rFonts w:ascii="ITC Avant Garde" w:hAnsi="ITC Avant Garde"/>
          <w:b/>
        </w:rPr>
        <w:t xml:space="preserve">ACUERDO MODIFICATORIO; </w:t>
      </w:r>
      <w:r w:rsidR="00E05EEB">
        <w:rPr>
          <w:rFonts w:ascii="ITC Avant Garde" w:hAnsi="ITC Avant Garde"/>
        </w:rPr>
        <w:t xml:space="preserve">el </w:t>
      </w:r>
      <w:r w:rsidR="00E05EEB">
        <w:rPr>
          <w:rFonts w:ascii="ITC Avant Garde" w:hAnsi="ITC Avant Garde"/>
          <w:b/>
        </w:rPr>
        <w:t xml:space="preserve">LISTADO </w:t>
      </w:r>
      <w:r w:rsidR="00E05EEB">
        <w:rPr>
          <w:rFonts w:ascii="ITC Avant Garde" w:hAnsi="ITC Avant Garde"/>
        </w:rPr>
        <w:t xml:space="preserve">y sus correspondientes </w:t>
      </w:r>
      <w:r w:rsidR="00E05EEB">
        <w:rPr>
          <w:rFonts w:ascii="ITC Avant Garde" w:hAnsi="ITC Avant Garde"/>
          <w:b/>
        </w:rPr>
        <w:t>ACTUALIZACIONES;</w:t>
      </w:r>
      <w:r w:rsidR="00040F61">
        <w:rPr>
          <w:rFonts w:ascii="ITC Avant Garde" w:eastAsia="ヒラギノ角ゴ Pro W3" w:hAnsi="ITC Avant Garde"/>
          <w:color w:val="000000"/>
          <w:lang w:eastAsia="es-ES"/>
        </w:rPr>
        <w:t xml:space="preserve"> en atención a las siguientes consideraciones</w:t>
      </w:r>
      <w:r w:rsidRPr="00412BA3">
        <w:rPr>
          <w:rFonts w:ascii="ITC Avant Garde" w:eastAsia="ヒラギノ角ゴ Pro W3" w:hAnsi="ITC Avant Garde"/>
          <w:color w:val="000000"/>
          <w:lang w:eastAsia="es-ES"/>
        </w:rPr>
        <w:t>:</w:t>
      </w:r>
    </w:p>
    <w:p w14:paraId="3191E660" w14:textId="77777777" w:rsidR="00E2222D" w:rsidRDefault="002431FF" w:rsidP="00907F25">
      <w:pPr>
        <w:spacing w:after="240" w:line="360" w:lineRule="auto"/>
        <w:jc w:val="both"/>
        <w:rPr>
          <w:rFonts w:ascii="ITC Avant Garde" w:eastAsia="ヒラギノ角ゴ Pro W3" w:hAnsi="ITC Avant Garde"/>
          <w:color w:val="000000"/>
          <w:lang w:eastAsia="es-ES"/>
        </w:rPr>
      </w:pPr>
      <w:r>
        <w:rPr>
          <w:rFonts w:ascii="ITC Avant Garde" w:eastAsia="ヒラギノ角ゴ Pro W3" w:hAnsi="ITC Avant Garde"/>
          <w:b/>
          <w:color w:val="000000"/>
          <w:lang w:eastAsia="es-ES"/>
        </w:rPr>
        <w:t>A</w:t>
      </w:r>
      <w:r w:rsidRPr="00E05EEB">
        <w:rPr>
          <w:rFonts w:ascii="ITC Avant Garde" w:eastAsia="ヒラギノ角ゴ Pro W3" w:hAnsi="ITC Avant Garde"/>
          <w:b/>
          <w:color w:val="000000"/>
          <w:lang w:eastAsia="es-ES"/>
        </w:rPr>
        <w:t xml:space="preserve">) </w:t>
      </w:r>
      <w:r w:rsidR="00521EC6" w:rsidRPr="00E05EEB">
        <w:rPr>
          <w:rFonts w:ascii="ITC Avant Garde" w:eastAsia="ヒラギノ角ゴ Pro W3" w:hAnsi="ITC Avant Garde"/>
          <w:b/>
          <w:color w:val="000000"/>
          <w:u w:val="single"/>
          <w:lang w:eastAsia="es-ES"/>
        </w:rPr>
        <w:t>A</w:t>
      </w:r>
      <w:r w:rsidR="00E05EEB" w:rsidRPr="00E05EEB">
        <w:rPr>
          <w:rFonts w:ascii="ITC Avant Garde" w:hAnsi="ITC Avant Garde"/>
          <w:b/>
          <w:u w:val="single"/>
        </w:rPr>
        <w:t xml:space="preserve">rtículo 12 </w:t>
      </w:r>
      <w:r w:rsidR="00F32E58" w:rsidRPr="00E05EEB">
        <w:rPr>
          <w:rFonts w:ascii="ITC Avant Garde" w:hAnsi="ITC Avant Garde"/>
          <w:b/>
          <w:u w:val="single"/>
        </w:rPr>
        <w:t>de los</w:t>
      </w:r>
      <w:r w:rsidR="00E05EEB" w:rsidRPr="00E05EEB">
        <w:rPr>
          <w:rFonts w:ascii="ITC Avant Garde" w:hAnsi="ITC Avant Garde"/>
          <w:b/>
          <w:u w:val="single"/>
        </w:rPr>
        <w:t xml:space="preserve"> LINEAMIENTOS</w:t>
      </w:r>
      <w:r w:rsidR="00040F61">
        <w:rPr>
          <w:rFonts w:ascii="ITC Avant Garde" w:hAnsi="ITC Avant Garde"/>
        </w:rPr>
        <w:t>, establece lo siguiente:</w:t>
      </w:r>
    </w:p>
    <w:p w14:paraId="3B310193" w14:textId="77777777" w:rsidR="00E2222D" w:rsidRDefault="00521EC6" w:rsidP="00907F25">
      <w:pPr>
        <w:spacing w:after="240" w:line="360" w:lineRule="auto"/>
        <w:ind w:left="851" w:right="900"/>
        <w:jc w:val="both"/>
        <w:rPr>
          <w:rFonts w:ascii="ITC Avant Garde" w:hAnsi="ITC Avant Garde" w:cs="Arial"/>
          <w:i/>
          <w:sz w:val="20"/>
          <w:lang w:val="es-ES"/>
        </w:rPr>
      </w:pPr>
      <w:r w:rsidRPr="00F32E58">
        <w:rPr>
          <w:rFonts w:ascii="ITC Avant Garde" w:hAnsi="ITC Avant Garde" w:cs="Arial"/>
          <w:b/>
          <w:i/>
          <w:sz w:val="20"/>
          <w:lang w:val="es-ES"/>
        </w:rPr>
        <w:t xml:space="preserve">Artículo 12.- </w:t>
      </w:r>
      <w:r w:rsidRPr="00F32E58">
        <w:rPr>
          <w:rFonts w:ascii="ITC Avant Garde" w:hAnsi="ITC Avant Garde" w:cs="Arial"/>
          <w:b/>
          <w:i/>
          <w:sz w:val="20"/>
          <w:u w:val="single"/>
          <w:lang w:val="es-ES"/>
        </w:rPr>
        <w:t>Los Concesionarios de Televisión Restringida deberán retransmitir todas las Señales Radiodifundidas de Instituciones Públicas Federales, de Manera Gratuita y No Discriminatoria, en Forma Íntegra y Sin Modificaciones, Simultánea, incluyendo, en su caso, la publicidad, y con la Misma Calidad de la Señal Radiodifundida.</w:t>
      </w:r>
      <w:r w:rsidRPr="00F32E58">
        <w:rPr>
          <w:rFonts w:ascii="ITC Avant Garde" w:hAnsi="ITC Avant Garde" w:cs="Arial"/>
          <w:i/>
          <w:sz w:val="20"/>
          <w:lang w:val="es-ES"/>
        </w:rPr>
        <w:t xml:space="preserve"> </w:t>
      </w:r>
      <w:r w:rsidRPr="00F32E58">
        <w:rPr>
          <w:rFonts w:ascii="ITC Avant Garde" w:hAnsi="ITC Avant Garde" w:cs="Arial"/>
          <w:b/>
          <w:i/>
          <w:sz w:val="20"/>
          <w:u w:val="single"/>
          <w:lang w:val="es-ES"/>
        </w:rPr>
        <w:t>También deberán incluir aquélla realizada a través de Multiprogramación,</w:t>
      </w:r>
      <w:r w:rsidRPr="00F32E58">
        <w:rPr>
          <w:rFonts w:ascii="ITC Avant Garde" w:hAnsi="ITC Avant Garde" w:cs="Arial"/>
          <w:i/>
          <w:sz w:val="20"/>
          <w:lang w:val="es-ES"/>
        </w:rPr>
        <w:t xml:space="preserve"> salvo que el Canal de Programación no corresponda al de una Institución Pública Federal.</w:t>
      </w:r>
    </w:p>
    <w:p w14:paraId="0B58B6F3" w14:textId="77777777" w:rsidR="00E2222D" w:rsidRDefault="00521EC6" w:rsidP="00907F25">
      <w:pPr>
        <w:spacing w:after="240" w:line="360" w:lineRule="auto"/>
        <w:ind w:left="851" w:right="900"/>
        <w:jc w:val="both"/>
        <w:rPr>
          <w:rFonts w:ascii="ITC Avant Garde" w:hAnsi="ITC Avant Garde" w:cs="Arial"/>
          <w:i/>
          <w:sz w:val="20"/>
          <w:lang w:val="es-ES"/>
        </w:rPr>
      </w:pPr>
      <w:r w:rsidRPr="00F32E58">
        <w:rPr>
          <w:rFonts w:ascii="ITC Avant Garde" w:hAnsi="ITC Avant Garde" w:cs="Arial"/>
          <w:b/>
          <w:i/>
          <w:sz w:val="20"/>
          <w:u w:val="single"/>
          <w:lang w:val="es-ES"/>
        </w:rPr>
        <w:t>Las Instituciones Públicas Federales que transmiten señales radiodifundidas al día de hoy son</w:t>
      </w:r>
      <w:r w:rsidRPr="00F32E58">
        <w:rPr>
          <w:rFonts w:ascii="ITC Avant Garde" w:hAnsi="ITC Avant Garde" w:cs="Arial"/>
          <w:i/>
          <w:sz w:val="20"/>
          <w:lang w:val="es-ES"/>
        </w:rPr>
        <w:t xml:space="preserve">, por su propia naturaleza jurídica, </w:t>
      </w:r>
      <w:r w:rsidRPr="00F32E58">
        <w:rPr>
          <w:rFonts w:ascii="ITC Avant Garde" w:hAnsi="ITC Avant Garde" w:cs="Arial"/>
          <w:b/>
          <w:i/>
          <w:sz w:val="20"/>
          <w:u w:val="single"/>
          <w:lang w:val="es-ES"/>
        </w:rPr>
        <w:t xml:space="preserve">la </w:t>
      </w:r>
      <w:r w:rsidRPr="00F32E58">
        <w:rPr>
          <w:rFonts w:ascii="ITC Avant Garde" w:hAnsi="ITC Avant Garde" w:cs="Arial"/>
          <w:i/>
          <w:sz w:val="20"/>
          <w:lang w:val="es-ES"/>
        </w:rPr>
        <w:t>Universidad Nacional Autónoma de México,</w:t>
      </w:r>
      <w:r w:rsidRPr="00F32E58">
        <w:rPr>
          <w:rFonts w:ascii="ITC Avant Garde" w:hAnsi="ITC Avant Garde" w:cs="Arial"/>
          <w:b/>
          <w:i/>
          <w:sz w:val="20"/>
          <w:u w:val="single"/>
          <w:lang w:val="es-ES"/>
        </w:rPr>
        <w:t xml:space="preserve"> el Instituto Politécnico Nacional, </w:t>
      </w:r>
      <w:r w:rsidRPr="00F32E58">
        <w:rPr>
          <w:rFonts w:ascii="ITC Avant Garde" w:hAnsi="ITC Avant Garde" w:cs="Arial"/>
          <w:i/>
          <w:sz w:val="20"/>
          <w:lang w:val="es-ES"/>
        </w:rPr>
        <w:t>el Organismo Promotor de Medios Audiovisuales y Televisión Metropolitana, S.A. de C.V.</w:t>
      </w:r>
    </w:p>
    <w:p w14:paraId="75462473" w14:textId="77777777" w:rsidR="00E2222D" w:rsidRDefault="00521EC6" w:rsidP="00907F25">
      <w:pPr>
        <w:spacing w:after="240" w:line="360" w:lineRule="auto"/>
        <w:ind w:left="851" w:right="900"/>
        <w:jc w:val="both"/>
        <w:rPr>
          <w:rFonts w:ascii="ITC Avant Garde" w:hAnsi="ITC Avant Garde" w:cs="Arial"/>
          <w:b/>
          <w:i/>
          <w:sz w:val="20"/>
          <w:u w:val="single"/>
          <w:lang w:val="es-ES"/>
        </w:rPr>
      </w:pPr>
      <w:r w:rsidRPr="00F32E58">
        <w:rPr>
          <w:rFonts w:ascii="ITC Avant Garde" w:hAnsi="ITC Avant Garde" w:cs="Arial"/>
          <w:b/>
          <w:i/>
          <w:sz w:val="20"/>
          <w:u w:val="single"/>
          <w:lang w:val="es-ES"/>
        </w:rPr>
        <w:t>Para efectos de claridad, el Instituto mantendrá y actualizará permanentemente en su sitio electrónico, el listado completo de las instituciones públicas federales para los efectos que nos ocupan.</w:t>
      </w:r>
    </w:p>
    <w:p w14:paraId="288DD96A" w14:textId="77777777" w:rsidR="00E2222D" w:rsidRDefault="00521EC6" w:rsidP="00907F25">
      <w:pPr>
        <w:spacing w:after="240" w:line="360" w:lineRule="auto"/>
        <w:ind w:left="851" w:right="900"/>
        <w:jc w:val="both"/>
        <w:rPr>
          <w:rFonts w:ascii="ITC Avant Garde" w:hAnsi="ITC Avant Garde" w:cs="Arial"/>
          <w:b/>
          <w:i/>
          <w:u w:val="single"/>
          <w:lang w:val="es-ES"/>
        </w:rPr>
      </w:pPr>
      <w:r w:rsidRPr="00F32E58">
        <w:rPr>
          <w:rFonts w:ascii="ITC Avant Garde" w:hAnsi="ITC Avant Garde" w:cs="Arial"/>
          <w:b/>
          <w:i/>
          <w:sz w:val="20"/>
          <w:u w:val="single"/>
          <w:lang w:val="es-ES"/>
        </w:rPr>
        <w:lastRenderedPageBreak/>
        <w:t>Los Concesionarios de Televisión Restringida Terrenal que no tengan acceso a las Señales Radiodifundidas de Instituciones Públicas Federales en la Misma Zona de Cobertura, estarán obligados a retransmitir dichas señales una vez que el Instituto publique en el Diario Oficial de la Federación que las mismas se encuentren disponibles en su zona de cobertura por el medio que corresponda para su retransmisión, ya sea satélite, microondas, fibra óptica o cualquier otro idóneo, en términos de este artículo. ..</w:t>
      </w:r>
    </w:p>
    <w:p w14:paraId="2ED90296" w14:textId="77777777" w:rsidR="00E2222D" w:rsidRDefault="001B0CA8" w:rsidP="00907F25">
      <w:pPr>
        <w:spacing w:after="240" w:line="360" w:lineRule="auto"/>
        <w:jc w:val="both"/>
        <w:rPr>
          <w:rFonts w:ascii="ITC Avant Garde" w:eastAsia="Times New Roman" w:hAnsi="ITC Avant Garde"/>
          <w:b/>
          <w:bCs/>
          <w:color w:val="000000"/>
          <w:lang w:eastAsia="es-MX"/>
        </w:rPr>
      </w:pPr>
      <w:r w:rsidRPr="001B0CA8">
        <w:rPr>
          <w:rFonts w:ascii="ITC Avant Garde" w:eastAsia="Times New Roman" w:hAnsi="ITC Avant Garde"/>
          <w:bCs/>
          <w:color w:val="000000"/>
          <w:lang w:eastAsia="es-MX"/>
        </w:rPr>
        <w:t xml:space="preserve">Por su parte, </w:t>
      </w:r>
      <w:r w:rsidR="00521EC6">
        <w:rPr>
          <w:rFonts w:ascii="ITC Avant Garde" w:eastAsia="Times New Roman" w:hAnsi="ITC Avant Garde"/>
          <w:bCs/>
          <w:color w:val="000000"/>
          <w:lang w:eastAsia="es-MX"/>
        </w:rPr>
        <w:t xml:space="preserve">el </w:t>
      </w:r>
      <w:r w:rsidR="00E05EEB">
        <w:rPr>
          <w:rFonts w:ascii="ITC Avant Garde" w:eastAsia="Times New Roman" w:hAnsi="ITC Avant Garde"/>
          <w:b/>
          <w:bCs/>
          <w:color w:val="000000"/>
          <w:lang w:eastAsia="es-MX"/>
        </w:rPr>
        <w:t>LISTADO</w:t>
      </w:r>
      <w:r w:rsidRPr="00521EC6">
        <w:rPr>
          <w:rFonts w:ascii="ITC Avant Garde" w:eastAsia="Times New Roman" w:hAnsi="ITC Avant Garde"/>
          <w:b/>
          <w:bCs/>
          <w:color w:val="000000"/>
          <w:lang w:eastAsia="es-MX"/>
        </w:rPr>
        <w:t>,</w:t>
      </w:r>
      <w:r w:rsidRPr="001B0CA8">
        <w:rPr>
          <w:rFonts w:ascii="ITC Avant Garde" w:eastAsia="Times New Roman" w:hAnsi="ITC Avant Garde"/>
          <w:b/>
          <w:bCs/>
          <w:color w:val="000000"/>
          <w:lang w:eastAsia="es-MX"/>
        </w:rPr>
        <w:t xml:space="preserve"> </w:t>
      </w:r>
      <w:r w:rsidRPr="001B0CA8">
        <w:rPr>
          <w:rFonts w:ascii="ITC Avant Garde" w:eastAsia="Times New Roman" w:hAnsi="ITC Avant Garde"/>
          <w:bCs/>
          <w:color w:val="000000"/>
          <w:lang w:eastAsia="es-MX"/>
        </w:rPr>
        <w:t>establece:</w:t>
      </w:r>
    </w:p>
    <w:p w14:paraId="2E0DB50D" w14:textId="77777777" w:rsidR="00E2222D" w:rsidRDefault="001B0CA8" w:rsidP="00907F25">
      <w:pPr>
        <w:spacing w:after="240" w:line="360" w:lineRule="auto"/>
        <w:ind w:left="851" w:right="900"/>
        <w:jc w:val="both"/>
        <w:rPr>
          <w:rFonts w:ascii="ITC Avant Garde" w:eastAsia="Times New Roman" w:hAnsi="ITC Avant Garde"/>
          <w:bCs/>
          <w:i/>
          <w:color w:val="000000"/>
          <w:sz w:val="20"/>
          <w:lang w:eastAsia="es-MX"/>
        </w:rPr>
      </w:pPr>
      <w:r w:rsidRPr="001B0CA8">
        <w:rPr>
          <w:rFonts w:ascii="ITC Avant Garde" w:eastAsia="Times New Roman" w:hAnsi="ITC Avant Garde"/>
          <w:bCs/>
          <w:i/>
          <w:color w:val="000000"/>
          <w:lang w:eastAsia="es-MX"/>
        </w:rPr>
        <w:t>“</w:t>
      </w:r>
      <w:r w:rsidR="00521EC6" w:rsidRPr="00F32E58">
        <w:rPr>
          <w:rFonts w:ascii="ITC Avant Garde" w:eastAsia="Times New Roman" w:hAnsi="ITC Avant Garde"/>
          <w:bCs/>
          <w:i/>
          <w:color w:val="000000"/>
          <w:sz w:val="20"/>
          <w:lang w:eastAsia="es-MX"/>
        </w:rPr>
        <w:t>LISTADO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 el 27 de febrero de 2014.</w:t>
      </w:r>
    </w:p>
    <w:p w14:paraId="1D210B3B" w14:textId="77777777" w:rsidR="00E2222D" w:rsidRDefault="00521EC6" w:rsidP="00907F25">
      <w:pPr>
        <w:spacing w:after="240" w:line="360" w:lineRule="auto"/>
        <w:ind w:left="851" w:right="900"/>
        <w:jc w:val="both"/>
        <w:rPr>
          <w:rFonts w:ascii="ITC Avant Garde" w:eastAsia="Times New Roman" w:hAnsi="ITC Avant Garde"/>
          <w:bCs/>
          <w:i/>
          <w:color w:val="000000"/>
          <w:sz w:val="20"/>
          <w:lang w:eastAsia="es-MX"/>
        </w:rPr>
      </w:pPr>
      <w:r w:rsidRPr="00F32E58">
        <w:rPr>
          <w:rFonts w:ascii="ITC Avant Garde" w:eastAsia="Times New Roman" w:hAnsi="ITC Avant Garde"/>
          <w:bCs/>
          <w:i/>
          <w:color w:val="000000"/>
          <w:sz w:val="20"/>
          <w:lang w:eastAsia="es-MX"/>
        </w:rPr>
        <w:t xml:space="preserve">Con fundamento en los artículos 28 de la Constitución Política de los Estados Unidos Mexicanos; Séptimo Transitorio, cuarto párrafo; Octavo Transitorio, fracción I; y Décimo Primero Transitorio, del Decreto por el que se reforman y adicionan diversas disposiciones de los artículos 6o., 7o., 27, 28, 73, 78, 94 y 105 de la Constitución Política de los Estados Unidos Mexicanos, en materia de telecomunicaciones; en relación con el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el Diario Oficial de la Federación el 27 de febrero de 2014 (Lineamientos); el Pleno del Instituto Federal de Telecomunicaciones en su X Sesión Extraordinaria celebrada el 23 de abril de 2014, con fundamento en los artículos 2, 3 fracción III, 4 fracción III, 8, 9 fracción L, 13, 19 y 20 fracciones IX </w:t>
      </w:r>
      <w:r w:rsidRPr="00F32E58">
        <w:rPr>
          <w:rFonts w:ascii="ITC Avant Garde" w:eastAsia="Times New Roman" w:hAnsi="ITC Avant Garde"/>
          <w:bCs/>
          <w:i/>
          <w:color w:val="000000"/>
          <w:sz w:val="20"/>
          <w:lang w:eastAsia="es-MX"/>
        </w:rPr>
        <w:lastRenderedPageBreak/>
        <w:t>y XI, de su Estatuto Orgánico, mediante Acuerdo P/IFT/EXT/230414/98 instruyó la publicación en el Diario Oficial de la Federación del listado y características técnicas de las señales radiodifundidas de las Instituciones Públicas Federales que se consideran disponibles para su retransmisión, de conformidad con lo siguiente:</w:t>
      </w:r>
    </w:p>
    <w:p w14:paraId="7EFFD0A4" w14:textId="0461204E" w:rsidR="00521EC6" w:rsidRPr="00F32E58" w:rsidRDefault="00851E29"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 xml:space="preserve">… </w:t>
      </w:r>
      <w:r w:rsidR="00521EC6" w:rsidRPr="00F32E58">
        <w:rPr>
          <w:rFonts w:ascii="ITC Avant Garde" w:eastAsia="Times New Roman" w:hAnsi="ITC Avant Garde"/>
          <w:b/>
          <w:bCs/>
          <w:i/>
          <w:color w:val="000000"/>
          <w:sz w:val="20"/>
          <w:u w:val="single"/>
          <w:lang w:eastAsia="es-MX"/>
        </w:rPr>
        <w:t>b) Instituto Politécnico Nacional. (Con modificación de 21 de octubre de 2014)</w:t>
      </w:r>
    </w:p>
    <w:p w14:paraId="36F42461" w14:textId="77777777"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 xml:space="preserve">Canal 11 </w:t>
      </w:r>
    </w:p>
    <w:p w14:paraId="4F24805E" w14:textId="77777777"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Satélite: SATMEX 6</w:t>
      </w:r>
    </w:p>
    <w:p w14:paraId="465D7BE7" w14:textId="77777777"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Transpondedor: 6C1</w:t>
      </w:r>
    </w:p>
    <w:p w14:paraId="0B671A06" w14:textId="77777777"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Compresión: DVBS2</w:t>
      </w:r>
    </w:p>
    <w:p w14:paraId="0D5E0823" w14:textId="77777777"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Modulación: 8PSK</w:t>
      </w:r>
    </w:p>
    <w:p w14:paraId="6B6AE3C7" w14:textId="77777777"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FEC: 2/3</w:t>
      </w:r>
    </w:p>
    <w:p w14:paraId="7EB14AEA" w14:textId="77777777"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Frecuencia: 3,828.95 MHz</w:t>
      </w:r>
    </w:p>
    <w:p w14:paraId="7293FC80" w14:textId="77777777"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Polarización de Bajada: Horizontal</w:t>
      </w:r>
    </w:p>
    <w:p w14:paraId="324AA054" w14:textId="77777777"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Programa Principal: 0001</w:t>
      </w:r>
    </w:p>
    <w:p w14:paraId="36CAA3C8" w14:textId="77777777" w:rsidR="00E2222D"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Programa Secundario: 0002</w:t>
      </w:r>
      <w:r w:rsidR="00851E29" w:rsidRPr="00F32E58">
        <w:rPr>
          <w:rFonts w:ascii="ITC Avant Garde" w:eastAsia="Times New Roman" w:hAnsi="ITC Avant Garde"/>
          <w:b/>
          <w:bCs/>
          <w:i/>
          <w:color w:val="000000"/>
          <w:sz w:val="20"/>
          <w:u w:val="single"/>
          <w:lang w:eastAsia="es-MX"/>
        </w:rPr>
        <w:t>…</w:t>
      </w:r>
    </w:p>
    <w:p w14:paraId="6B33A3C8" w14:textId="0EFDB9B9" w:rsidR="00521EC6" w:rsidRPr="00F32E58" w:rsidRDefault="00521EC6" w:rsidP="00907F25">
      <w:pPr>
        <w:spacing w:after="240" w:line="360" w:lineRule="auto"/>
        <w:ind w:left="851" w:right="900"/>
        <w:jc w:val="both"/>
        <w:rPr>
          <w:rFonts w:ascii="ITC Avant Garde" w:eastAsia="Times New Roman" w:hAnsi="ITC Avant Garde"/>
          <w:b/>
          <w:bCs/>
          <w:i/>
          <w:color w:val="000000"/>
          <w:sz w:val="20"/>
          <w:u w:val="single"/>
          <w:lang w:eastAsia="es-MX"/>
        </w:rPr>
      </w:pPr>
      <w:r w:rsidRPr="00F32E58">
        <w:rPr>
          <w:rFonts w:ascii="ITC Avant Garde" w:eastAsia="Times New Roman" w:hAnsi="ITC Avant Garde"/>
          <w:b/>
          <w:bCs/>
          <w:i/>
          <w:color w:val="000000"/>
          <w:sz w:val="20"/>
          <w:u w:val="single"/>
          <w:lang w:eastAsia="es-MX"/>
        </w:rPr>
        <w:t>La obligación de los Concesionarios de Televisión Restringida para retransmitir las señales radiodifundidas de Instituciones Públicas Federales que se enlistan, en términos de los párrafos cuarto, quinto, sexto y séptimo de los Lineamientos, se hará exigible a partir del día siguiente de la publicación del presente listado en el Diario Oficial de la Federación.”</w:t>
      </w:r>
    </w:p>
    <w:p w14:paraId="10904738" w14:textId="77777777" w:rsidR="00E2222D" w:rsidRDefault="001B0CA8" w:rsidP="00907F25">
      <w:pPr>
        <w:spacing w:after="240" w:line="360" w:lineRule="auto"/>
        <w:ind w:left="851" w:right="900"/>
        <w:jc w:val="both"/>
        <w:rPr>
          <w:rFonts w:ascii="ITC Avant Garde" w:eastAsia="Times New Roman" w:hAnsi="ITC Avant Garde"/>
          <w:bCs/>
          <w:i/>
          <w:color w:val="000000"/>
          <w:sz w:val="20"/>
          <w:lang w:eastAsia="es-MX"/>
        </w:rPr>
      </w:pPr>
      <w:r w:rsidRPr="00F32E58">
        <w:rPr>
          <w:rFonts w:ascii="ITC Avant Garde" w:eastAsia="Times New Roman" w:hAnsi="ITC Avant Garde"/>
          <w:bCs/>
          <w:i/>
          <w:color w:val="000000"/>
          <w:sz w:val="20"/>
          <w:lang w:eastAsia="es-MX"/>
        </w:rPr>
        <w:t>…</w:t>
      </w:r>
    </w:p>
    <w:p w14:paraId="11C745E7" w14:textId="77777777" w:rsidR="00E2222D" w:rsidRDefault="00E05EEB" w:rsidP="00907F25">
      <w:pPr>
        <w:spacing w:after="240" w:line="360" w:lineRule="auto"/>
        <w:contextualSpacing/>
        <w:jc w:val="both"/>
        <w:rPr>
          <w:rFonts w:ascii="ITC Avant Garde" w:hAnsi="ITC Avant Garde" w:cs="Arial"/>
        </w:rPr>
      </w:pPr>
      <w:r>
        <w:rPr>
          <w:rFonts w:ascii="ITC Avant Garde" w:hAnsi="ITC Avant Garde"/>
          <w:b/>
        </w:rPr>
        <w:lastRenderedPageBreak/>
        <w:t>ACTUALIZACIONES</w:t>
      </w:r>
      <w:r w:rsidRPr="00851E29">
        <w:rPr>
          <w:rFonts w:ascii="ITC Avant Garde" w:hAnsi="ITC Avant Garde" w:cs="Arial"/>
        </w:rPr>
        <w:t xml:space="preserve"> </w:t>
      </w:r>
      <w:r w:rsidR="00851E29" w:rsidRPr="00851E29">
        <w:rPr>
          <w:rFonts w:ascii="ITC Avant Garde" w:hAnsi="ITC Avant Garde" w:cs="Arial"/>
        </w:rPr>
        <w:t>únicamente en su parte relativa al Instituto Politécnico Nacional, para quedar como sigue:</w:t>
      </w:r>
    </w:p>
    <w:p w14:paraId="33DEE9EF" w14:textId="0A08E1B3"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w:t>
      </w:r>
    </w:p>
    <w:p w14:paraId="09C14C12" w14:textId="77777777" w:rsidR="00851E29" w:rsidRPr="00F32E58" w:rsidRDefault="00851E29" w:rsidP="00907F25">
      <w:pPr>
        <w:spacing w:after="240" w:line="360" w:lineRule="auto"/>
        <w:ind w:left="851" w:right="900"/>
        <w:jc w:val="both"/>
        <w:rPr>
          <w:rFonts w:ascii="ITC Avant Garde" w:eastAsia="Times New Roman" w:hAnsi="ITC Avant Garde" w:cs="Arial"/>
          <w:b/>
          <w:i/>
          <w:sz w:val="20"/>
          <w:u w:val="single"/>
          <w:lang w:val="es-ES" w:eastAsia="es-ES"/>
        </w:rPr>
      </w:pPr>
      <w:r w:rsidRPr="00F32E58">
        <w:rPr>
          <w:rFonts w:ascii="ITC Avant Garde" w:eastAsia="Times New Roman" w:hAnsi="ITC Avant Garde" w:cs="Arial"/>
          <w:b/>
          <w:i/>
          <w:sz w:val="20"/>
          <w:u w:val="single"/>
          <w:lang w:val="es-ES" w:eastAsia="es-ES"/>
        </w:rPr>
        <w:t>b) Instituto Politécnico Nacional.</w:t>
      </w:r>
    </w:p>
    <w:p w14:paraId="579004A3" w14:textId="77777777" w:rsidR="00851E29" w:rsidRPr="00F32E58" w:rsidRDefault="00851E29" w:rsidP="00907F25">
      <w:pPr>
        <w:spacing w:after="240" w:line="360" w:lineRule="auto"/>
        <w:ind w:left="851" w:right="900"/>
        <w:jc w:val="both"/>
        <w:rPr>
          <w:rFonts w:ascii="ITC Avant Garde" w:eastAsia="Times New Roman" w:hAnsi="ITC Avant Garde" w:cs="Arial"/>
          <w:b/>
          <w:i/>
          <w:sz w:val="20"/>
          <w:u w:val="single"/>
          <w:lang w:val="es-ES" w:eastAsia="es-ES"/>
        </w:rPr>
      </w:pPr>
      <w:r w:rsidRPr="00F32E58">
        <w:rPr>
          <w:rFonts w:ascii="ITC Avant Garde" w:eastAsia="Times New Roman" w:hAnsi="ITC Avant Garde" w:cs="Arial"/>
          <w:b/>
          <w:i/>
          <w:sz w:val="20"/>
          <w:u w:val="single"/>
          <w:lang w:val="es-ES" w:eastAsia="es-ES"/>
        </w:rPr>
        <w:t>Canal 11 (junto con el canal multiprogramado 11.2)</w:t>
      </w:r>
    </w:p>
    <w:p w14:paraId="4B0EC099" w14:textId="77777777"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Satélite: SATMEX 6</w:t>
      </w:r>
    </w:p>
    <w:p w14:paraId="0FFF9031" w14:textId="77777777"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Transpondedor: 6C1</w:t>
      </w:r>
    </w:p>
    <w:p w14:paraId="5A4B5CC6" w14:textId="77777777"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Compresión: DVBS2</w:t>
      </w:r>
    </w:p>
    <w:p w14:paraId="183301E2" w14:textId="77777777"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Modulación: 8PSK</w:t>
      </w:r>
    </w:p>
    <w:p w14:paraId="77DBE86E" w14:textId="77777777"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FEC: 2/3</w:t>
      </w:r>
    </w:p>
    <w:p w14:paraId="4A70C00B" w14:textId="77777777"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Frecuencia: 3,828.95 MHz</w:t>
      </w:r>
    </w:p>
    <w:p w14:paraId="6284380A" w14:textId="77777777"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Polarización de Bajada: Horizontal</w:t>
      </w:r>
    </w:p>
    <w:p w14:paraId="0566D3DE" w14:textId="77777777"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Programa Principal: 0001</w:t>
      </w:r>
    </w:p>
    <w:p w14:paraId="54DAA544" w14:textId="77777777" w:rsidR="00851E29" w:rsidRPr="00F32E58"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Programa Secundario: 0002</w:t>
      </w:r>
    </w:p>
    <w:p w14:paraId="132B06AA" w14:textId="77777777" w:rsidR="00E2222D" w:rsidRDefault="00851E29" w:rsidP="00907F25">
      <w:pPr>
        <w:spacing w:after="240" w:line="360" w:lineRule="auto"/>
        <w:ind w:left="851" w:right="900"/>
        <w:jc w:val="both"/>
        <w:rPr>
          <w:rFonts w:ascii="ITC Avant Garde" w:eastAsia="Times New Roman" w:hAnsi="ITC Avant Garde" w:cs="Arial"/>
          <w:i/>
          <w:sz w:val="20"/>
          <w:lang w:val="es-ES" w:eastAsia="es-ES"/>
        </w:rPr>
      </w:pPr>
      <w:r w:rsidRPr="00F32E58">
        <w:rPr>
          <w:rFonts w:ascii="ITC Avant Garde" w:eastAsia="Times New Roman" w:hAnsi="ITC Avant Garde" w:cs="Arial"/>
          <w:i/>
          <w:sz w:val="20"/>
          <w:lang w:val="es-ES" w:eastAsia="es-ES"/>
        </w:rPr>
        <w:t>(…)”</w:t>
      </w:r>
    </w:p>
    <w:p w14:paraId="6CE63DD2" w14:textId="77777777" w:rsidR="00E2222D" w:rsidRDefault="002B5563" w:rsidP="00907F25">
      <w:pPr>
        <w:spacing w:after="240" w:line="360" w:lineRule="auto"/>
        <w:jc w:val="both"/>
        <w:rPr>
          <w:rFonts w:ascii="ITC Avant Garde" w:hAnsi="ITC Avant Garde" w:cs="Arial"/>
          <w:lang w:val="es-ES"/>
        </w:rPr>
      </w:pPr>
      <w:r w:rsidRPr="00B215CD">
        <w:rPr>
          <w:rFonts w:ascii="ITC Avant Garde" w:eastAsia="ヒラギノ角ゴ Pro W3" w:hAnsi="ITC Avant Garde"/>
          <w:color w:val="000000"/>
          <w:lang w:eastAsia="es-ES"/>
        </w:rPr>
        <w:t xml:space="preserve">En virtud de lo anterior y </w:t>
      </w:r>
      <w:r w:rsidR="00851E29" w:rsidRPr="00B215CD">
        <w:rPr>
          <w:rFonts w:ascii="ITC Avant Garde" w:eastAsia="ヒラギノ角ゴ Pro W3" w:hAnsi="ITC Avant Garde"/>
          <w:color w:val="000000"/>
          <w:lang w:eastAsia="es-ES"/>
        </w:rPr>
        <w:t xml:space="preserve">de lo observado por </w:t>
      </w:r>
      <w:r w:rsidR="00E05EEB">
        <w:rPr>
          <w:rFonts w:ascii="ITC Avant Garde" w:eastAsia="ヒラギノ角ゴ Pro W3" w:hAnsi="ITC Avant Garde"/>
          <w:b/>
          <w:color w:val="000000"/>
          <w:lang w:eastAsia="es-ES"/>
        </w:rPr>
        <w:t>LOS VERIFICADORES</w:t>
      </w:r>
      <w:r w:rsidRPr="00B215CD">
        <w:rPr>
          <w:rFonts w:ascii="ITC Avant Garde" w:eastAsia="ヒラギノ角ゴ Pro W3" w:hAnsi="ITC Avant Garde"/>
          <w:color w:val="000000"/>
          <w:lang w:eastAsia="es-ES"/>
        </w:rPr>
        <w:t xml:space="preserve"> </w:t>
      </w:r>
      <w:r w:rsidR="006A7614" w:rsidRPr="00B215CD">
        <w:rPr>
          <w:rFonts w:ascii="ITC Avant Garde" w:eastAsia="Times New Roman" w:hAnsi="ITC Avant Garde"/>
          <w:bCs/>
          <w:color w:val="000000"/>
          <w:lang w:eastAsia="es-MX"/>
        </w:rPr>
        <w:t>durante la visita de inspección-verificación</w:t>
      </w:r>
      <w:r w:rsidR="00247945" w:rsidRPr="00B215CD">
        <w:rPr>
          <w:rFonts w:ascii="ITC Avant Garde" w:eastAsia="Times New Roman" w:hAnsi="ITC Avant Garde"/>
          <w:bCs/>
          <w:color w:val="000000"/>
          <w:lang w:eastAsia="es-MX"/>
        </w:rPr>
        <w:t xml:space="preserve">, </w:t>
      </w:r>
      <w:r w:rsidR="000D0AA6" w:rsidRPr="005F039E">
        <w:rPr>
          <w:rFonts w:ascii="ITC Avant Garde" w:eastAsia="Times New Roman" w:hAnsi="ITC Avant Garde"/>
          <w:bCs/>
          <w:color w:val="000000"/>
          <w:lang w:eastAsia="es-MX"/>
        </w:rPr>
        <w:t xml:space="preserve">se </w:t>
      </w:r>
      <w:r w:rsidR="00A15C5B">
        <w:rPr>
          <w:rFonts w:ascii="ITC Avant Garde" w:eastAsia="Times New Roman" w:hAnsi="ITC Avant Garde"/>
          <w:bCs/>
          <w:color w:val="000000"/>
          <w:lang w:eastAsia="es-MX"/>
        </w:rPr>
        <w:t xml:space="preserve">concluyó </w:t>
      </w:r>
      <w:r w:rsidR="000D0AA6">
        <w:rPr>
          <w:rFonts w:ascii="ITC Avant Garde" w:eastAsia="Times New Roman" w:hAnsi="ITC Avant Garde"/>
          <w:bCs/>
          <w:color w:val="000000"/>
          <w:lang w:eastAsia="es-MX"/>
        </w:rPr>
        <w:t xml:space="preserve">que </w:t>
      </w:r>
      <w:r w:rsidR="00BB0DF9">
        <w:rPr>
          <w:rFonts w:ascii="ITC Avant Garde" w:eastAsia="Times New Roman" w:hAnsi="ITC Avant Garde"/>
          <w:b/>
          <w:bCs/>
          <w:color w:val="000000"/>
          <w:lang w:eastAsia="es-MX"/>
        </w:rPr>
        <w:t>MEGA CABLE</w:t>
      </w:r>
      <w:r w:rsidR="00A15C5B" w:rsidRPr="00B215CD">
        <w:rPr>
          <w:rFonts w:ascii="ITC Avant Garde" w:eastAsia="Times New Roman" w:hAnsi="ITC Avant Garde"/>
          <w:bCs/>
          <w:color w:val="000000"/>
          <w:lang w:eastAsia="es-MX"/>
        </w:rPr>
        <w:t xml:space="preserve"> </w:t>
      </w:r>
      <w:r w:rsidR="00851E29" w:rsidRPr="00B215CD">
        <w:rPr>
          <w:rFonts w:ascii="ITC Avant Garde" w:eastAsia="Times New Roman" w:hAnsi="ITC Avant Garde"/>
          <w:bCs/>
          <w:color w:val="000000"/>
          <w:lang w:eastAsia="es-MX"/>
        </w:rPr>
        <w:t xml:space="preserve">no </w:t>
      </w:r>
      <w:r w:rsidR="00851E29">
        <w:rPr>
          <w:rFonts w:ascii="ITC Avant Garde" w:hAnsi="ITC Avant Garde" w:cs="Arial"/>
          <w:lang w:val="es-ES"/>
        </w:rPr>
        <w:t xml:space="preserve">retransmitía la señal del </w:t>
      </w:r>
      <w:r w:rsidR="00851E29" w:rsidRPr="00385721">
        <w:rPr>
          <w:rFonts w:ascii="ITC Avant Garde" w:hAnsi="ITC Avant Garde" w:cs="Arial"/>
          <w:lang w:val="es-ES"/>
        </w:rPr>
        <w:t xml:space="preserve">canal multiprogramado </w:t>
      </w:r>
      <w:r w:rsidR="00851E29" w:rsidRPr="00953D02">
        <w:rPr>
          <w:rFonts w:ascii="ITC Avant Garde" w:hAnsi="ITC Avant Garde" w:cs="Arial"/>
          <w:b/>
          <w:lang w:val="es-ES"/>
        </w:rPr>
        <w:t xml:space="preserve">11.2 Once </w:t>
      </w:r>
      <w:r w:rsidR="00953D02" w:rsidRPr="00953D02">
        <w:rPr>
          <w:rFonts w:ascii="ITC Avant Garde" w:hAnsi="ITC Avant Garde" w:cs="Arial"/>
          <w:b/>
          <w:lang w:val="es-ES"/>
        </w:rPr>
        <w:t>Niños</w:t>
      </w:r>
      <w:r w:rsidR="00851E29" w:rsidRPr="00385721">
        <w:rPr>
          <w:rFonts w:ascii="ITC Avant Garde" w:hAnsi="ITC Avant Garde" w:cs="Arial"/>
          <w:lang w:val="es-ES"/>
        </w:rPr>
        <w:t xml:space="preserve">. </w:t>
      </w:r>
    </w:p>
    <w:p w14:paraId="0FC154BC" w14:textId="77777777" w:rsidR="00E2222D" w:rsidRDefault="006A7614" w:rsidP="00907F25">
      <w:pPr>
        <w:spacing w:after="240" w:line="360" w:lineRule="auto"/>
        <w:jc w:val="both"/>
        <w:rPr>
          <w:rFonts w:ascii="ITC Avant Garde" w:eastAsia="Times New Roman" w:hAnsi="ITC Avant Garde"/>
          <w:bCs/>
          <w:color w:val="000000"/>
          <w:lang w:eastAsia="es-MX"/>
        </w:rPr>
      </w:pPr>
      <w:r w:rsidRPr="00385721">
        <w:rPr>
          <w:rFonts w:ascii="ITC Avant Garde" w:eastAsia="Times New Roman" w:hAnsi="ITC Avant Garde"/>
          <w:bCs/>
          <w:color w:val="000000"/>
          <w:lang w:eastAsia="es-MX"/>
        </w:rPr>
        <w:t xml:space="preserve">Lo anterior, toda vez que </w:t>
      </w:r>
      <w:r w:rsidR="00385721" w:rsidRPr="00385721">
        <w:rPr>
          <w:rFonts w:ascii="ITC Avant Garde" w:eastAsia="Times New Roman" w:hAnsi="ITC Avant Garde"/>
          <w:bCs/>
          <w:color w:val="000000"/>
          <w:lang w:eastAsia="es-MX"/>
        </w:rPr>
        <w:t xml:space="preserve">si bien es cierto </w:t>
      </w:r>
      <w:r w:rsidR="00E05EEB">
        <w:rPr>
          <w:rFonts w:ascii="ITC Avant Garde" w:eastAsia="Times New Roman" w:hAnsi="ITC Avant Garde"/>
          <w:b/>
          <w:bCs/>
          <w:color w:val="000000"/>
          <w:lang w:eastAsia="es-MX"/>
        </w:rPr>
        <w:t>MEGA CABLE</w:t>
      </w:r>
      <w:r w:rsidR="0094452B" w:rsidRPr="00385721">
        <w:rPr>
          <w:rFonts w:ascii="ITC Avant Garde" w:eastAsia="Times New Roman" w:hAnsi="ITC Avant Garde"/>
          <w:b/>
          <w:bCs/>
          <w:color w:val="000000"/>
          <w:lang w:eastAsia="es-MX"/>
        </w:rPr>
        <w:t xml:space="preserve"> </w:t>
      </w:r>
      <w:r w:rsidR="00385721" w:rsidRPr="00385721">
        <w:rPr>
          <w:rFonts w:ascii="ITC Avant Garde" w:eastAsia="Times New Roman" w:hAnsi="ITC Avant Garde"/>
          <w:bCs/>
          <w:color w:val="000000"/>
          <w:lang w:eastAsia="es-MX"/>
        </w:rPr>
        <w:t>retransmitía las señales de las Instituciones Públicas Federales también lo es que de</w:t>
      </w:r>
      <w:r w:rsidR="00A15C5B">
        <w:rPr>
          <w:rFonts w:ascii="ITC Avant Garde" w:eastAsia="Times New Roman" w:hAnsi="ITC Avant Garde"/>
          <w:bCs/>
          <w:color w:val="000000"/>
          <w:lang w:eastAsia="es-MX"/>
        </w:rPr>
        <w:t xml:space="preserve"> la</w:t>
      </w:r>
      <w:r w:rsidR="00385721" w:rsidRPr="00385721">
        <w:rPr>
          <w:rFonts w:ascii="ITC Avant Garde" w:eastAsia="Times New Roman" w:hAnsi="ITC Avant Garde"/>
          <w:bCs/>
          <w:color w:val="000000"/>
          <w:lang w:eastAsia="es-MX"/>
        </w:rPr>
        <w:t xml:space="preserve"> manifestación expresa </w:t>
      </w:r>
      <w:r w:rsidR="00A15C5B">
        <w:rPr>
          <w:rFonts w:ascii="ITC Avant Garde" w:eastAsia="Times New Roman" w:hAnsi="ITC Avant Garde"/>
          <w:bCs/>
          <w:color w:val="000000"/>
          <w:lang w:eastAsia="es-MX"/>
        </w:rPr>
        <w:t>de quien atendió la diligencia</w:t>
      </w:r>
      <w:r w:rsidR="00731671">
        <w:rPr>
          <w:rFonts w:ascii="ITC Avant Garde" w:eastAsia="Times New Roman" w:hAnsi="ITC Avant Garde"/>
          <w:bCs/>
          <w:color w:val="000000"/>
          <w:lang w:eastAsia="es-MX"/>
        </w:rPr>
        <w:t xml:space="preserve"> y de lo que se observó en la propia diligencia</w:t>
      </w:r>
      <w:r w:rsidR="00A15C5B">
        <w:rPr>
          <w:rFonts w:ascii="ITC Avant Garde" w:eastAsia="Times New Roman" w:hAnsi="ITC Avant Garde"/>
          <w:bCs/>
          <w:color w:val="000000"/>
          <w:lang w:eastAsia="es-MX"/>
        </w:rPr>
        <w:t xml:space="preserve">, </w:t>
      </w:r>
      <w:r w:rsidR="00385721" w:rsidRPr="00385721">
        <w:rPr>
          <w:rFonts w:ascii="ITC Avant Garde" w:eastAsia="Times New Roman" w:hAnsi="ITC Avant Garde"/>
          <w:bCs/>
          <w:color w:val="000000"/>
          <w:lang w:eastAsia="es-MX"/>
        </w:rPr>
        <w:t xml:space="preserve">se pudo constatar por </w:t>
      </w:r>
      <w:r w:rsidRPr="00385721">
        <w:rPr>
          <w:rFonts w:ascii="ITC Avant Garde" w:eastAsia="Times New Roman" w:hAnsi="ITC Avant Garde"/>
          <w:bCs/>
          <w:color w:val="000000"/>
          <w:lang w:eastAsia="es-MX"/>
        </w:rPr>
        <w:t xml:space="preserve"> </w:t>
      </w:r>
      <w:r w:rsidRPr="00385721">
        <w:rPr>
          <w:rFonts w:ascii="ITC Avant Garde" w:eastAsia="Times New Roman" w:hAnsi="ITC Avant Garde"/>
          <w:b/>
          <w:bCs/>
          <w:color w:val="000000"/>
          <w:lang w:eastAsia="es-MX"/>
        </w:rPr>
        <w:t>LOS VERIFICADORES</w:t>
      </w:r>
      <w:r w:rsidR="00A15C5B">
        <w:rPr>
          <w:rFonts w:ascii="ITC Avant Garde" w:eastAsia="Times New Roman" w:hAnsi="ITC Avant Garde"/>
          <w:bCs/>
          <w:color w:val="000000"/>
          <w:lang w:eastAsia="es-MX"/>
        </w:rPr>
        <w:t xml:space="preserve"> que</w:t>
      </w:r>
      <w:r w:rsidR="00731671">
        <w:rPr>
          <w:rFonts w:ascii="ITC Avant Garde" w:eastAsia="Times New Roman" w:hAnsi="ITC Avant Garde"/>
          <w:bCs/>
          <w:color w:val="000000"/>
          <w:lang w:eastAsia="es-MX"/>
        </w:rPr>
        <w:t xml:space="preserve"> la concesionaria </w:t>
      </w:r>
      <w:r w:rsidR="00385721" w:rsidRPr="00385721">
        <w:rPr>
          <w:rFonts w:ascii="ITC Avant Garde" w:eastAsia="Times New Roman" w:hAnsi="ITC Avant Garde"/>
          <w:bCs/>
          <w:color w:val="000000"/>
          <w:lang w:eastAsia="es-MX"/>
        </w:rPr>
        <w:t xml:space="preserve">no retransmitía la señal </w:t>
      </w:r>
      <w:r w:rsidR="00385721" w:rsidRPr="00385721">
        <w:rPr>
          <w:rFonts w:ascii="ITC Avant Garde" w:eastAsia="Times New Roman" w:hAnsi="ITC Avant Garde"/>
          <w:bCs/>
          <w:color w:val="000000"/>
          <w:lang w:eastAsia="es-MX"/>
        </w:rPr>
        <w:lastRenderedPageBreak/>
        <w:t xml:space="preserve">multiprogramada del canal </w:t>
      </w:r>
      <w:r w:rsidR="00385721" w:rsidRPr="00953D02">
        <w:rPr>
          <w:rFonts w:ascii="ITC Avant Garde" w:eastAsia="Times New Roman" w:hAnsi="ITC Avant Garde"/>
          <w:b/>
          <w:bCs/>
          <w:color w:val="000000"/>
          <w:lang w:eastAsia="es-MX"/>
        </w:rPr>
        <w:t>11.2</w:t>
      </w:r>
      <w:r w:rsidR="00385721" w:rsidRPr="00385721">
        <w:rPr>
          <w:rFonts w:ascii="ITC Avant Garde" w:eastAsia="Times New Roman" w:hAnsi="ITC Avant Garde"/>
          <w:bCs/>
          <w:color w:val="000000"/>
          <w:lang w:eastAsia="es-MX"/>
        </w:rPr>
        <w:t xml:space="preserve"> </w:t>
      </w:r>
      <w:r w:rsidR="00385721" w:rsidRPr="00310D70">
        <w:rPr>
          <w:rFonts w:ascii="ITC Avant Garde" w:eastAsia="Times New Roman" w:hAnsi="ITC Avant Garde"/>
          <w:b/>
          <w:bCs/>
          <w:color w:val="000000"/>
          <w:lang w:eastAsia="es-MX"/>
        </w:rPr>
        <w:t>Once Niños</w:t>
      </w:r>
      <w:r w:rsidR="00385721" w:rsidRPr="00385721">
        <w:rPr>
          <w:rFonts w:ascii="ITC Avant Garde" w:eastAsia="Times New Roman" w:hAnsi="ITC Avant Garde"/>
          <w:bCs/>
          <w:color w:val="000000"/>
          <w:lang w:eastAsia="es-MX"/>
        </w:rPr>
        <w:t xml:space="preserve"> del Instituto Politécnico Nacional, Institución Pública Federal que se </w:t>
      </w:r>
      <w:r w:rsidR="00A15C5B">
        <w:rPr>
          <w:rFonts w:ascii="ITC Avant Garde" w:eastAsia="Times New Roman" w:hAnsi="ITC Avant Garde"/>
          <w:bCs/>
          <w:color w:val="000000"/>
          <w:lang w:eastAsia="es-MX"/>
        </w:rPr>
        <w:t xml:space="preserve">encuentra </w:t>
      </w:r>
      <w:r w:rsidR="00385721" w:rsidRPr="00385721">
        <w:rPr>
          <w:rFonts w:ascii="ITC Avant Garde" w:eastAsia="Times New Roman" w:hAnsi="ITC Avant Garde"/>
          <w:bCs/>
          <w:color w:val="000000"/>
          <w:lang w:eastAsia="es-MX"/>
        </w:rPr>
        <w:t>contemplada en</w:t>
      </w:r>
      <w:r w:rsidR="00893B24">
        <w:rPr>
          <w:rFonts w:ascii="ITC Avant Garde" w:eastAsia="Times New Roman" w:hAnsi="ITC Avant Garde"/>
          <w:bCs/>
          <w:color w:val="000000"/>
          <w:lang w:eastAsia="es-MX"/>
        </w:rPr>
        <w:t xml:space="preserve"> los</w:t>
      </w:r>
      <w:r w:rsidR="00385721" w:rsidRPr="00736C36">
        <w:rPr>
          <w:rFonts w:ascii="ITC Avant Garde" w:eastAsia="Times New Roman" w:hAnsi="ITC Avant Garde"/>
          <w:b/>
          <w:bCs/>
          <w:color w:val="000000"/>
          <w:lang w:eastAsia="es-MX"/>
        </w:rPr>
        <w:t xml:space="preserve"> LINEAMIENTOS</w:t>
      </w:r>
      <w:r w:rsidR="00385721" w:rsidRPr="00385721">
        <w:rPr>
          <w:rFonts w:ascii="ITC Avant Garde" w:eastAsia="Times New Roman" w:hAnsi="ITC Avant Garde"/>
          <w:bCs/>
          <w:color w:val="000000"/>
          <w:lang w:eastAsia="es-MX"/>
        </w:rPr>
        <w:t xml:space="preserve"> y sus respectivas modificaciones</w:t>
      </w:r>
      <w:r w:rsidR="00A15C5B">
        <w:rPr>
          <w:rFonts w:ascii="ITC Avant Garde" w:eastAsia="Times New Roman" w:hAnsi="ITC Avant Garde"/>
          <w:bCs/>
          <w:color w:val="000000"/>
          <w:lang w:eastAsia="es-MX"/>
        </w:rPr>
        <w:t xml:space="preserve">, así como en el </w:t>
      </w:r>
      <w:r w:rsidR="00893B24">
        <w:rPr>
          <w:rFonts w:ascii="ITC Avant Garde" w:eastAsia="Times New Roman" w:hAnsi="ITC Avant Garde"/>
          <w:b/>
          <w:bCs/>
          <w:color w:val="000000"/>
          <w:lang w:eastAsia="es-MX"/>
        </w:rPr>
        <w:t>LISTADO</w:t>
      </w:r>
      <w:r w:rsidR="00A15C5B">
        <w:rPr>
          <w:rFonts w:ascii="ITC Avant Garde" w:eastAsia="Times New Roman" w:hAnsi="ITC Avant Garde"/>
          <w:b/>
          <w:bCs/>
          <w:color w:val="000000"/>
          <w:lang w:eastAsia="es-MX"/>
        </w:rPr>
        <w:t xml:space="preserve"> </w:t>
      </w:r>
      <w:r w:rsidR="00A15C5B">
        <w:rPr>
          <w:rFonts w:ascii="ITC Avant Garde" w:eastAsia="Times New Roman" w:hAnsi="ITC Avant Garde"/>
          <w:bCs/>
          <w:color w:val="000000"/>
          <w:lang w:eastAsia="es-MX"/>
        </w:rPr>
        <w:t xml:space="preserve">y sus </w:t>
      </w:r>
      <w:r w:rsidR="00893B24">
        <w:rPr>
          <w:rFonts w:ascii="ITC Avant Garde" w:hAnsi="ITC Avant Garde"/>
          <w:b/>
        </w:rPr>
        <w:t>ACTUALIZACIONES</w:t>
      </w:r>
      <w:r w:rsidR="00385721" w:rsidRPr="00385721">
        <w:rPr>
          <w:rFonts w:ascii="ITC Avant Garde" w:eastAsia="Times New Roman" w:hAnsi="ITC Avant Garde"/>
          <w:bCs/>
          <w:color w:val="000000"/>
          <w:lang w:eastAsia="es-MX"/>
        </w:rPr>
        <w:t xml:space="preserve">, </w:t>
      </w:r>
      <w:r w:rsidR="00A15C5B">
        <w:rPr>
          <w:rFonts w:ascii="ITC Avant Garde" w:eastAsia="Times New Roman" w:hAnsi="ITC Avant Garde"/>
          <w:bCs/>
          <w:color w:val="000000"/>
          <w:lang w:eastAsia="es-MX"/>
        </w:rPr>
        <w:t xml:space="preserve">por lo que </w:t>
      </w:r>
      <w:r w:rsidR="00247945" w:rsidRPr="00385721">
        <w:rPr>
          <w:rFonts w:ascii="ITC Avant Garde" w:eastAsia="Times New Roman" w:hAnsi="ITC Avant Garde"/>
          <w:bCs/>
          <w:color w:val="000000"/>
          <w:lang w:eastAsia="es-MX"/>
        </w:rPr>
        <w:t xml:space="preserve">propuso sancionar al concesionario en términos del artículo 298 de la </w:t>
      </w:r>
      <w:r w:rsidR="00250345">
        <w:rPr>
          <w:rFonts w:ascii="ITC Avant Garde" w:eastAsia="Times New Roman" w:hAnsi="ITC Avant Garde"/>
          <w:b/>
          <w:bCs/>
          <w:color w:val="000000"/>
          <w:lang w:eastAsia="es-MX"/>
        </w:rPr>
        <w:t>LFTR</w:t>
      </w:r>
      <w:r w:rsidR="00736C36">
        <w:rPr>
          <w:rFonts w:ascii="ITC Avant Garde" w:eastAsia="Times New Roman" w:hAnsi="ITC Avant Garde"/>
          <w:b/>
          <w:bCs/>
          <w:color w:val="000000"/>
          <w:lang w:eastAsia="es-MX"/>
        </w:rPr>
        <w:t>.</w:t>
      </w:r>
    </w:p>
    <w:p w14:paraId="5159842D" w14:textId="77777777" w:rsidR="00E2222D" w:rsidRDefault="00EE5819" w:rsidP="00907F25">
      <w:pPr>
        <w:spacing w:after="240" w:line="360" w:lineRule="auto"/>
        <w:jc w:val="both"/>
        <w:rPr>
          <w:rFonts w:ascii="ITC Avant Garde" w:eastAsia="Times New Roman" w:hAnsi="ITC Avant Garde"/>
          <w:bCs/>
          <w:color w:val="000000"/>
          <w:lang w:eastAsia="es-MX"/>
        </w:rPr>
      </w:pPr>
      <w:r w:rsidRPr="00DE6113">
        <w:rPr>
          <w:rFonts w:ascii="ITC Avant Garde" w:eastAsia="Times New Roman" w:hAnsi="ITC Avant Garde"/>
          <w:bCs/>
          <w:color w:val="000000"/>
          <w:lang w:eastAsia="es-MX"/>
        </w:rPr>
        <w:t>Al respecto, e</w:t>
      </w:r>
      <w:r w:rsidR="006A7614" w:rsidRPr="00DE6113">
        <w:rPr>
          <w:rFonts w:ascii="ITC Avant Garde" w:eastAsia="Times New Roman" w:hAnsi="ITC Avant Garde"/>
          <w:bCs/>
          <w:color w:val="000000"/>
          <w:lang w:eastAsia="es-MX"/>
        </w:rPr>
        <w:t xml:space="preserve">l artículo 298, </w:t>
      </w:r>
      <w:r w:rsidR="006A7614" w:rsidRPr="00DE6113">
        <w:rPr>
          <w:rFonts w:ascii="ITC Avant Garde" w:hAnsi="ITC Avant Garde" w:cs="Tahoma"/>
        </w:rPr>
        <w:t>apartado B), fracción I</w:t>
      </w:r>
      <w:r w:rsidR="00851E29">
        <w:rPr>
          <w:rFonts w:ascii="ITC Avant Garde" w:hAnsi="ITC Avant Garde" w:cs="Tahoma"/>
        </w:rPr>
        <w:t xml:space="preserve">V </w:t>
      </w:r>
      <w:r w:rsidR="006A7614" w:rsidRPr="00DE6113">
        <w:rPr>
          <w:rFonts w:ascii="ITC Avant Garde" w:eastAsia="Times New Roman" w:hAnsi="ITC Avant Garde"/>
          <w:bCs/>
          <w:color w:val="000000"/>
          <w:lang w:eastAsia="es-MX"/>
        </w:rPr>
        <w:t xml:space="preserve">de la </w:t>
      </w:r>
      <w:r w:rsidR="00250345">
        <w:rPr>
          <w:rFonts w:ascii="ITC Avant Garde" w:eastAsia="Times New Roman" w:hAnsi="ITC Avant Garde"/>
          <w:b/>
          <w:bCs/>
          <w:color w:val="000000"/>
          <w:lang w:eastAsia="es-MX"/>
        </w:rPr>
        <w:t>LFTR</w:t>
      </w:r>
      <w:r w:rsidR="006A7614" w:rsidRPr="00DE6113">
        <w:rPr>
          <w:rFonts w:ascii="ITC Avant Garde" w:eastAsia="Times New Roman" w:hAnsi="ITC Avant Garde"/>
          <w:bCs/>
          <w:color w:val="000000"/>
          <w:lang w:eastAsia="es-MX"/>
        </w:rPr>
        <w:t>, señala:</w:t>
      </w:r>
    </w:p>
    <w:p w14:paraId="4D7BA838" w14:textId="193EDCC9" w:rsidR="00E2222D" w:rsidRDefault="006A7614" w:rsidP="00907F25">
      <w:pPr>
        <w:spacing w:after="240" w:line="360" w:lineRule="auto"/>
        <w:ind w:left="851" w:right="900"/>
        <w:jc w:val="both"/>
        <w:rPr>
          <w:rFonts w:ascii="ITC Avant Garde" w:hAnsi="ITC Avant Garde"/>
          <w:i/>
          <w:color w:val="000000"/>
          <w:sz w:val="20"/>
          <w:lang w:val="x-none"/>
        </w:rPr>
      </w:pPr>
      <w:r w:rsidRPr="00F32E58">
        <w:rPr>
          <w:rFonts w:ascii="ITC Avant Garde" w:hAnsi="ITC Avant Garde"/>
          <w:i/>
          <w:color w:val="000000"/>
          <w:sz w:val="20"/>
          <w:lang w:val="x-none"/>
        </w:rPr>
        <w:t>“</w:t>
      </w:r>
      <w:r w:rsidRPr="00F32E58">
        <w:rPr>
          <w:rFonts w:ascii="ITC Avant Garde" w:hAnsi="ITC Avant Garde"/>
          <w:b/>
          <w:i/>
          <w:color w:val="000000"/>
          <w:sz w:val="20"/>
          <w:lang w:val="x-none"/>
        </w:rPr>
        <w:t>Artículo 298.</w:t>
      </w:r>
      <w:r w:rsidRPr="00F32E58">
        <w:rPr>
          <w:rFonts w:ascii="ITC Avant Garde" w:hAnsi="ITC Avant Garde"/>
          <w:i/>
          <w:color w:val="000000"/>
          <w:sz w:val="20"/>
          <w:lang w:val="x-none"/>
        </w:rPr>
        <w:t xml:space="preserve"> Las infracciones a lo dispuesto en esta Ley </w:t>
      </w:r>
      <w:r w:rsidRPr="00F32E58">
        <w:rPr>
          <w:rFonts w:ascii="ITC Avant Garde" w:hAnsi="ITC Avant Garde"/>
          <w:b/>
          <w:i/>
          <w:color w:val="000000"/>
          <w:sz w:val="20"/>
          <w:u w:val="single"/>
          <w:lang w:val="x-none"/>
        </w:rPr>
        <w:t>y a las disposiciones que deriven de ella</w:t>
      </w:r>
      <w:r w:rsidRPr="00F32E58">
        <w:rPr>
          <w:rFonts w:ascii="ITC Avant Garde" w:hAnsi="ITC Avant Garde"/>
          <w:i/>
          <w:color w:val="000000"/>
          <w:sz w:val="20"/>
          <w:lang w:val="x-none"/>
        </w:rPr>
        <w:t>, se sancionarán por el Instituto de conformidad con lo siguiente:</w:t>
      </w:r>
      <w:r w:rsidRPr="00F32E58">
        <w:rPr>
          <w:rFonts w:ascii="ITC Avant Garde" w:hAnsi="ITC Avant Garde"/>
          <w:i/>
          <w:color w:val="000000"/>
          <w:sz w:val="20"/>
          <w:lang w:val="x-none"/>
        </w:rPr>
        <w:cr/>
        <w:t>…</w:t>
      </w:r>
    </w:p>
    <w:p w14:paraId="0A4ED5F5" w14:textId="72309972" w:rsidR="006A7614" w:rsidRPr="00F32E58" w:rsidRDefault="006A7614" w:rsidP="00907F25">
      <w:pPr>
        <w:spacing w:after="240" w:line="360" w:lineRule="auto"/>
        <w:ind w:left="851" w:right="900"/>
        <w:jc w:val="both"/>
        <w:rPr>
          <w:rFonts w:ascii="ITC Avant Garde" w:hAnsi="ITC Avant Garde"/>
          <w:i/>
          <w:color w:val="000000"/>
          <w:sz w:val="20"/>
          <w:lang w:val="x-none"/>
        </w:rPr>
      </w:pPr>
      <w:r w:rsidRPr="00F32E58">
        <w:rPr>
          <w:rFonts w:ascii="ITC Avant Garde" w:hAnsi="ITC Avant Garde"/>
          <w:i/>
          <w:color w:val="000000"/>
          <w:sz w:val="20"/>
          <w:lang w:val="x-none"/>
        </w:rPr>
        <w:t xml:space="preserve">B). Con multa por el equivalente de </w:t>
      </w:r>
      <w:r w:rsidRPr="00F32E58">
        <w:rPr>
          <w:rFonts w:ascii="ITC Avant Garde" w:hAnsi="ITC Avant Garde"/>
          <w:b/>
          <w:i/>
          <w:color w:val="000000"/>
          <w:sz w:val="20"/>
          <w:u w:val="single"/>
          <w:lang w:val="x-none"/>
        </w:rPr>
        <w:t>1% hasta 3% de los ingresos del concesionario o autorizado</w:t>
      </w:r>
      <w:r w:rsidRPr="00F32E58">
        <w:rPr>
          <w:rFonts w:ascii="ITC Avant Garde" w:hAnsi="ITC Avant Garde"/>
          <w:i/>
          <w:color w:val="000000"/>
          <w:sz w:val="20"/>
          <w:lang w:val="x-none"/>
        </w:rPr>
        <w:t xml:space="preserve"> por:</w:t>
      </w:r>
    </w:p>
    <w:p w14:paraId="11FBCC4D" w14:textId="77777777" w:rsidR="00E2222D" w:rsidRDefault="006A7614" w:rsidP="00907F25">
      <w:pPr>
        <w:spacing w:after="240" w:line="360" w:lineRule="auto"/>
        <w:ind w:left="851" w:right="900"/>
        <w:jc w:val="both"/>
        <w:rPr>
          <w:rFonts w:ascii="ITC Avant Garde" w:hAnsi="ITC Avant Garde"/>
          <w:i/>
          <w:color w:val="000000"/>
          <w:sz w:val="20"/>
          <w:lang w:val="x-none"/>
        </w:rPr>
      </w:pPr>
      <w:r w:rsidRPr="00F32E58">
        <w:rPr>
          <w:rFonts w:ascii="ITC Avant Garde" w:hAnsi="ITC Avant Garde"/>
          <w:i/>
          <w:color w:val="000000"/>
          <w:sz w:val="20"/>
        </w:rPr>
        <w:t>…</w:t>
      </w:r>
    </w:p>
    <w:p w14:paraId="45E19016" w14:textId="77777777" w:rsidR="00E2222D" w:rsidRDefault="000D0AA6" w:rsidP="00907F25">
      <w:pPr>
        <w:spacing w:after="240" w:line="360" w:lineRule="auto"/>
        <w:ind w:left="851" w:right="900"/>
        <w:jc w:val="both"/>
        <w:rPr>
          <w:rFonts w:ascii="ITC Avant Garde" w:hAnsi="ITC Avant Garde"/>
          <w:i/>
          <w:color w:val="000000"/>
        </w:rPr>
      </w:pPr>
      <w:r w:rsidRPr="00F32E58">
        <w:rPr>
          <w:rFonts w:ascii="ITC Avant Garde" w:hAnsi="ITC Avant Garde"/>
          <w:b/>
          <w:i/>
          <w:color w:val="000000"/>
          <w:sz w:val="20"/>
        </w:rPr>
        <w:t>IV</w:t>
      </w:r>
      <w:r w:rsidRPr="00F32E58">
        <w:rPr>
          <w:rFonts w:ascii="ITC Avant Garde" w:hAnsi="ITC Avant Garde"/>
          <w:i/>
          <w:color w:val="000000"/>
          <w:sz w:val="20"/>
        </w:rPr>
        <w:t xml:space="preserve"> </w:t>
      </w:r>
      <w:r w:rsidRPr="00F32E58">
        <w:rPr>
          <w:rFonts w:ascii="ITC Avant Garde" w:hAnsi="ITC Avant Garde"/>
          <w:b/>
          <w:i/>
          <w:color w:val="000000"/>
          <w:sz w:val="20"/>
          <w:u w:val="single"/>
        </w:rPr>
        <w:t>Otras violaciones a esta Ley, a los Reglamentos, a las disposiciones administrativas, planes técnicos fundamentales y demás disposiciones emitidas por el Instituto</w:t>
      </w:r>
      <w:r w:rsidRPr="00F32E58">
        <w:rPr>
          <w:rFonts w:ascii="ITC Avant Garde" w:hAnsi="ITC Avant Garde"/>
          <w:i/>
          <w:color w:val="000000"/>
          <w:sz w:val="20"/>
        </w:rPr>
        <w:t>; así como a las concesiones o autorizaciones que no estén expresamente contempladas en el presente capítulo.</w:t>
      </w:r>
      <w:r w:rsidRPr="00F32E58" w:rsidDel="007C229A">
        <w:rPr>
          <w:rFonts w:ascii="ITC Avant Garde" w:hAnsi="ITC Avant Garde"/>
          <w:i/>
          <w:color w:val="000000"/>
          <w:sz w:val="20"/>
        </w:rPr>
        <w:t xml:space="preserve"> </w:t>
      </w:r>
      <w:r w:rsidRPr="00F32E58">
        <w:rPr>
          <w:rFonts w:ascii="ITC Avant Garde" w:hAnsi="ITC Avant Garde"/>
          <w:i/>
          <w:color w:val="000000"/>
          <w:sz w:val="20"/>
        </w:rPr>
        <w:t>…”</w:t>
      </w:r>
    </w:p>
    <w:p w14:paraId="296B4FA4" w14:textId="77777777" w:rsidR="00E2222D" w:rsidRDefault="00EE5819" w:rsidP="00907F25">
      <w:pPr>
        <w:spacing w:after="240" w:line="360" w:lineRule="auto"/>
        <w:jc w:val="both"/>
        <w:rPr>
          <w:rFonts w:ascii="ITC Avant Garde" w:hAnsi="ITC Avant Garde"/>
          <w:color w:val="000000"/>
        </w:rPr>
      </w:pPr>
      <w:r>
        <w:rPr>
          <w:rFonts w:ascii="ITC Avant Garde" w:hAnsi="ITC Avant Garde"/>
          <w:color w:val="000000"/>
        </w:rPr>
        <w:t xml:space="preserve">En ese sentido, </w:t>
      </w:r>
      <w:r w:rsidR="006A7614" w:rsidRPr="006A7614">
        <w:rPr>
          <w:rFonts w:ascii="ITC Avant Garde" w:hAnsi="ITC Avant Garde"/>
          <w:color w:val="000000"/>
        </w:rPr>
        <w:t xml:space="preserve">la propuesta remitida por la </w:t>
      </w:r>
      <w:r w:rsidR="00893B24">
        <w:rPr>
          <w:rFonts w:ascii="ITC Avant Garde" w:hAnsi="ITC Avant Garde"/>
          <w:b/>
          <w:color w:val="000000"/>
        </w:rPr>
        <w:t>DGV</w:t>
      </w:r>
      <w:r w:rsidR="006A7614" w:rsidRPr="006A7614">
        <w:rPr>
          <w:rFonts w:ascii="ITC Avant Garde" w:hAnsi="ITC Avant Garde"/>
          <w:color w:val="000000"/>
        </w:rPr>
        <w:t xml:space="preserve"> de </w:t>
      </w:r>
      <w:r w:rsidR="00893B24">
        <w:rPr>
          <w:rFonts w:ascii="ITC Avant Garde" w:hAnsi="ITC Avant Garde"/>
          <w:color w:val="000000"/>
        </w:rPr>
        <w:t>catorce de marzo</w:t>
      </w:r>
      <w:r w:rsidR="00851E29">
        <w:rPr>
          <w:rFonts w:ascii="ITC Avant Garde" w:hAnsi="ITC Avant Garde"/>
          <w:color w:val="000000"/>
        </w:rPr>
        <w:t xml:space="preserve"> de dos mil dieciséis</w:t>
      </w:r>
      <w:r w:rsidR="003C76AB">
        <w:rPr>
          <w:rFonts w:ascii="ITC Avant Garde" w:hAnsi="ITC Avant Garde"/>
          <w:color w:val="000000"/>
        </w:rPr>
        <w:t>,</w:t>
      </w:r>
      <w:r w:rsidR="006A7614" w:rsidRPr="006A7614">
        <w:rPr>
          <w:rFonts w:ascii="ITC Avant Garde" w:hAnsi="ITC Avant Garde"/>
          <w:color w:val="000000"/>
        </w:rPr>
        <w:t xml:space="preserve"> consideró que </w:t>
      </w:r>
      <w:r w:rsidR="003C76AB">
        <w:rPr>
          <w:rFonts w:ascii="ITC Avant Garde" w:hAnsi="ITC Avant Garde"/>
          <w:b/>
          <w:color w:val="000000"/>
        </w:rPr>
        <w:t>MEGA CABLE</w:t>
      </w:r>
      <w:r w:rsidR="00D7370E">
        <w:rPr>
          <w:rFonts w:ascii="ITC Avant Garde" w:hAnsi="ITC Avant Garde"/>
          <w:b/>
          <w:color w:val="000000"/>
        </w:rPr>
        <w:t xml:space="preserve"> </w:t>
      </w:r>
      <w:r w:rsidR="00731671" w:rsidRPr="00731671">
        <w:rPr>
          <w:rFonts w:ascii="ITC Avant Garde" w:hAnsi="ITC Avant Garde"/>
          <w:color w:val="000000"/>
        </w:rPr>
        <w:t>presuntamente</w:t>
      </w:r>
      <w:r w:rsidR="00731671">
        <w:rPr>
          <w:rFonts w:ascii="ITC Avant Garde" w:hAnsi="ITC Avant Garde"/>
          <w:b/>
          <w:color w:val="000000"/>
        </w:rPr>
        <w:t xml:space="preserve"> </w:t>
      </w:r>
      <w:r w:rsidR="00D7370E" w:rsidRPr="006A7614">
        <w:rPr>
          <w:rFonts w:ascii="ITC Avant Garde" w:hAnsi="ITC Avant Garde"/>
          <w:color w:val="000000"/>
        </w:rPr>
        <w:t>incumplió</w:t>
      </w:r>
      <w:r w:rsidR="006A7614" w:rsidRPr="006A7614">
        <w:rPr>
          <w:rFonts w:ascii="ITC Avant Garde" w:hAnsi="ITC Avant Garde"/>
          <w:color w:val="000000"/>
        </w:rPr>
        <w:t xml:space="preserve"> con</w:t>
      </w:r>
      <w:r w:rsidR="003C76AB">
        <w:rPr>
          <w:rFonts w:ascii="ITC Avant Garde" w:hAnsi="ITC Avant Garde"/>
          <w:color w:val="000000"/>
        </w:rPr>
        <w:t xml:space="preserve"> el </w:t>
      </w:r>
      <w:r w:rsidR="00893B24">
        <w:rPr>
          <w:rFonts w:ascii="ITC Avant Garde" w:hAnsi="ITC Avant Garde"/>
          <w:b/>
        </w:rPr>
        <w:t>Artículo 12</w:t>
      </w:r>
      <w:r w:rsidR="00893B24">
        <w:rPr>
          <w:rFonts w:ascii="ITC Avant Garde" w:hAnsi="ITC Avant Garde"/>
        </w:rPr>
        <w:t xml:space="preserve"> de los </w:t>
      </w:r>
      <w:r w:rsidR="00893B24">
        <w:rPr>
          <w:rFonts w:ascii="ITC Avant Garde" w:hAnsi="ITC Avant Garde"/>
          <w:b/>
        </w:rPr>
        <w:t xml:space="preserve">LINEAMIENTOS, </w:t>
      </w:r>
      <w:r w:rsidR="00893B24">
        <w:rPr>
          <w:rFonts w:ascii="ITC Avant Garde" w:hAnsi="ITC Avant Garde"/>
        </w:rPr>
        <w:t xml:space="preserve">sus respectivas modificaciones contenidas en el </w:t>
      </w:r>
      <w:r w:rsidR="00893B24">
        <w:rPr>
          <w:rFonts w:ascii="ITC Avant Garde" w:hAnsi="ITC Avant Garde"/>
          <w:b/>
        </w:rPr>
        <w:t xml:space="preserve">ACUERDO MODIFICATORIO; </w:t>
      </w:r>
      <w:r w:rsidR="00893B24">
        <w:rPr>
          <w:rFonts w:ascii="ITC Avant Garde" w:hAnsi="ITC Avant Garde"/>
        </w:rPr>
        <w:t xml:space="preserve">el </w:t>
      </w:r>
      <w:r w:rsidR="00893B24">
        <w:rPr>
          <w:rFonts w:ascii="ITC Avant Garde" w:hAnsi="ITC Avant Garde"/>
          <w:b/>
        </w:rPr>
        <w:t xml:space="preserve">LISTADO </w:t>
      </w:r>
      <w:r w:rsidR="00893B24">
        <w:rPr>
          <w:rFonts w:ascii="ITC Avant Garde" w:hAnsi="ITC Avant Garde"/>
        </w:rPr>
        <w:t xml:space="preserve">y sus correspondientes </w:t>
      </w:r>
      <w:r w:rsidR="00893B24">
        <w:rPr>
          <w:rFonts w:ascii="ITC Avant Garde" w:hAnsi="ITC Avant Garde"/>
          <w:b/>
        </w:rPr>
        <w:t>ACTUALIZACIONES</w:t>
      </w:r>
      <w:r w:rsidR="000D0AA6">
        <w:rPr>
          <w:rFonts w:ascii="ITC Avant Garde" w:eastAsia="Times New Roman" w:hAnsi="ITC Avant Garde"/>
          <w:bCs/>
          <w:color w:val="000000"/>
          <w:lang w:eastAsia="es-MX"/>
        </w:rPr>
        <w:t>,</w:t>
      </w:r>
      <w:r w:rsidR="000D0AA6">
        <w:rPr>
          <w:rFonts w:ascii="ITC Avant Garde" w:hAnsi="ITC Avant Garde"/>
          <w:color w:val="000000"/>
        </w:rPr>
        <w:t xml:space="preserve"> </w:t>
      </w:r>
      <w:r w:rsidR="009025EA">
        <w:rPr>
          <w:rFonts w:ascii="ITC Avant Garde" w:hAnsi="ITC Avant Garde"/>
          <w:color w:val="000000"/>
        </w:rPr>
        <w:t>toda vez que no</w:t>
      </w:r>
      <w:r w:rsidR="003C76AB" w:rsidRPr="003C76AB">
        <w:rPr>
          <w:rFonts w:ascii="ITC Avant Garde" w:hAnsi="ITC Avant Garde" w:cs="Arial"/>
          <w:lang w:val="es-ES"/>
        </w:rPr>
        <w:t xml:space="preserve"> </w:t>
      </w:r>
      <w:r w:rsidR="003C76AB" w:rsidRPr="00D13372">
        <w:rPr>
          <w:rFonts w:ascii="ITC Avant Garde" w:hAnsi="ITC Avant Garde" w:cs="Arial"/>
          <w:lang w:val="es-ES"/>
        </w:rPr>
        <w:t>retransmitía la</w:t>
      </w:r>
      <w:r w:rsidR="003C76AB">
        <w:rPr>
          <w:rFonts w:ascii="ITC Avant Garde" w:hAnsi="ITC Avant Garde" w:cs="Arial"/>
          <w:lang w:val="es-ES"/>
        </w:rPr>
        <w:t xml:space="preserve"> señal multiprogramada del </w:t>
      </w:r>
      <w:r w:rsidR="003C76AB" w:rsidRPr="003719ED">
        <w:rPr>
          <w:rFonts w:ascii="ITC Avant Garde" w:hAnsi="ITC Avant Garde" w:cs="Arial"/>
          <w:b/>
          <w:lang w:val="es-ES"/>
        </w:rPr>
        <w:t>cana</w:t>
      </w:r>
      <w:r w:rsidR="003C76AB">
        <w:rPr>
          <w:rFonts w:ascii="ITC Avant Garde" w:hAnsi="ITC Avant Garde" w:cs="Arial"/>
          <w:b/>
          <w:lang w:val="es-ES"/>
        </w:rPr>
        <w:t>l</w:t>
      </w:r>
      <w:r w:rsidR="003C76AB" w:rsidRPr="003719ED">
        <w:rPr>
          <w:rFonts w:ascii="ITC Avant Garde" w:hAnsi="ITC Avant Garde" w:cs="Arial"/>
          <w:b/>
          <w:lang w:val="es-ES"/>
        </w:rPr>
        <w:t xml:space="preserve"> 11.2 Once Niños del Instituto Politécnico Nacional</w:t>
      </w:r>
      <w:r w:rsidR="003C76AB">
        <w:rPr>
          <w:rFonts w:ascii="ITC Avant Garde" w:hAnsi="ITC Avant Garde" w:cs="Arial"/>
          <w:lang w:val="es-ES"/>
        </w:rPr>
        <w:t xml:space="preserve">, </w:t>
      </w:r>
      <w:r w:rsidR="006A7614" w:rsidRPr="006A7614">
        <w:rPr>
          <w:rFonts w:ascii="ITC Avant Garde" w:hAnsi="ITC Avant Garde"/>
          <w:color w:val="000000"/>
        </w:rPr>
        <w:t xml:space="preserve">por lo que la Unidad de Cumplimiento inició el procedimiento de imposición de sanción respectivo, mismo que se procede a resolver por </w:t>
      </w:r>
      <w:r w:rsidR="00731671">
        <w:rPr>
          <w:rFonts w:ascii="ITC Avant Garde" w:hAnsi="ITC Avant Garde"/>
          <w:color w:val="000000"/>
        </w:rPr>
        <w:t>este órgano colegiado</w:t>
      </w:r>
      <w:r w:rsidR="006A7614" w:rsidRPr="006A7614">
        <w:rPr>
          <w:rFonts w:ascii="ITC Avant Garde" w:hAnsi="ITC Avant Garde"/>
          <w:color w:val="000000"/>
        </w:rPr>
        <w:t>.</w:t>
      </w:r>
    </w:p>
    <w:p w14:paraId="332D14ED" w14:textId="77777777" w:rsidR="00E2222D" w:rsidRDefault="006A7614" w:rsidP="00907F25">
      <w:pPr>
        <w:spacing w:after="240" w:line="360" w:lineRule="auto"/>
        <w:jc w:val="both"/>
        <w:rPr>
          <w:rFonts w:ascii="ITC Avant Garde" w:hAnsi="ITC Avant Garde"/>
          <w:color w:val="000000"/>
        </w:rPr>
      </w:pPr>
      <w:r w:rsidRPr="006A7614">
        <w:rPr>
          <w:rFonts w:ascii="ITC Avant Garde" w:hAnsi="ITC Avant Garde"/>
          <w:color w:val="000000"/>
        </w:rPr>
        <w:t xml:space="preserve">Derivado de la propuesta formulada por la </w:t>
      </w:r>
      <w:r w:rsidR="00893B24">
        <w:rPr>
          <w:rFonts w:ascii="ITC Avant Garde" w:hAnsi="ITC Avant Garde"/>
          <w:b/>
          <w:color w:val="000000"/>
        </w:rPr>
        <w:t>DGV</w:t>
      </w:r>
      <w:r w:rsidR="00A15C5B">
        <w:rPr>
          <w:rFonts w:ascii="ITC Avant Garde" w:hAnsi="ITC Avant Garde"/>
          <w:b/>
          <w:color w:val="000000"/>
        </w:rPr>
        <w:t xml:space="preserve"> </w:t>
      </w:r>
      <w:r w:rsidR="00731671">
        <w:rPr>
          <w:rFonts w:ascii="ITC Avant Garde" w:hAnsi="ITC Avant Garde"/>
          <w:color w:val="000000"/>
        </w:rPr>
        <w:t>e</w:t>
      </w:r>
      <w:r w:rsidRPr="006A7614">
        <w:rPr>
          <w:rFonts w:ascii="ITC Avant Garde" w:hAnsi="ITC Avant Garde"/>
          <w:color w:val="000000"/>
        </w:rPr>
        <w:t xml:space="preserve">l Titular de la Unidad de Cumplimiento, inició el procedimiento administrativo de imposición de sanción, </w:t>
      </w:r>
      <w:r w:rsidRPr="006A7614">
        <w:rPr>
          <w:rFonts w:ascii="ITC Avant Garde" w:hAnsi="ITC Avant Garde"/>
          <w:color w:val="000000"/>
        </w:rPr>
        <w:lastRenderedPageBreak/>
        <w:t xml:space="preserve">mediante acuerdo de </w:t>
      </w:r>
      <w:r w:rsidR="00893B24">
        <w:rPr>
          <w:rFonts w:ascii="ITC Avant Garde" w:hAnsi="ITC Avant Garde"/>
          <w:color w:val="000000"/>
        </w:rPr>
        <w:t>veintinueve de abril</w:t>
      </w:r>
      <w:r w:rsidR="00277669">
        <w:rPr>
          <w:rFonts w:ascii="ITC Avant Garde" w:hAnsi="ITC Avant Garde"/>
          <w:color w:val="000000"/>
        </w:rPr>
        <w:t xml:space="preserve"> de dos mil dieciséis</w:t>
      </w:r>
      <w:r w:rsidRPr="006A7614">
        <w:rPr>
          <w:rFonts w:ascii="ITC Avant Garde" w:hAnsi="ITC Avant Garde"/>
          <w:color w:val="000000"/>
        </w:rPr>
        <w:t xml:space="preserve">, en el que se otorgó a </w:t>
      </w:r>
      <w:r w:rsidR="00893B24">
        <w:rPr>
          <w:rFonts w:ascii="ITC Avant Garde" w:hAnsi="ITC Avant Garde"/>
          <w:b/>
          <w:color w:val="000000"/>
        </w:rPr>
        <w:t>MEGA CABLE</w:t>
      </w:r>
      <w:r w:rsidRPr="006A7614">
        <w:rPr>
          <w:rFonts w:ascii="ITC Avant Garde" w:hAnsi="ITC Avant Garde"/>
          <w:b/>
          <w:color w:val="000000"/>
        </w:rPr>
        <w:t>,</w:t>
      </w:r>
      <w:r w:rsidRPr="006A7614">
        <w:rPr>
          <w:rFonts w:ascii="ITC Avant Garde" w:hAnsi="ITC Avant Garde"/>
          <w:color w:val="000000"/>
        </w:rPr>
        <w:t xml:space="preserve"> un término de quince días hábiles para que manifestara lo que a su derecho conviniera y en su caso, aportara las pruebas con que contara con relación al presunto incumplimiento que motivó el inicio del presente procedimiento.</w:t>
      </w:r>
    </w:p>
    <w:p w14:paraId="0B298C54" w14:textId="77777777" w:rsidR="00E2222D" w:rsidRDefault="006A7614" w:rsidP="00907F25">
      <w:pPr>
        <w:spacing w:after="240" w:line="360" w:lineRule="auto"/>
        <w:jc w:val="both"/>
        <w:rPr>
          <w:rFonts w:ascii="ITC Avant Garde" w:eastAsia="Times New Roman" w:hAnsi="ITC Avant Garde"/>
          <w:bCs/>
          <w:color w:val="000000"/>
          <w:lang w:eastAsia="es-MX"/>
        </w:rPr>
      </w:pPr>
      <w:r w:rsidRPr="00B4214C">
        <w:rPr>
          <w:rFonts w:ascii="ITC Avant Garde" w:hAnsi="ITC Avant Garde"/>
          <w:color w:val="000000"/>
        </w:rPr>
        <w:t xml:space="preserve">Dicho acuerdo fue notificado el </w:t>
      </w:r>
      <w:r w:rsidR="00893B24">
        <w:rPr>
          <w:rFonts w:ascii="ITC Avant Garde" w:hAnsi="ITC Avant Garde"/>
          <w:color w:val="000000"/>
        </w:rPr>
        <w:t>cuatro de mayo</w:t>
      </w:r>
      <w:r w:rsidR="00277669">
        <w:rPr>
          <w:rFonts w:ascii="ITC Avant Garde" w:hAnsi="ITC Avant Garde"/>
          <w:color w:val="000000"/>
        </w:rPr>
        <w:t xml:space="preserve"> de dos mil dieciséis</w:t>
      </w:r>
      <w:r w:rsidRPr="00B4214C">
        <w:rPr>
          <w:rFonts w:ascii="ITC Avant Garde" w:hAnsi="ITC Avant Garde"/>
          <w:color w:val="000000"/>
        </w:rPr>
        <w:t xml:space="preserve">, por lo que el plazo de quince días hábiles </w:t>
      </w:r>
      <w:r w:rsidR="00235BB7">
        <w:rPr>
          <w:rFonts w:ascii="ITC Avant Garde" w:hAnsi="ITC Avant Garde"/>
          <w:color w:val="000000"/>
        </w:rPr>
        <w:t xml:space="preserve">otorgado </w:t>
      </w:r>
      <w:r w:rsidR="00A15C5B" w:rsidRPr="006A7614">
        <w:rPr>
          <w:rFonts w:ascii="ITC Avant Garde" w:eastAsia="Times New Roman" w:hAnsi="ITC Avant Garde"/>
          <w:bCs/>
          <w:color w:val="000000"/>
          <w:lang w:eastAsia="es-MX"/>
        </w:rPr>
        <w:t xml:space="preserve">corrió del </w:t>
      </w:r>
      <w:r w:rsidR="00893B24">
        <w:rPr>
          <w:rFonts w:ascii="ITC Avant Garde" w:eastAsia="Times New Roman" w:hAnsi="ITC Avant Garde"/>
          <w:bCs/>
          <w:color w:val="000000"/>
          <w:lang w:eastAsia="es-MX"/>
        </w:rPr>
        <w:t>seis al veintiséis de mayo</w:t>
      </w:r>
      <w:r w:rsidR="00A15C5B">
        <w:rPr>
          <w:rFonts w:ascii="ITC Avant Garde" w:eastAsia="Times New Roman" w:hAnsi="ITC Avant Garde"/>
          <w:bCs/>
          <w:color w:val="000000"/>
          <w:lang w:eastAsia="es-MX"/>
        </w:rPr>
        <w:t xml:space="preserve"> de dos mil dieciséis</w:t>
      </w:r>
      <w:r w:rsidR="00A15C5B" w:rsidRPr="00A15C5B">
        <w:rPr>
          <w:rFonts w:ascii="ITC Avant Garde" w:eastAsia="Times New Roman" w:hAnsi="ITC Avant Garde"/>
          <w:bCs/>
          <w:lang w:eastAsia="es-MX"/>
        </w:rPr>
        <w:t xml:space="preserve"> </w:t>
      </w:r>
      <w:r w:rsidR="00893B24">
        <w:rPr>
          <w:rFonts w:ascii="ITC Avant Garde" w:eastAsia="Times New Roman" w:hAnsi="ITC Avant Garde"/>
          <w:bCs/>
          <w:lang w:eastAsia="es-MX"/>
        </w:rPr>
        <w:t xml:space="preserve">sin considerar los días cinco, siete, ocho, catorce, quince, veintiuno y veintidós de mayo de dos mil dieciséis por haber sido sábados, domingos y día inhábil, respectivamente, </w:t>
      </w:r>
      <w:r w:rsidR="00893B24">
        <w:rPr>
          <w:rFonts w:ascii="ITC Avant Garde" w:eastAsia="Times New Roman" w:hAnsi="ITC Avant Garde"/>
          <w:bCs/>
          <w:color w:val="000000"/>
          <w:lang w:eastAsia="es-MX"/>
        </w:rPr>
        <w:t xml:space="preserve">en términos del artículo 28 de la </w:t>
      </w:r>
      <w:r w:rsidR="00893B24">
        <w:rPr>
          <w:rFonts w:ascii="ITC Avant Garde" w:eastAsia="Times New Roman" w:hAnsi="ITC Avant Garde"/>
          <w:b/>
          <w:bCs/>
          <w:color w:val="000000"/>
          <w:lang w:eastAsia="es-MX"/>
        </w:rPr>
        <w:t>LFPA.</w:t>
      </w:r>
    </w:p>
    <w:p w14:paraId="1A443B27" w14:textId="77777777" w:rsidR="00E2222D" w:rsidRDefault="00FE4AFB" w:rsidP="00907F25">
      <w:pPr>
        <w:spacing w:after="240" w:line="360" w:lineRule="auto"/>
        <w:jc w:val="both"/>
        <w:rPr>
          <w:rFonts w:ascii="ITC Avant Garde" w:eastAsia="Times New Roman" w:hAnsi="ITC Avant Garde"/>
          <w:bCs/>
          <w:lang w:eastAsia="es-MX"/>
        </w:rPr>
      </w:pPr>
      <w:r>
        <w:rPr>
          <w:rFonts w:ascii="ITC Avant Garde" w:eastAsia="Times New Roman" w:hAnsi="ITC Avant Garde"/>
          <w:bCs/>
          <w:lang w:eastAsia="es-MX"/>
        </w:rPr>
        <w:t>P</w:t>
      </w:r>
      <w:r w:rsidR="001847F8" w:rsidRPr="001847F8">
        <w:rPr>
          <w:rFonts w:ascii="ITC Avant Garde" w:eastAsia="Times New Roman" w:hAnsi="ITC Avant Garde"/>
          <w:bCs/>
          <w:lang w:eastAsia="es-MX"/>
        </w:rPr>
        <w:t xml:space="preserve">or escrito presentado el </w:t>
      </w:r>
      <w:r w:rsidR="00893B24">
        <w:rPr>
          <w:rFonts w:ascii="ITC Avant Garde" w:eastAsia="Times New Roman" w:hAnsi="ITC Avant Garde"/>
          <w:bCs/>
          <w:lang w:eastAsia="es-MX"/>
        </w:rPr>
        <w:t xml:space="preserve">veinticuatro de mayo </w:t>
      </w:r>
      <w:r>
        <w:rPr>
          <w:rFonts w:ascii="ITC Avant Garde" w:eastAsia="Times New Roman" w:hAnsi="ITC Avant Garde"/>
          <w:bCs/>
          <w:lang w:eastAsia="es-MX"/>
        </w:rPr>
        <w:t>de dos mil dieciséis</w:t>
      </w:r>
      <w:r w:rsidR="001847F8" w:rsidRPr="001847F8">
        <w:rPr>
          <w:rFonts w:ascii="ITC Avant Garde" w:eastAsia="Times New Roman" w:hAnsi="ITC Avant Garde"/>
          <w:bCs/>
          <w:lang w:eastAsia="es-MX"/>
        </w:rPr>
        <w:t xml:space="preserve"> ante la Oficialía de Partes </w:t>
      </w:r>
      <w:r w:rsidR="001847F8">
        <w:rPr>
          <w:rFonts w:ascii="ITC Avant Garde" w:eastAsia="Times New Roman" w:hAnsi="ITC Avant Garde"/>
          <w:bCs/>
          <w:lang w:eastAsia="es-MX"/>
        </w:rPr>
        <w:t>de este</w:t>
      </w:r>
      <w:r w:rsidR="001847F8" w:rsidRPr="008D0DBE">
        <w:rPr>
          <w:rFonts w:ascii="ITC Avant Garde" w:eastAsia="Times New Roman" w:hAnsi="ITC Avant Garde"/>
          <w:b/>
          <w:bCs/>
          <w:lang w:eastAsia="es-MX"/>
        </w:rPr>
        <w:t xml:space="preserve"> IFT</w:t>
      </w:r>
      <w:r w:rsidR="001847F8" w:rsidRPr="001847F8">
        <w:rPr>
          <w:rFonts w:ascii="ITC Avant Garde" w:eastAsia="Times New Roman" w:hAnsi="ITC Avant Garde"/>
          <w:bCs/>
          <w:lang w:eastAsia="es-MX"/>
        </w:rPr>
        <w:t xml:space="preserve">, el </w:t>
      </w:r>
      <w:r w:rsidR="001847F8" w:rsidRPr="001847F8">
        <w:rPr>
          <w:rFonts w:ascii="ITC Avant Garde" w:eastAsia="Times New Roman" w:hAnsi="ITC Avant Garde"/>
          <w:b/>
          <w:bCs/>
          <w:color w:val="000000"/>
          <w:lang w:eastAsia="es-MX"/>
        </w:rPr>
        <w:t xml:space="preserve">C. </w:t>
      </w:r>
      <w:r>
        <w:rPr>
          <w:rFonts w:ascii="ITC Avant Garde" w:eastAsia="Times New Roman" w:hAnsi="ITC Avant Garde"/>
          <w:b/>
          <w:color w:val="000000"/>
          <w:lang w:eastAsia="es-MX"/>
        </w:rPr>
        <w:t>JORGE RAFAEL CUEVAS RENAUD</w:t>
      </w:r>
      <w:r w:rsidR="001847F8" w:rsidRPr="001847F8">
        <w:rPr>
          <w:b/>
          <w:bCs/>
        </w:rPr>
        <w:t xml:space="preserve">, </w:t>
      </w:r>
      <w:r w:rsidR="001847F8" w:rsidRPr="001847F8">
        <w:rPr>
          <w:rFonts w:ascii="ITC Avant Garde" w:eastAsia="Times New Roman" w:hAnsi="ITC Avant Garde"/>
          <w:bCs/>
          <w:color w:val="000000"/>
          <w:lang w:eastAsia="es-MX"/>
        </w:rPr>
        <w:t xml:space="preserve">en su carácter de representante legal de </w:t>
      </w:r>
      <w:r>
        <w:rPr>
          <w:rFonts w:ascii="ITC Avant Garde" w:eastAsia="Times New Roman" w:hAnsi="ITC Avant Garde"/>
          <w:b/>
          <w:bCs/>
          <w:color w:val="000000"/>
          <w:lang w:eastAsia="es-MX"/>
        </w:rPr>
        <w:t>MEGA CABLE</w:t>
      </w:r>
      <w:r w:rsidR="00876B1C">
        <w:rPr>
          <w:rFonts w:ascii="ITC Avant Garde" w:eastAsia="Times New Roman" w:hAnsi="ITC Avant Garde"/>
          <w:b/>
          <w:bCs/>
          <w:lang w:eastAsia="es-MX"/>
        </w:rPr>
        <w:t xml:space="preserve"> </w:t>
      </w:r>
      <w:r>
        <w:rPr>
          <w:rFonts w:ascii="ITC Avant Garde" w:eastAsia="Times New Roman" w:hAnsi="ITC Avant Garde"/>
          <w:bCs/>
          <w:lang w:eastAsia="es-MX"/>
        </w:rPr>
        <w:t xml:space="preserve">presentó pruebas y defensas en relación con el acuerdo de </w:t>
      </w:r>
      <w:r w:rsidR="00876B1C">
        <w:rPr>
          <w:rFonts w:ascii="ITC Avant Garde" w:eastAsia="Times New Roman" w:hAnsi="ITC Avant Garde"/>
          <w:bCs/>
          <w:lang w:eastAsia="es-MX"/>
        </w:rPr>
        <w:t>inicio</w:t>
      </w:r>
      <w:r>
        <w:rPr>
          <w:rFonts w:ascii="ITC Avant Garde" w:eastAsia="Times New Roman" w:hAnsi="ITC Avant Garde"/>
          <w:bCs/>
          <w:lang w:eastAsia="es-MX"/>
        </w:rPr>
        <w:t xml:space="preserve"> de </w:t>
      </w:r>
      <w:r w:rsidR="00893B24">
        <w:rPr>
          <w:rFonts w:ascii="ITC Avant Garde" w:eastAsia="Times New Roman" w:hAnsi="ITC Avant Garde"/>
          <w:bCs/>
          <w:lang w:eastAsia="es-MX"/>
        </w:rPr>
        <w:t>veintinueve de abril</w:t>
      </w:r>
      <w:r>
        <w:rPr>
          <w:rFonts w:ascii="ITC Avant Garde" w:eastAsia="Times New Roman" w:hAnsi="ITC Avant Garde"/>
          <w:bCs/>
          <w:lang w:eastAsia="es-MX"/>
        </w:rPr>
        <w:t xml:space="preserve"> de dos mil dieciséis</w:t>
      </w:r>
      <w:r w:rsidR="001847F8" w:rsidRPr="001847F8">
        <w:rPr>
          <w:rFonts w:ascii="ITC Avant Garde" w:eastAsia="Times New Roman" w:hAnsi="ITC Avant Garde"/>
          <w:bCs/>
          <w:lang w:eastAsia="es-MX"/>
        </w:rPr>
        <w:t>.</w:t>
      </w:r>
    </w:p>
    <w:p w14:paraId="36ED0EDF" w14:textId="77777777" w:rsidR="00E2222D" w:rsidRDefault="007B37A1" w:rsidP="00907F25">
      <w:pPr>
        <w:tabs>
          <w:tab w:val="left" w:pos="851"/>
        </w:tabs>
        <w:spacing w:after="240" w:line="360" w:lineRule="auto"/>
        <w:jc w:val="both"/>
        <w:rPr>
          <w:rFonts w:ascii="ITC Avant Garde" w:eastAsia="Times New Roman" w:hAnsi="ITC Avant Garde"/>
          <w:b/>
          <w:bCs/>
          <w:lang w:eastAsia="es-MX"/>
        </w:rPr>
      </w:pPr>
      <w:r>
        <w:rPr>
          <w:rFonts w:ascii="ITC Avant Garde" w:eastAsia="Times New Roman" w:hAnsi="ITC Avant Garde"/>
          <w:b/>
          <w:bCs/>
          <w:lang w:eastAsia="es-MX"/>
        </w:rPr>
        <w:t>QUINTO</w:t>
      </w:r>
      <w:r w:rsidR="006A7614" w:rsidRPr="00BF2E3C">
        <w:rPr>
          <w:rFonts w:ascii="ITC Avant Garde" w:eastAsia="Times New Roman" w:hAnsi="ITC Avant Garde"/>
          <w:b/>
          <w:bCs/>
          <w:lang w:eastAsia="es-MX"/>
        </w:rPr>
        <w:t xml:space="preserve">. </w:t>
      </w:r>
      <w:r w:rsidR="006A7614" w:rsidRPr="00BF2E3C">
        <w:rPr>
          <w:rFonts w:ascii="ITC Avant Garde" w:eastAsia="Times New Roman" w:hAnsi="ITC Avant Garde"/>
          <w:b/>
          <w:bCs/>
          <w:smallCaps/>
          <w:lang w:eastAsia="es-MX"/>
        </w:rPr>
        <w:t>Manifestaciones y pruebas ofrecid</w:t>
      </w:r>
      <w:r w:rsidR="00235BB7">
        <w:rPr>
          <w:rFonts w:ascii="ITC Avant Garde" w:eastAsia="Times New Roman" w:hAnsi="ITC Avant Garde"/>
          <w:b/>
          <w:bCs/>
          <w:smallCaps/>
          <w:lang w:eastAsia="es-MX"/>
        </w:rPr>
        <w:t>a</w:t>
      </w:r>
      <w:r w:rsidR="006A7614" w:rsidRPr="00BF2E3C">
        <w:rPr>
          <w:rFonts w:ascii="ITC Avant Garde" w:eastAsia="Times New Roman" w:hAnsi="ITC Avant Garde"/>
          <w:b/>
          <w:bCs/>
          <w:smallCaps/>
          <w:lang w:eastAsia="es-MX"/>
        </w:rPr>
        <w:t xml:space="preserve">s por </w:t>
      </w:r>
      <w:r w:rsidR="00467FFB">
        <w:rPr>
          <w:rFonts w:ascii="ITC Avant Garde" w:eastAsia="Times New Roman" w:hAnsi="ITC Avant Garde"/>
          <w:b/>
          <w:bCs/>
          <w:lang w:eastAsia="es-MX"/>
        </w:rPr>
        <w:t>MEGA CABLE</w:t>
      </w:r>
      <w:r w:rsidR="00BF2E3C" w:rsidRPr="00BF2E3C">
        <w:rPr>
          <w:rFonts w:ascii="ITC Avant Garde" w:eastAsia="Times New Roman" w:hAnsi="ITC Avant Garde"/>
          <w:b/>
          <w:bCs/>
          <w:lang w:eastAsia="es-MX"/>
        </w:rPr>
        <w:t>.</w:t>
      </w:r>
    </w:p>
    <w:p w14:paraId="6D0EBFF0" w14:textId="77777777" w:rsidR="00E2222D" w:rsidRDefault="00BF2E3C" w:rsidP="00907F25">
      <w:pPr>
        <w:spacing w:after="240" w:line="360" w:lineRule="auto"/>
        <w:jc w:val="both"/>
        <w:rPr>
          <w:rFonts w:ascii="ITC Avant Garde" w:hAnsi="ITC Avant Garde"/>
        </w:rPr>
      </w:pPr>
      <w:r>
        <w:rPr>
          <w:rFonts w:ascii="ITC Avant Garde" w:eastAsia="Times New Roman" w:hAnsi="ITC Avant Garde"/>
          <w:bCs/>
          <w:color w:val="000000"/>
          <w:lang w:eastAsia="es-MX"/>
        </w:rPr>
        <w:t>E</w:t>
      </w:r>
      <w:r w:rsidRPr="00EC18DA">
        <w:rPr>
          <w:rFonts w:ascii="ITC Avant Garde" w:eastAsia="Times New Roman" w:hAnsi="ITC Avant Garde"/>
          <w:bCs/>
          <w:color w:val="000000"/>
          <w:lang w:eastAsia="es-MX"/>
        </w:rPr>
        <w:t xml:space="preserve">n aras de cumplir con los principios de legalidad y seguridad jurídica consagrados en los artículos 14 y 16 de la </w:t>
      </w:r>
      <w:r w:rsidR="00893B24">
        <w:rPr>
          <w:rFonts w:ascii="ITC Avant Garde" w:eastAsia="Times New Roman" w:hAnsi="ITC Avant Garde"/>
          <w:b/>
          <w:bCs/>
          <w:color w:val="000000"/>
          <w:lang w:eastAsia="es-MX"/>
        </w:rPr>
        <w:t>CPEUM,</w:t>
      </w:r>
      <w:r w:rsidRPr="00EC18DA">
        <w:rPr>
          <w:rFonts w:ascii="ITC Avant Garde" w:eastAsia="Times New Roman" w:hAnsi="ITC Avant Garde"/>
          <w:bCs/>
          <w:color w:val="000000"/>
          <w:lang w:eastAsia="es-MX"/>
        </w:rPr>
        <w:t xml:space="preserve"> así como </w:t>
      </w:r>
      <w:r w:rsidR="00A15C5B">
        <w:rPr>
          <w:rFonts w:ascii="ITC Avant Garde" w:eastAsia="Times New Roman" w:hAnsi="ITC Avant Garde"/>
          <w:bCs/>
          <w:color w:val="000000"/>
          <w:lang w:eastAsia="es-MX"/>
        </w:rPr>
        <w:t xml:space="preserve">con </w:t>
      </w:r>
      <w:r w:rsidRPr="00EC18DA">
        <w:rPr>
          <w:rFonts w:ascii="ITC Avant Garde" w:eastAsia="Times New Roman" w:hAnsi="ITC Avant Garde"/>
          <w:bCs/>
          <w:color w:val="000000"/>
          <w:lang w:eastAsia="es-MX"/>
        </w:rPr>
        <w:t xml:space="preserve">el principio de exhaustividad en el dictado de las resoluciones administrativas, de conformidad con los artículos 13 y 16, fracción X, de la </w:t>
      </w:r>
      <w:r w:rsidRPr="00B07D65">
        <w:rPr>
          <w:rFonts w:ascii="ITC Avant Garde" w:eastAsia="Times New Roman" w:hAnsi="ITC Avant Garde"/>
          <w:b/>
          <w:bCs/>
          <w:color w:val="000000"/>
          <w:lang w:eastAsia="es-MX"/>
        </w:rPr>
        <w:t>LFPA</w:t>
      </w:r>
      <w:r w:rsidRPr="00EC18DA">
        <w:rPr>
          <w:rFonts w:ascii="ITC Avant Garde" w:eastAsia="Times New Roman" w:hAnsi="ITC Avant Garde"/>
          <w:bCs/>
          <w:color w:val="000000"/>
          <w:lang w:eastAsia="es-MX"/>
        </w:rPr>
        <w:t xml:space="preserve">, esta autoridad procede a estudiar y analizar en esta parte de la resolución los argumentos </w:t>
      </w:r>
      <w:r>
        <w:rPr>
          <w:rFonts w:ascii="ITC Avant Garde" w:eastAsia="Times New Roman" w:hAnsi="ITC Avant Garde"/>
          <w:bCs/>
          <w:color w:val="000000"/>
          <w:lang w:eastAsia="es-MX"/>
        </w:rPr>
        <w:t xml:space="preserve">presentados por </w:t>
      </w:r>
      <w:r w:rsidR="00AF3641">
        <w:rPr>
          <w:rFonts w:ascii="ITC Avant Garde" w:eastAsia="Times New Roman" w:hAnsi="ITC Avant Garde"/>
          <w:b/>
          <w:bCs/>
          <w:color w:val="000000"/>
          <w:lang w:eastAsia="es-MX"/>
        </w:rPr>
        <w:t>MEGA CABLE</w:t>
      </w:r>
      <w:r w:rsidR="00AF3641">
        <w:rPr>
          <w:rFonts w:ascii="ITC Avant Garde" w:eastAsia="Times New Roman" w:hAnsi="ITC Avant Garde"/>
          <w:b/>
          <w:bCs/>
          <w:lang w:eastAsia="es-MX"/>
        </w:rPr>
        <w:t xml:space="preserve"> </w:t>
      </w:r>
      <w:r w:rsidRPr="00EC18DA">
        <w:rPr>
          <w:rFonts w:ascii="ITC Avant Garde" w:eastAsia="Times New Roman" w:hAnsi="ITC Avant Garde"/>
          <w:bCs/>
          <w:color w:val="000000"/>
          <w:lang w:eastAsia="es-MX"/>
        </w:rPr>
        <w:t xml:space="preserve">aclarando que, </w:t>
      </w:r>
      <w:r w:rsidRPr="00EC18DA">
        <w:rPr>
          <w:rFonts w:ascii="ITC Avant Garde" w:hAnsi="ITC Avant Garde"/>
        </w:rPr>
        <w:t xml:space="preserve">el procedimiento administrativo sancionador, ha sido definido por el Pleno de la Suprema Corte de Justicia de la Nación como </w:t>
      </w:r>
      <w:r w:rsidRPr="00EC18DA">
        <w:rPr>
          <w:rFonts w:ascii="ITC Avant Garde" w:hAnsi="ITC Avant Garde"/>
          <w:i/>
        </w:rPr>
        <w:t xml:space="preserve">“el conjunto de actos o formalidades concatenados entre sí en forma de juicio por autoridad competente, </w:t>
      </w:r>
      <w:r w:rsidRPr="00EC18DA">
        <w:rPr>
          <w:rFonts w:ascii="ITC Avant Garde" w:hAnsi="ITC Avant Garde"/>
          <w:b/>
          <w:i/>
          <w:u w:val="single"/>
        </w:rPr>
        <w:t>con el objeto de conocer irregularidades o faltas</w:t>
      </w:r>
      <w:r w:rsidRPr="00EC18DA">
        <w:rPr>
          <w:rFonts w:ascii="ITC Avant Garde" w:hAnsi="ITC Avant Garde"/>
          <w:i/>
        </w:rPr>
        <w:t xml:space="preserve"> ya sean de servidores públicos o particulares, cuya finalidad, en todo caso, sea imponer </w:t>
      </w:r>
      <w:r w:rsidRPr="001774FB">
        <w:rPr>
          <w:rFonts w:ascii="ITC Avant Garde" w:hAnsi="ITC Avant Garde"/>
          <w:i/>
        </w:rPr>
        <w:t>alguna sanción.”</w:t>
      </w:r>
      <w:r w:rsidRPr="001774FB">
        <w:rPr>
          <w:rStyle w:val="Refdenotaalpie"/>
          <w:rFonts w:ascii="ITC Avant Garde" w:hAnsi="ITC Avant Garde"/>
        </w:rPr>
        <w:footnoteReference w:id="8"/>
      </w:r>
    </w:p>
    <w:p w14:paraId="405DF72B" w14:textId="77777777" w:rsidR="00E2222D" w:rsidRDefault="00BF2E3C" w:rsidP="00907F25">
      <w:pPr>
        <w:spacing w:after="240" w:line="360" w:lineRule="auto"/>
        <w:jc w:val="both"/>
        <w:rPr>
          <w:rFonts w:ascii="ITC Avant Garde" w:hAnsi="ITC Avant Garde"/>
        </w:rPr>
      </w:pPr>
      <w:r w:rsidRPr="00EC18DA">
        <w:rPr>
          <w:rFonts w:ascii="ITC Avant Garde" w:hAnsi="ITC Avant Garde"/>
        </w:rPr>
        <w:lastRenderedPageBreak/>
        <w:t xml:space="preserve">De la definición señalada por nuestro Máximo Tribunal se puede advertir que el objeto del procedimiento administrativo sancionador es el de conocer irregularidades </w:t>
      </w:r>
      <w:r w:rsidR="005F6C21" w:rsidRPr="00EC18DA">
        <w:rPr>
          <w:rFonts w:ascii="ITC Avant Garde" w:hAnsi="ITC Avant Garde"/>
        </w:rPr>
        <w:t xml:space="preserve">o faltas, por lo que se infiere que la </w:t>
      </w:r>
      <w:r w:rsidR="005F6C21" w:rsidRPr="00EC18DA">
        <w:rPr>
          <w:rFonts w:ascii="ITC Avant Garde" w:hAnsi="ITC Avant Garde"/>
          <w:i/>
        </w:rPr>
        <w:t>litis</w:t>
      </w:r>
      <w:r w:rsidR="005F6C21" w:rsidRPr="00EC18DA">
        <w:rPr>
          <w:rFonts w:ascii="ITC Avant Garde" w:hAnsi="ITC Avant Garde"/>
        </w:rPr>
        <w:t xml:space="preserve"> del mismo se sujeta únicamente </w:t>
      </w:r>
      <w:r w:rsidR="005F6C21">
        <w:rPr>
          <w:rFonts w:ascii="ITC Avant Garde" w:hAnsi="ITC Avant Garde"/>
        </w:rPr>
        <w:t xml:space="preserve">a </w:t>
      </w:r>
      <w:r w:rsidR="005F6C21" w:rsidRPr="00EC18DA">
        <w:rPr>
          <w:rFonts w:ascii="ITC Avant Garde" w:hAnsi="ITC Avant Garde"/>
        </w:rPr>
        <w:t xml:space="preserve">acreditar o desvirtuar la comisión de la conducta sancionable, lo cual se fortalece con la imposibilidad de impugnar actos emitidos durante el procedimiento. </w:t>
      </w:r>
    </w:p>
    <w:p w14:paraId="00001312" w14:textId="77777777" w:rsidR="00E2222D" w:rsidRDefault="00BF2E3C" w:rsidP="00907F25">
      <w:pPr>
        <w:pStyle w:val="Textoindependiente"/>
        <w:spacing w:after="240" w:line="360" w:lineRule="auto"/>
        <w:jc w:val="both"/>
        <w:rPr>
          <w:rFonts w:ascii="ITC Avant Garde" w:hAnsi="ITC Avant Garde"/>
          <w:b/>
        </w:rPr>
      </w:pPr>
      <w:r w:rsidRPr="00001297">
        <w:rPr>
          <w:rFonts w:ascii="ITC Avant Garde" w:hAnsi="ITC Avant Garde"/>
        </w:rPr>
        <w:t xml:space="preserve">Por tanto, los argumentos </w:t>
      </w:r>
      <w:r w:rsidR="00001297">
        <w:rPr>
          <w:rFonts w:ascii="ITC Avant Garde" w:hAnsi="ITC Avant Garde"/>
        </w:rPr>
        <w:t xml:space="preserve">formulados </w:t>
      </w:r>
      <w:r w:rsidRPr="00001297">
        <w:rPr>
          <w:rFonts w:ascii="ITC Avant Garde" w:hAnsi="ITC Avant Garde"/>
        </w:rPr>
        <w:t>deberá</w:t>
      </w:r>
      <w:r w:rsidR="00001297">
        <w:rPr>
          <w:rFonts w:ascii="ITC Avant Garde" w:hAnsi="ITC Avant Garde"/>
        </w:rPr>
        <w:t>n</w:t>
      </w:r>
      <w:r w:rsidRPr="00001297">
        <w:rPr>
          <w:rFonts w:ascii="ITC Avant Garde" w:hAnsi="ITC Avant Garde"/>
        </w:rPr>
        <w:t xml:space="preserve"> en todo caso estar encaminados a desvirtuar las imputaciones realizadas por la autoridad, relacionadas con la comisión de la conducta presuntamente sancionable; como lo es la presunta infracción a lo dispuesto </w:t>
      </w:r>
      <w:r w:rsidR="00467FFB" w:rsidRPr="00001297">
        <w:rPr>
          <w:rFonts w:ascii="ITC Avant Garde" w:hAnsi="ITC Avant Garde"/>
        </w:rPr>
        <w:t xml:space="preserve">en el </w:t>
      </w:r>
      <w:r w:rsidR="00BC1B1F" w:rsidRPr="00001297">
        <w:rPr>
          <w:rFonts w:ascii="ITC Avant Garde" w:hAnsi="ITC Avant Garde"/>
          <w:b/>
        </w:rPr>
        <w:t>Artículo 12</w:t>
      </w:r>
      <w:r w:rsidR="00BC1B1F" w:rsidRPr="00001297">
        <w:rPr>
          <w:rFonts w:ascii="ITC Avant Garde" w:hAnsi="ITC Avant Garde"/>
        </w:rPr>
        <w:t xml:space="preserve"> de los </w:t>
      </w:r>
      <w:r w:rsidR="00BC1B1F" w:rsidRPr="00001297">
        <w:rPr>
          <w:rFonts w:ascii="ITC Avant Garde" w:hAnsi="ITC Avant Garde"/>
          <w:b/>
        </w:rPr>
        <w:t xml:space="preserve">LINEAMIENTOS, </w:t>
      </w:r>
      <w:r w:rsidR="00BC1B1F" w:rsidRPr="00001297">
        <w:rPr>
          <w:rFonts w:ascii="ITC Avant Garde" w:hAnsi="ITC Avant Garde"/>
        </w:rPr>
        <w:t xml:space="preserve">sus respectivas modificaciones contenidas en el </w:t>
      </w:r>
      <w:r w:rsidR="00BC1B1F" w:rsidRPr="00001297">
        <w:rPr>
          <w:rFonts w:ascii="ITC Avant Garde" w:hAnsi="ITC Avant Garde"/>
          <w:b/>
        </w:rPr>
        <w:t xml:space="preserve">ACUERDO MODIFICATORIO; </w:t>
      </w:r>
      <w:r w:rsidR="00BC1B1F" w:rsidRPr="00001297">
        <w:rPr>
          <w:rFonts w:ascii="ITC Avant Garde" w:hAnsi="ITC Avant Garde"/>
        </w:rPr>
        <w:t xml:space="preserve">el </w:t>
      </w:r>
      <w:r w:rsidR="00BC1B1F" w:rsidRPr="00001297">
        <w:rPr>
          <w:rFonts w:ascii="ITC Avant Garde" w:hAnsi="ITC Avant Garde"/>
          <w:b/>
        </w:rPr>
        <w:t xml:space="preserve">LISTADO </w:t>
      </w:r>
      <w:r w:rsidR="00BC1B1F" w:rsidRPr="00001297">
        <w:rPr>
          <w:rFonts w:ascii="ITC Avant Garde" w:hAnsi="ITC Avant Garde"/>
        </w:rPr>
        <w:t xml:space="preserve">y sus correspondientes </w:t>
      </w:r>
      <w:r w:rsidR="00BC1B1F" w:rsidRPr="00001297">
        <w:rPr>
          <w:rFonts w:ascii="ITC Avant Garde" w:hAnsi="ITC Avant Garde"/>
          <w:b/>
        </w:rPr>
        <w:t>ACTUALIZACIONES.</w:t>
      </w:r>
    </w:p>
    <w:p w14:paraId="726F74AD" w14:textId="77777777" w:rsidR="00E2222D" w:rsidRDefault="00195D24" w:rsidP="00907F25">
      <w:pPr>
        <w:spacing w:after="240" w:line="360" w:lineRule="auto"/>
        <w:contextualSpacing/>
        <w:jc w:val="both"/>
        <w:rPr>
          <w:rFonts w:ascii="ITC Avant Garde" w:hAnsi="ITC Avant Garde"/>
          <w:shd w:val="clear" w:color="auto" w:fill="FFFFFF"/>
        </w:rPr>
      </w:pPr>
      <w:r w:rsidRPr="00195D24">
        <w:rPr>
          <w:rFonts w:ascii="ITC Avant Garde" w:eastAsia="Times New Roman" w:hAnsi="ITC Avant Garde"/>
          <w:bCs/>
          <w:color w:val="000000"/>
          <w:lang w:eastAsia="es-MX"/>
        </w:rPr>
        <w:t>Ahora bien, en el escrito de pruebas y defensas presentado por</w:t>
      </w:r>
      <w:r w:rsidRPr="00195D24">
        <w:rPr>
          <w:rFonts w:ascii="ITC Avant Garde" w:hAnsi="ITC Avant Garde" w:cs="Tahoma"/>
          <w:bCs/>
          <w:color w:val="000000"/>
          <w:shd w:val="clear" w:color="auto" w:fill="FFFFFF"/>
        </w:rPr>
        <w:t xml:space="preserve"> </w:t>
      </w:r>
      <w:r w:rsidRPr="00195D24">
        <w:rPr>
          <w:rFonts w:ascii="ITC Avant Garde" w:hAnsi="ITC Avant Garde" w:cs="Tahoma"/>
          <w:b/>
          <w:bCs/>
          <w:color w:val="000000"/>
          <w:shd w:val="clear" w:color="auto" w:fill="FFFFFF"/>
        </w:rPr>
        <w:t>MEGA CABLE</w:t>
      </w:r>
      <w:r w:rsidRPr="00195D24">
        <w:rPr>
          <w:rFonts w:ascii="ITC Avant Garde" w:hAnsi="ITC Avant Garde" w:cs="Tahoma"/>
          <w:bCs/>
          <w:color w:val="000000"/>
          <w:shd w:val="clear" w:color="auto" w:fill="FFFFFF"/>
        </w:rPr>
        <w:t xml:space="preserve"> el veinticuatro de mayo de dos mil dieciséis</w:t>
      </w:r>
      <w:r w:rsidRPr="00195D24">
        <w:rPr>
          <w:rFonts w:ascii="ITC Avant Garde" w:hAnsi="ITC Avant Garde"/>
          <w:shd w:val="clear" w:color="auto" w:fill="FFFFFF"/>
        </w:rPr>
        <w:t xml:space="preserve"> dicha empresa manifestó:</w:t>
      </w:r>
    </w:p>
    <w:p w14:paraId="6E16AB00" w14:textId="77777777" w:rsidR="00E2222D" w:rsidRDefault="00195D24" w:rsidP="00907F25">
      <w:pPr>
        <w:numPr>
          <w:ilvl w:val="0"/>
          <w:numId w:val="30"/>
        </w:numPr>
        <w:spacing w:after="240" w:line="360" w:lineRule="auto"/>
        <w:ind w:left="567" w:hanging="567"/>
        <w:contextualSpacing/>
        <w:jc w:val="both"/>
        <w:rPr>
          <w:rFonts w:ascii="ITC Avant Garde" w:hAnsi="ITC Avant Garde"/>
          <w:b/>
          <w:shd w:val="clear" w:color="auto" w:fill="FFFFFF"/>
        </w:rPr>
      </w:pPr>
      <w:r w:rsidRPr="00195D24">
        <w:rPr>
          <w:rFonts w:ascii="ITC Avant Garde" w:eastAsia="Times New Roman" w:hAnsi="ITC Avant Garde"/>
          <w:b/>
          <w:bCs/>
          <w:color w:val="000000"/>
          <w:lang w:eastAsia="es-MX"/>
        </w:rPr>
        <w:t>Caducidad</w:t>
      </w:r>
    </w:p>
    <w:p w14:paraId="1CB0CCE3" w14:textId="77777777" w:rsidR="00E2222D" w:rsidRDefault="00D56848" w:rsidP="00907F25">
      <w:pPr>
        <w:numPr>
          <w:ilvl w:val="0"/>
          <w:numId w:val="31"/>
        </w:numPr>
        <w:spacing w:after="240" w:line="360" w:lineRule="auto"/>
        <w:ind w:left="1077" w:right="567" w:hanging="510"/>
        <w:contextualSpacing/>
        <w:jc w:val="both"/>
        <w:rPr>
          <w:rFonts w:ascii="ITC Avant Garde" w:hAnsi="ITC Avant Garde"/>
          <w:i/>
          <w:shd w:val="clear" w:color="auto" w:fill="FFFFFF"/>
        </w:rPr>
      </w:pPr>
      <w:r>
        <w:rPr>
          <w:rFonts w:ascii="ITC Avant Garde" w:hAnsi="ITC Avant Garde"/>
          <w:i/>
          <w:shd w:val="clear" w:color="auto" w:fill="FFFFFF"/>
        </w:rPr>
        <w:t>Mediante oficio IFT/225/UC/DG-VER/5395/2015 de 3 de diciembre de 2015 el Director General de Verificación de la Unidad de Cumplimiento emitió orden de visita</w:t>
      </w:r>
      <w:r w:rsidR="006B5B64">
        <w:rPr>
          <w:rFonts w:ascii="ITC Avant Garde" w:hAnsi="ITC Avant Garde"/>
          <w:i/>
          <w:shd w:val="clear" w:color="auto" w:fill="FFFFFF"/>
        </w:rPr>
        <w:t>.</w:t>
      </w:r>
    </w:p>
    <w:p w14:paraId="2C10129A" w14:textId="77777777" w:rsidR="00E2222D" w:rsidRDefault="00D56848" w:rsidP="00907F25">
      <w:pPr>
        <w:numPr>
          <w:ilvl w:val="0"/>
          <w:numId w:val="31"/>
        </w:numPr>
        <w:spacing w:after="240" w:line="360" w:lineRule="auto"/>
        <w:ind w:left="1077" w:right="567" w:hanging="510"/>
        <w:contextualSpacing/>
        <w:jc w:val="both"/>
        <w:rPr>
          <w:rFonts w:ascii="ITC Avant Garde" w:hAnsi="ITC Avant Garde"/>
          <w:i/>
          <w:shd w:val="clear" w:color="auto" w:fill="FFFFFF"/>
        </w:rPr>
      </w:pPr>
      <w:r>
        <w:rPr>
          <w:rFonts w:ascii="ITC Avant Garde" w:hAnsi="ITC Avant Garde"/>
          <w:i/>
          <w:shd w:val="clear" w:color="auto" w:fill="FFFFFF"/>
        </w:rPr>
        <w:t>El 7 de diciembre de 2015 los inspectores realizaron una primera comisión, levantando el acta parcial IFT/DF/DGV/1299/2015.</w:t>
      </w:r>
    </w:p>
    <w:p w14:paraId="30316CFC" w14:textId="77777777" w:rsidR="00E2222D" w:rsidRDefault="00D56848" w:rsidP="00907F25">
      <w:pPr>
        <w:numPr>
          <w:ilvl w:val="0"/>
          <w:numId w:val="31"/>
        </w:numPr>
        <w:spacing w:after="240" w:line="360" w:lineRule="auto"/>
        <w:ind w:left="1077" w:right="567" w:hanging="510"/>
        <w:contextualSpacing/>
        <w:jc w:val="both"/>
        <w:rPr>
          <w:rFonts w:ascii="ITC Avant Garde" w:hAnsi="ITC Avant Garde"/>
          <w:i/>
          <w:shd w:val="clear" w:color="auto" w:fill="FFFFFF"/>
        </w:rPr>
      </w:pPr>
      <w:r>
        <w:rPr>
          <w:rFonts w:ascii="ITC Avant Garde" w:hAnsi="ITC Avant Garde"/>
          <w:i/>
          <w:shd w:val="clear" w:color="auto" w:fill="FFFFFF"/>
        </w:rPr>
        <w:t>El 10 de diciembre de 2015 los inspectores realizaron una segunda visita de verificación.</w:t>
      </w:r>
    </w:p>
    <w:p w14:paraId="67B2787F" w14:textId="77777777" w:rsidR="00E2222D" w:rsidRDefault="00D56848" w:rsidP="00907F25">
      <w:pPr>
        <w:numPr>
          <w:ilvl w:val="0"/>
          <w:numId w:val="31"/>
        </w:numPr>
        <w:spacing w:after="240" w:line="360" w:lineRule="auto"/>
        <w:ind w:left="1077" w:right="567" w:hanging="510"/>
        <w:contextualSpacing/>
        <w:jc w:val="both"/>
        <w:rPr>
          <w:rFonts w:ascii="ITC Avant Garde" w:hAnsi="ITC Avant Garde"/>
          <w:i/>
          <w:shd w:val="clear" w:color="auto" w:fill="FFFFFF"/>
        </w:rPr>
      </w:pPr>
      <w:r>
        <w:rPr>
          <w:rFonts w:ascii="ITC Avant Garde" w:hAnsi="ITC Avant Garde"/>
          <w:i/>
          <w:shd w:val="clear" w:color="auto" w:fill="FFFFFF"/>
        </w:rPr>
        <w:t>El plazo de 5 días hábiles para realizar manifestaciones feneció el 18 de diciembre de 2015.</w:t>
      </w:r>
    </w:p>
    <w:p w14:paraId="6A1598C3" w14:textId="77777777" w:rsidR="00E2222D" w:rsidRDefault="00D56848" w:rsidP="00907F25">
      <w:pPr>
        <w:numPr>
          <w:ilvl w:val="0"/>
          <w:numId w:val="31"/>
        </w:numPr>
        <w:spacing w:after="240" w:line="360" w:lineRule="auto"/>
        <w:ind w:left="1077" w:right="567" w:hanging="510"/>
        <w:contextualSpacing/>
        <w:jc w:val="both"/>
        <w:rPr>
          <w:rFonts w:ascii="ITC Avant Garde" w:hAnsi="ITC Avant Garde"/>
          <w:i/>
          <w:shd w:val="clear" w:color="auto" w:fill="FFFFFF"/>
        </w:rPr>
      </w:pPr>
      <w:r w:rsidRPr="003143B3">
        <w:rPr>
          <w:rFonts w:ascii="ITC Avant Garde" w:hAnsi="ITC Avant Garde"/>
          <w:i/>
          <w:shd w:val="clear" w:color="auto" w:fill="FFFFFF"/>
        </w:rPr>
        <w:t xml:space="preserve">Mediante oficio IFT/225/UC/DG-VER/0439/2016 de 14 de marzo de 2016, la Dirección General de Verificación remitió a la Unidad de Cumplimiento una propuesta de sanción en contra de mi representada por el supuesto incumplimiento al artículo 12 de los </w:t>
      </w:r>
      <w:r w:rsidRPr="003143B3">
        <w:rPr>
          <w:rFonts w:ascii="ITC Avant Garde" w:hAnsi="ITC Avant Garde"/>
          <w:b/>
          <w:i/>
          <w:shd w:val="clear" w:color="auto" w:fill="FFFFFF"/>
        </w:rPr>
        <w:t xml:space="preserve">LINEAMIENTOS, </w:t>
      </w:r>
      <w:r w:rsidRPr="003143B3">
        <w:rPr>
          <w:rFonts w:ascii="ITC Avant Garde" w:hAnsi="ITC Avant Garde"/>
          <w:i/>
          <w:shd w:val="clear" w:color="auto" w:fill="FFFFFF"/>
        </w:rPr>
        <w:t xml:space="preserve">el oficio anterior no se notificó </w:t>
      </w:r>
      <w:r>
        <w:rPr>
          <w:rFonts w:ascii="ITC Avant Garde" w:hAnsi="ITC Avant Garde"/>
          <w:i/>
          <w:shd w:val="clear" w:color="auto" w:fill="FFFFFF"/>
        </w:rPr>
        <w:t>personalmente a mi representada.</w:t>
      </w:r>
    </w:p>
    <w:p w14:paraId="5F0AE711" w14:textId="77777777" w:rsidR="00E2222D" w:rsidRDefault="00D56848" w:rsidP="00907F25">
      <w:pPr>
        <w:numPr>
          <w:ilvl w:val="0"/>
          <w:numId w:val="31"/>
        </w:numPr>
        <w:spacing w:after="240" w:line="360" w:lineRule="auto"/>
        <w:ind w:left="1077" w:right="567" w:hanging="510"/>
        <w:contextualSpacing/>
        <w:jc w:val="both"/>
        <w:rPr>
          <w:rFonts w:ascii="ITC Avant Garde" w:hAnsi="ITC Avant Garde"/>
          <w:i/>
          <w:shd w:val="clear" w:color="auto" w:fill="FFFFFF"/>
        </w:rPr>
      </w:pPr>
      <w:r>
        <w:rPr>
          <w:rFonts w:ascii="ITC Avant Garde" w:hAnsi="ITC Avant Garde"/>
          <w:i/>
          <w:shd w:val="clear" w:color="auto" w:fill="FFFFFF"/>
        </w:rPr>
        <w:lastRenderedPageBreak/>
        <w:t xml:space="preserve">Mediante oficio E-IFT.UC.DG-SAN.II.0030/2016 notificado el 4 de mayo de 2016 esa Unidad de Cumplimiento pretendió dar inicio al procedimiento de sanción, derivado de la resolución contenida en el </w:t>
      </w:r>
      <w:r w:rsidRPr="003143B3">
        <w:rPr>
          <w:rFonts w:ascii="ITC Avant Garde" w:hAnsi="ITC Avant Garde"/>
          <w:i/>
          <w:shd w:val="clear" w:color="auto" w:fill="FFFFFF"/>
        </w:rPr>
        <w:t>oficio IFT/225/UC/DG-VER/0439/2016</w:t>
      </w:r>
      <w:r>
        <w:rPr>
          <w:rFonts w:ascii="ITC Avant Garde" w:hAnsi="ITC Avant Garde"/>
          <w:i/>
          <w:shd w:val="clear" w:color="auto" w:fill="FFFFFF"/>
        </w:rPr>
        <w:t>.</w:t>
      </w:r>
    </w:p>
    <w:p w14:paraId="411FB2E1" w14:textId="77777777" w:rsidR="00E2222D" w:rsidRDefault="00D56848" w:rsidP="00907F25">
      <w:pPr>
        <w:numPr>
          <w:ilvl w:val="0"/>
          <w:numId w:val="31"/>
        </w:numPr>
        <w:spacing w:after="240" w:line="360" w:lineRule="auto"/>
        <w:ind w:left="1077" w:right="567" w:hanging="510"/>
        <w:contextualSpacing/>
        <w:jc w:val="both"/>
        <w:rPr>
          <w:rFonts w:ascii="ITC Avant Garde" w:hAnsi="ITC Avant Garde"/>
          <w:i/>
          <w:shd w:val="clear" w:color="auto" w:fill="FFFFFF"/>
        </w:rPr>
      </w:pPr>
      <w:r>
        <w:rPr>
          <w:rFonts w:ascii="ITC Avant Garde" w:hAnsi="ITC Avant Garde"/>
          <w:i/>
          <w:shd w:val="clear" w:color="auto" w:fill="FFFFFF"/>
        </w:rPr>
        <w:t>Lo anterior, ya que con posterioridad a los 5 días hábiles para realizar manifestaciones con la visita de verificación, que fenecieron el 18 de diciembre de 2015, la Dirección General de Verificación quedó obligada en términos de los artículos 17 y 39 de la LFPA.</w:t>
      </w:r>
    </w:p>
    <w:p w14:paraId="3B2B2B13" w14:textId="77777777" w:rsidR="00E2222D" w:rsidRDefault="00D56848" w:rsidP="00907F25">
      <w:pPr>
        <w:spacing w:after="240" w:line="360" w:lineRule="auto"/>
        <w:ind w:left="1077" w:right="567"/>
        <w:jc w:val="both"/>
        <w:rPr>
          <w:rFonts w:ascii="ITC Avant Garde" w:hAnsi="ITC Avant Garde"/>
          <w:i/>
          <w:shd w:val="clear" w:color="auto" w:fill="FFFFFF"/>
        </w:rPr>
      </w:pPr>
      <w:r>
        <w:rPr>
          <w:rFonts w:ascii="ITC Avant Garde" w:hAnsi="ITC Avant Garde"/>
          <w:i/>
          <w:shd w:val="clear" w:color="auto" w:fill="FFFFFF"/>
        </w:rPr>
        <w:t>Este término de tres meses previstos en el artículo 17 de la LFPA transcurrió del 19 de diciembre de 2015 al 18 de marzo de 2016, por lo que la Dirección General de Verificación debió dictar resolución a más tardar el 18 de marzo de 2016.</w:t>
      </w:r>
    </w:p>
    <w:p w14:paraId="2E0C2AC4" w14:textId="77777777" w:rsidR="00E2222D" w:rsidRDefault="00D56848" w:rsidP="00907F25">
      <w:pPr>
        <w:numPr>
          <w:ilvl w:val="0"/>
          <w:numId w:val="31"/>
        </w:numPr>
        <w:spacing w:after="240" w:line="360" w:lineRule="auto"/>
        <w:ind w:left="1134" w:right="567" w:hanging="567"/>
        <w:contextualSpacing/>
        <w:jc w:val="both"/>
        <w:rPr>
          <w:rFonts w:ascii="ITC Avant Garde" w:hAnsi="ITC Avant Garde"/>
          <w:i/>
          <w:shd w:val="clear" w:color="auto" w:fill="FFFFFF"/>
        </w:rPr>
      </w:pPr>
      <w:r w:rsidRPr="003D27F0">
        <w:rPr>
          <w:rFonts w:ascii="ITC Avant Garde" w:hAnsi="ITC Avant Garde"/>
          <w:i/>
          <w:shd w:val="clear" w:color="auto" w:fill="FFFFFF"/>
        </w:rPr>
        <w:t>Los treinta días posteriores al 18 de marzo de 2016 omitió dictar resolución por lo cual operó la caducidad presta en el artículo 60 de la LFPA.</w:t>
      </w:r>
    </w:p>
    <w:p w14:paraId="3214AF98" w14:textId="77777777" w:rsidR="00E2222D" w:rsidRDefault="00D56848" w:rsidP="00907F25">
      <w:pPr>
        <w:numPr>
          <w:ilvl w:val="0"/>
          <w:numId w:val="31"/>
        </w:numPr>
        <w:spacing w:after="240" w:line="360" w:lineRule="auto"/>
        <w:ind w:left="1134" w:right="567" w:hanging="414"/>
        <w:contextualSpacing/>
        <w:jc w:val="both"/>
        <w:rPr>
          <w:rFonts w:ascii="ITC Avant Garde" w:hAnsi="ITC Avant Garde"/>
          <w:i/>
          <w:shd w:val="clear" w:color="auto" w:fill="FFFFFF"/>
        </w:rPr>
      </w:pPr>
      <w:r w:rsidRPr="003D27F0">
        <w:rPr>
          <w:rFonts w:ascii="ITC Avant Garde" w:hAnsi="ITC Avant Garde"/>
          <w:i/>
          <w:shd w:val="clear" w:color="auto" w:fill="FFFFFF"/>
        </w:rPr>
        <w:t>La autoridad omitió dictar resolución y notificarla a mi representada antes del 18 de marzo y tampoco lo hizo antes del 2 de mayo de 2016.</w:t>
      </w:r>
    </w:p>
    <w:p w14:paraId="64D648FB" w14:textId="77777777" w:rsidR="00E2222D" w:rsidRDefault="00D56848" w:rsidP="00907F25">
      <w:pPr>
        <w:numPr>
          <w:ilvl w:val="0"/>
          <w:numId w:val="31"/>
        </w:numPr>
        <w:spacing w:after="240" w:line="360" w:lineRule="auto"/>
        <w:ind w:right="567"/>
        <w:contextualSpacing/>
        <w:jc w:val="both"/>
        <w:rPr>
          <w:rFonts w:ascii="ITC Avant Garde" w:hAnsi="ITC Avant Garde"/>
          <w:i/>
          <w:shd w:val="clear" w:color="auto" w:fill="FFFFFF"/>
        </w:rPr>
      </w:pPr>
      <w:r>
        <w:rPr>
          <w:rFonts w:ascii="ITC Avant Garde" w:hAnsi="ITC Avant Garde"/>
          <w:i/>
          <w:shd w:val="clear" w:color="auto" w:fill="FFFFFF"/>
        </w:rPr>
        <w:t>Por tanto, operó la caducidad del procedimiento.</w:t>
      </w:r>
    </w:p>
    <w:p w14:paraId="11D25696" w14:textId="77777777" w:rsidR="00E2222D" w:rsidRDefault="00D56848" w:rsidP="00907F25">
      <w:pPr>
        <w:numPr>
          <w:ilvl w:val="0"/>
          <w:numId w:val="31"/>
        </w:numPr>
        <w:spacing w:after="240" w:line="360" w:lineRule="auto"/>
        <w:ind w:right="567"/>
        <w:contextualSpacing/>
        <w:jc w:val="both"/>
        <w:rPr>
          <w:rFonts w:ascii="ITC Avant Garde" w:hAnsi="ITC Avant Garde"/>
          <w:i/>
          <w:shd w:val="clear" w:color="auto" w:fill="FFFFFF"/>
        </w:rPr>
      </w:pPr>
      <w:r>
        <w:rPr>
          <w:rFonts w:ascii="ITC Avant Garde" w:hAnsi="ITC Avant Garde"/>
          <w:i/>
          <w:shd w:val="clear" w:color="auto" w:fill="FFFFFF"/>
        </w:rPr>
        <w:t>No obstante lo anterior, la Unidad de Cumplimiento mediante oficio E-IFT.UC.DG-SAN.II.0030/2016 de 29 de abril de 2016, pretende dar inicio al procedimiento de sanción notificándolo el mismo 4 de mayo de 2016, por lo que es evidente que caducó el procedimiento administrativo.</w:t>
      </w:r>
    </w:p>
    <w:p w14:paraId="23D75D69" w14:textId="77777777" w:rsidR="00E2222D" w:rsidRDefault="00D56848" w:rsidP="00907F25">
      <w:pPr>
        <w:spacing w:after="240" w:line="360" w:lineRule="auto"/>
        <w:jc w:val="both"/>
        <w:rPr>
          <w:rFonts w:ascii="ITC Avant Garde" w:hAnsi="ITC Avant Garde"/>
          <w:shd w:val="clear" w:color="auto" w:fill="FFFFFF"/>
        </w:rPr>
      </w:pPr>
      <w:r>
        <w:rPr>
          <w:rFonts w:ascii="ITC Avant Garde" w:hAnsi="ITC Avant Garde"/>
          <w:shd w:val="clear" w:color="auto" w:fill="FFFFFF"/>
        </w:rPr>
        <w:t xml:space="preserve">Dicho argumento resulta </w:t>
      </w:r>
      <w:r w:rsidRPr="00310D70">
        <w:rPr>
          <w:rFonts w:ascii="ITC Avant Garde" w:hAnsi="ITC Avant Garde"/>
          <w:b/>
          <w:u w:val="single"/>
          <w:shd w:val="clear" w:color="auto" w:fill="FFFFFF"/>
        </w:rPr>
        <w:t>infundado</w:t>
      </w:r>
      <w:r>
        <w:rPr>
          <w:rFonts w:ascii="ITC Avant Garde" w:hAnsi="ITC Avant Garde"/>
          <w:shd w:val="clear" w:color="auto" w:fill="FFFFFF"/>
        </w:rPr>
        <w:t>, en atención a las siguientes consideraciones:</w:t>
      </w:r>
    </w:p>
    <w:p w14:paraId="372C3579" w14:textId="77777777" w:rsidR="00E2222D" w:rsidRDefault="00416ED3" w:rsidP="00907F25">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w:t>
      </w:r>
      <w:r w:rsidR="00D56848" w:rsidRPr="00E00013">
        <w:rPr>
          <w:rFonts w:ascii="ITC Avant Garde" w:eastAsia="Times New Roman" w:hAnsi="ITC Avant Garde"/>
          <w:bCs/>
          <w:color w:val="000000"/>
          <w:lang w:eastAsia="es-MX"/>
        </w:rPr>
        <w:t xml:space="preserve">l Primer Tribunal Colegiado de Circuito en Materia Administrativa Especializado en Competencia Económica, Radiodifusión y Telecomunicaciones con residencia en </w:t>
      </w:r>
      <w:r>
        <w:rPr>
          <w:rFonts w:ascii="ITC Avant Garde" w:eastAsia="Times New Roman" w:hAnsi="ITC Avant Garde"/>
          <w:bCs/>
          <w:color w:val="000000"/>
          <w:lang w:eastAsia="es-MX"/>
        </w:rPr>
        <w:t>la Ciudad de México</w:t>
      </w:r>
      <w:r w:rsidR="00D56848" w:rsidRPr="00E00013">
        <w:rPr>
          <w:rFonts w:ascii="ITC Avant Garde" w:eastAsia="Times New Roman" w:hAnsi="ITC Avant Garde"/>
          <w:bCs/>
          <w:color w:val="000000"/>
          <w:lang w:eastAsia="es-MX"/>
        </w:rPr>
        <w:t xml:space="preserve"> y jurisdicción territorial en toda la República, en su ejecutoría de </w:t>
      </w:r>
      <w:r w:rsidR="00D56848">
        <w:rPr>
          <w:rFonts w:ascii="ITC Avant Garde" w:eastAsia="Times New Roman" w:hAnsi="ITC Avant Garde"/>
          <w:bCs/>
          <w:color w:val="000000"/>
          <w:lang w:eastAsia="es-MX"/>
        </w:rPr>
        <w:t xml:space="preserve">seis </w:t>
      </w:r>
      <w:r w:rsidR="00D56848" w:rsidRPr="00E00013">
        <w:rPr>
          <w:rFonts w:ascii="ITC Avant Garde" w:eastAsia="Times New Roman" w:hAnsi="ITC Avant Garde"/>
          <w:bCs/>
          <w:color w:val="000000"/>
          <w:lang w:eastAsia="es-MX"/>
        </w:rPr>
        <w:lastRenderedPageBreak/>
        <w:t xml:space="preserve">de marzo de </w:t>
      </w:r>
      <w:r w:rsidR="00D56848">
        <w:rPr>
          <w:rFonts w:ascii="ITC Avant Garde" w:eastAsia="Times New Roman" w:hAnsi="ITC Avant Garde"/>
          <w:bCs/>
          <w:color w:val="000000"/>
          <w:lang w:eastAsia="es-MX"/>
        </w:rPr>
        <w:t xml:space="preserve">dos mil catorce </w:t>
      </w:r>
      <w:r w:rsidR="00CB2454">
        <w:rPr>
          <w:rFonts w:ascii="ITC Avant Garde" w:eastAsia="Times New Roman" w:hAnsi="ITC Avant Garde"/>
          <w:bCs/>
          <w:color w:val="000000"/>
          <w:lang w:eastAsia="es-MX"/>
        </w:rPr>
        <w:t xml:space="preserve">dictada </w:t>
      </w:r>
      <w:r w:rsidR="00D56848" w:rsidRPr="00E00013">
        <w:rPr>
          <w:rFonts w:ascii="ITC Avant Garde" w:eastAsia="Times New Roman" w:hAnsi="ITC Avant Garde"/>
          <w:bCs/>
          <w:color w:val="000000"/>
          <w:lang w:eastAsia="es-MX"/>
        </w:rPr>
        <w:t xml:space="preserve">en el amparo en revisión </w:t>
      </w:r>
      <w:r w:rsidR="00D56848" w:rsidRPr="00E00013">
        <w:rPr>
          <w:rFonts w:ascii="ITC Avant Garde" w:eastAsia="Times New Roman" w:hAnsi="ITC Avant Garde"/>
          <w:b/>
          <w:bCs/>
          <w:color w:val="000000"/>
          <w:lang w:eastAsia="es-MX"/>
        </w:rPr>
        <w:t>R.A.</w:t>
      </w:r>
      <w:r w:rsidR="00CB2454">
        <w:rPr>
          <w:rFonts w:ascii="ITC Avant Garde" w:eastAsia="Times New Roman" w:hAnsi="ITC Avant Garde"/>
          <w:b/>
          <w:bCs/>
          <w:color w:val="000000"/>
          <w:lang w:eastAsia="es-MX"/>
        </w:rPr>
        <w:t xml:space="preserve"> </w:t>
      </w:r>
      <w:r w:rsidR="00D56848" w:rsidRPr="00E00013">
        <w:rPr>
          <w:rFonts w:ascii="ITC Avant Garde" w:eastAsia="Times New Roman" w:hAnsi="ITC Avant Garde"/>
          <w:b/>
          <w:bCs/>
          <w:color w:val="000000"/>
          <w:lang w:eastAsia="es-MX"/>
        </w:rPr>
        <w:t>5/2014</w:t>
      </w:r>
      <w:r w:rsidR="00D56848" w:rsidRPr="00E00013">
        <w:rPr>
          <w:rFonts w:ascii="ITC Avant Garde" w:eastAsia="Times New Roman" w:hAnsi="ITC Avant Garde"/>
          <w:bCs/>
          <w:color w:val="000000"/>
          <w:lang w:eastAsia="es-MX"/>
        </w:rPr>
        <w:t>, en las partes que interesa resolvió lo siguiente:</w:t>
      </w:r>
    </w:p>
    <w:p w14:paraId="0D575D5D" w14:textId="77777777" w:rsidR="00E2222D" w:rsidRDefault="00D56848" w:rsidP="00907F25">
      <w:pPr>
        <w:tabs>
          <w:tab w:val="left" w:pos="851"/>
        </w:tabs>
        <w:spacing w:after="240" w:line="360" w:lineRule="auto"/>
        <w:ind w:left="567" w:right="567"/>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 En concordancia con los hechos antes referidos, debe apuntarse que ambas partes coinciden en principio [y, por ende no existe controversia alguna], en torno a lo siguiente:</w:t>
      </w:r>
    </w:p>
    <w:p w14:paraId="45C0E64B" w14:textId="77777777" w:rsidR="00E2222D" w:rsidRDefault="00D56848" w:rsidP="00907F25">
      <w:pPr>
        <w:numPr>
          <w:ilvl w:val="0"/>
          <w:numId w:val="24"/>
        </w:numPr>
        <w:tabs>
          <w:tab w:val="left" w:pos="1134"/>
        </w:tabs>
        <w:spacing w:after="240" w:line="360" w:lineRule="auto"/>
        <w:ind w:left="1134" w:right="567" w:hanging="567"/>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 xml:space="preserve">Que </w:t>
      </w:r>
      <w:r w:rsidRPr="00E00013">
        <w:rPr>
          <w:rFonts w:ascii="ITC Avant Garde" w:eastAsia="Times New Roman" w:hAnsi="ITC Avant Garde"/>
          <w:b/>
          <w:bCs/>
          <w:i/>
          <w:color w:val="000000"/>
          <w:u w:val="single"/>
          <w:lang w:eastAsia="es-MX"/>
        </w:rPr>
        <w:t>las visitas de verificación se encuentran reguladas por normas generales del procedimiento administrativo</w:t>
      </w:r>
      <w:r w:rsidRPr="00E00013">
        <w:rPr>
          <w:rFonts w:ascii="ITC Avant Garde" w:eastAsia="Times New Roman" w:hAnsi="ITC Avant Garde"/>
          <w:bCs/>
          <w:i/>
          <w:color w:val="000000"/>
          <w:lang w:eastAsia="es-MX"/>
        </w:rPr>
        <w:t xml:space="preserve">, establecidas en el título tercero de la Ley Federal de Procedimiento Administrativo, en tanto que los </w:t>
      </w:r>
      <w:r w:rsidRPr="00E00013">
        <w:rPr>
          <w:rFonts w:ascii="ITC Avant Garde" w:eastAsia="Times New Roman" w:hAnsi="ITC Avant Garde"/>
          <w:b/>
          <w:bCs/>
          <w:i/>
          <w:color w:val="000000"/>
          <w:u w:val="single"/>
          <w:lang w:eastAsia="es-MX"/>
        </w:rPr>
        <w:t>artículos 62 a 69</w:t>
      </w:r>
      <w:r w:rsidRPr="00E00013">
        <w:rPr>
          <w:rFonts w:ascii="ITC Avant Garde" w:eastAsia="Times New Roman" w:hAnsi="ITC Avant Garde"/>
          <w:bCs/>
          <w:i/>
          <w:color w:val="000000"/>
          <w:lang w:eastAsia="es-MX"/>
        </w:rPr>
        <w:t xml:space="preserve"> de dicho ordenamiento, que las prevé, y en los que la autoridad fundó la emisión de la orden de visita, se encuentran comprendidos en el capítulo décimo primero del referido título tercero.</w:t>
      </w:r>
    </w:p>
    <w:p w14:paraId="500F7C8F" w14:textId="77777777" w:rsidR="00E2222D" w:rsidRDefault="00D56848" w:rsidP="00907F25">
      <w:pPr>
        <w:numPr>
          <w:ilvl w:val="0"/>
          <w:numId w:val="24"/>
        </w:numPr>
        <w:tabs>
          <w:tab w:val="left" w:pos="1134"/>
        </w:tabs>
        <w:spacing w:after="240" w:line="360" w:lineRule="auto"/>
        <w:ind w:left="1134" w:right="567" w:hanging="567"/>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Que la finalidad de esas visitas, consisten en que la autoridad administrativa constate y asiente en el acta respectiva si el visitado cumple o no con las disposiciones legales y reglamentarias aplicables.</w:t>
      </w:r>
    </w:p>
    <w:p w14:paraId="5B92816A" w14:textId="77777777" w:rsidR="00E2222D" w:rsidRDefault="00D56848" w:rsidP="00907F25">
      <w:pPr>
        <w:numPr>
          <w:ilvl w:val="0"/>
          <w:numId w:val="24"/>
        </w:numPr>
        <w:tabs>
          <w:tab w:val="left" w:pos="1134"/>
        </w:tabs>
        <w:spacing w:after="240" w:line="360" w:lineRule="auto"/>
        <w:ind w:left="1134" w:right="567" w:hanging="567"/>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Que el resultado del acta circunstanciada, puede motivarse el inicio del diverso procedimiento sancionatorio.</w:t>
      </w:r>
    </w:p>
    <w:p w14:paraId="0B348947" w14:textId="77777777" w:rsidR="00E2222D" w:rsidRDefault="00D56848" w:rsidP="00907F25">
      <w:pPr>
        <w:numPr>
          <w:ilvl w:val="0"/>
          <w:numId w:val="24"/>
        </w:numPr>
        <w:tabs>
          <w:tab w:val="left" w:pos="1134"/>
        </w:tabs>
        <w:spacing w:after="240" w:line="360" w:lineRule="auto"/>
        <w:ind w:left="1134" w:right="567" w:hanging="567"/>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Que es el mismo ordenamiento legal, el que establece en su título cuarto ese procedimiento cuya finalidad es sancionar aquel gobernado que hubiere incurrido en alguna infracción a las disposiciones administrativas aplicables derivado de los resultados en la visita.</w:t>
      </w:r>
    </w:p>
    <w:p w14:paraId="35FD1372" w14:textId="77777777" w:rsidR="00E2222D" w:rsidRDefault="00D56848" w:rsidP="00907F25">
      <w:pPr>
        <w:numPr>
          <w:ilvl w:val="0"/>
          <w:numId w:val="24"/>
        </w:numPr>
        <w:tabs>
          <w:tab w:val="left" w:pos="1134"/>
        </w:tabs>
        <w:spacing w:after="240" w:line="360" w:lineRule="auto"/>
        <w:ind w:left="1134" w:right="567" w:hanging="567"/>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 xml:space="preserve">Que por lo </w:t>
      </w:r>
      <w:r w:rsidRPr="00E00013">
        <w:rPr>
          <w:rFonts w:ascii="ITC Avant Garde" w:eastAsia="Times New Roman" w:hAnsi="ITC Avant Garde"/>
          <w:b/>
          <w:bCs/>
          <w:i/>
          <w:color w:val="000000"/>
          <w:u w:val="single"/>
          <w:lang w:eastAsia="es-MX"/>
        </w:rPr>
        <w:t>tanto ambos procedimientos, el de verificación y el sancionatorio, no pueden entenderse en forma aislada</w:t>
      </w:r>
      <w:r w:rsidRPr="00E00013">
        <w:rPr>
          <w:rFonts w:ascii="ITC Avant Garde" w:eastAsia="Times New Roman" w:hAnsi="ITC Avant Garde"/>
          <w:bCs/>
          <w:i/>
          <w:color w:val="000000"/>
          <w:lang w:eastAsia="es-MX"/>
        </w:rPr>
        <w:t xml:space="preserve">, ya que la Ley Federal de Procedimiento Administrativo los contempla como dos </w:t>
      </w:r>
      <w:r w:rsidRPr="00E00013">
        <w:rPr>
          <w:rFonts w:ascii="ITC Avant Garde" w:eastAsia="Times New Roman" w:hAnsi="ITC Avant Garde"/>
          <w:bCs/>
          <w:i/>
          <w:color w:val="000000"/>
          <w:lang w:eastAsia="es-MX"/>
        </w:rPr>
        <w:lastRenderedPageBreak/>
        <w:t>etapas íntimamente vinculadas, pero los regula de manera independiente.</w:t>
      </w:r>
    </w:p>
    <w:p w14:paraId="4DACD2FA" w14:textId="77777777" w:rsidR="00E2222D" w:rsidRDefault="00D56848" w:rsidP="00907F25">
      <w:pPr>
        <w:tabs>
          <w:tab w:val="left" w:pos="851"/>
        </w:tabs>
        <w:spacing w:after="240" w:line="360" w:lineRule="auto"/>
        <w:ind w:left="567" w:right="567"/>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Sin embargo, son dos aspectos en los que se difiere la autoridad en relación al procedimiento de verificación:</w:t>
      </w:r>
    </w:p>
    <w:p w14:paraId="346469F3" w14:textId="77777777" w:rsidR="00E2222D" w:rsidRDefault="00D56848" w:rsidP="00907F25">
      <w:pPr>
        <w:numPr>
          <w:ilvl w:val="0"/>
          <w:numId w:val="23"/>
        </w:numPr>
        <w:tabs>
          <w:tab w:val="left" w:pos="1134"/>
        </w:tabs>
        <w:spacing w:after="240" w:line="360" w:lineRule="auto"/>
        <w:ind w:left="1134" w:right="567" w:hanging="567"/>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En cuanto a que debe recaerle una resolución; y</w:t>
      </w:r>
    </w:p>
    <w:p w14:paraId="65878B4C" w14:textId="77777777" w:rsidR="00E2222D" w:rsidRDefault="00D56848" w:rsidP="00907F25">
      <w:pPr>
        <w:numPr>
          <w:ilvl w:val="0"/>
          <w:numId w:val="23"/>
        </w:numPr>
        <w:tabs>
          <w:tab w:val="left" w:pos="1134"/>
        </w:tabs>
        <w:spacing w:after="240" w:line="360" w:lineRule="auto"/>
        <w:ind w:left="1134" w:right="567" w:hanging="567"/>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En cuanto a que en la especie, la misma se hubiera emitido fuera del plazo.</w:t>
      </w:r>
    </w:p>
    <w:p w14:paraId="0A391720" w14:textId="77777777" w:rsidR="00E2222D" w:rsidRDefault="00D56848" w:rsidP="00907F25">
      <w:pPr>
        <w:spacing w:after="240" w:line="360" w:lineRule="auto"/>
        <w:ind w:left="567" w:right="567"/>
        <w:contextualSpacing/>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w:t>
      </w:r>
    </w:p>
    <w:p w14:paraId="5F64657F" w14:textId="77777777" w:rsidR="00E2222D" w:rsidRDefault="00D56848" w:rsidP="00907F25">
      <w:pPr>
        <w:spacing w:after="240" w:line="360" w:lineRule="auto"/>
        <w:ind w:left="567" w:right="567"/>
        <w:contextualSpacing/>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Conviene acudir a lo dispuesto por los artículos 16, fracción X, 17 y 57 de la Ley Federal de Procedimiento Administrativo, que establecen:</w:t>
      </w:r>
    </w:p>
    <w:p w14:paraId="107493CA" w14:textId="77777777" w:rsidR="00E2222D" w:rsidRDefault="00D56848" w:rsidP="00907F25">
      <w:pPr>
        <w:spacing w:after="240" w:line="360" w:lineRule="auto"/>
        <w:ind w:left="567" w:right="567"/>
        <w:contextualSpacing/>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(TRANSCRIBE)</w:t>
      </w:r>
    </w:p>
    <w:p w14:paraId="04044876"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En el primero de los preceptos transcrito, establece que la administración pública federal, en sus relaciones con los particulares, tiene la obligación de dictar resolución expresa en los procedimientos iniciados de oficio, cuando su instrucción y resolución afecte a terceros.</w:t>
      </w:r>
    </w:p>
    <w:p w14:paraId="7D9F0162"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El diverso 17 del propio ordenamiento, establece que, salvo que en otra disposición legal o administrativa de carácter general se establezca otro plazo, no podrá exceder de tres meses el tiempo para que la dependencia u organismo descentralizado resuelva lo que corresponda.</w:t>
      </w:r>
    </w:p>
    <w:p w14:paraId="5308A0C2"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Y la fracción I del artículo 57, establece que pone fin al procedimiento administrativo, la resolución que en el mismo se dicte.</w:t>
      </w:r>
    </w:p>
    <w:p w14:paraId="21D6F5E3"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E00013">
        <w:rPr>
          <w:rFonts w:ascii="ITC Avant Garde" w:eastAsia="Times New Roman" w:hAnsi="ITC Avant Garde"/>
          <w:bCs/>
          <w:i/>
          <w:color w:val="000000"/>
          <w:lang w:eastAsia="es-MX"/>
        </w:rPr>
        <w:t xml:space="preserve">Así, de una interpretación armónica de </w:t>
      </w:r>
      <w:r w:rsidRPr="00E00013">
        <w:rPr>
          <w:rFonts w:ascii="ITC Avant Garde" w:eastAsia="Times New Roman" w:hAnsi="ITC Avant Garde"/>
          <w:b/>
          <w:bCs/>
          <w:i/>
          <w:color w:val="000000"/>
          <w:lang w:eastAsia="es-MX"/>
        </w:rPr>
        <w:t>l</w:t>
      </w:r>
      <w:r w:rsidRPr="00E00013">
        <w:rPr>
          <w:rFonts w:ascii="ITC Avant Garde" w:eastAsia="Times New Roman" w:hAnsi="ITC Avant Garde"/>
          <w:b/>
          <w:bCs/>
          <w:i/>
          <w:color w:val="000000"/>
          <w:u w:val="single"/>
          <w:lang w:eastAsia="es-MX"/>
        </w:rPr>
        <w:t>os artículos 62 a 69 de la Ley Federal de Procedimiento Administrativo</w:t>
      </w:r>
      <w:r w:rsidRPr="00E00013">
        <w:rPr>
          <w:rFonts w:ascii="ITC Avant Garde" w:eastAsia="Times New Roman" w:hAnsi="ITC Avant Garde"/>
          <w:bCs/>
          <w:i/>
          <w:color w:val="000000"/>
          <w:lang w:eastAsia="es-MX"/>
        </w:rPr>
        <w:t xml:space="preserve"> que, de manera específica </w:t>
      </w:r>
      <w:r w:rsidRPr="00E00013">
        <w:rPr>
          <w:rFonts w:ascii="ITC Avant Garde" w:eastAsia="Times New Roman" w:hAnsi="ITC Avant Garde"/>
          <w:b/>
          <w:bCs/>
          <w:i/>
          <w:color w:val="000000"/>
          <w:u w:val="single"/>
          <w:lang w:eastAsia="es-MX"/>
        </w:rPr>
        <w:t>regula los procedimientos de verificación</w:t>
      </w:r>
      <w:r w:rsidRPr="00E00013">
        <w:rPr>
          <w:rFonts w:ascii="ITC Avant Garde" w:eastAsia="Times New Roman" w:hAnsi="ITC Avant Garde"/>
          <w:bCs/>
          <w:i/>
          <w:color w:val="000000"/>
          <w:lang w:eastAsia="es-MX"/>
        </w:rPr>
        <w:t xml:space="preserve">, con los citados numerales… relativos al procedimiento en general, se obtiene pues, que dado el fin público del ejercicio de facultades de la autoridad administrativa, en específico del procedimiento de verificación que nos ocupa, </w:t>
      </w:r>
      <w:r w:rsidRPr="00E00013">
        <w:rPr>
          <w:rFonts w:ascii="ITC Avant Garde" w:eastAsia="Times New Roman" w:hAnsi="ITC Avant Garde"/>
          <w:b/>
          <w:bCs/>
          <w:i/>
          <w:color w:val="000000"/>
          <w:u w:val="single"/>
          <w:lang w:eastAsia="es-MX"/>
        </w:rPr>
        <w:t xml:space="preserve">el dictado de la resolución, </w:t>
      </w:r>
      <w:r w:rsidRPr="00E00013">
        <w:rPr>
          <w:rFonts w:ascii="ITC Avant Garde" w:eastAsia="Times New Roman" w:hAnsi="ITC Avant Garde"/>
          <w:b/>
          <w:bCs/>
          <w:i/>
          <w:color w:val="000000"/>
          <w:u w:val="single"/>
          <w:lang w:eastAsia="es-MX"/>
        </w:rPr>
        <w:lastRenderedPageBreak/>
        <w:t>constituye una consecuencia propia de la instauración del procedimiento</w:t>
      </w:r>
      <w:r w:rsidRPr="00E00013">
        <w:rPr>
          <w:rFonts w:ascii="ITC Avant Garde" w:eastAsia="Times New Roman" w:hAnsi="ITC Avant Garde"/>
          <w:b/>
          <w:bCs/>
          <w:i/>
          <w:color w:val="000000"/>
          <w:lang w:eastAsia="es-MX"/>
        </w:rPr>
        <w:t xml:space="preserve"> </w:t>
      </w:r>
      <w:r w:rsidRPr="00E00013">
        <w:rPr>
          <w:rFonts w:ascii="ITC Avant Garde" w:eastAsia="Times New Roman" w:hAnsi="ITC Avant Garde"/>
          <w:bCs/>
          <w:i/>
          <w:color w:val="000000"/>
          <w:lang w:eastAsia="es-MX"/>
        </w:rPr>
        <w:t xml:space="preserve">por parte de la autoridad en su relación con los visitados y, por tanto, en virtud del principio de legalidad y seguridad jurídica establecido a favor de los gobernados en el artículo 16 constitucional, </w:t>
      </w:r>
      <w:r w:rsidRPr="00E00013">
        <w:rPr>
          <w:rFonts w:ascii="ITC Avant Garde" w:eastAsia="Times New Roman" w:hAnsi="ITC Avant Garde"/>
          <w:b/>
          <w:bCs/>
          <w:i/>
          <w:color w:val="000000"/>
          <w:u w:val="single"/>
          <w:lang w:eastAsia="es-MX"/>
        </w:rPr>
        <w:t>es dable concluir en que las autoridades sí se encuentran obligadas a emitir resolución</w:t>
      </w:r>
      <w:r w:rsidRPr="00E00013">
        <w:rPr>
          <w:rFonts w:ascii="ITC Avant Garde" w:eastAsia="Times New Roman" w:hAnsi="ITC Avant Garde"/>
          <w:b/>
          <w:bCs/>
          <w:i/>
          <w:color w:val="000000"/>
          <w:lang w:eastAsia="es-MX"/>
        </w:rPr>
        <w:t xml:space="preserve"> </w:t>
      </w:r>
      <w:r w:rsidRPr="00E00013">
        <w:rPr>
          <w:rFonts w:ascii="ITC Avant Garde" w:eastAsia="Times New Roman" w:hAnsi="ITC Avant Garde"/>
          <w:bCs/>
          <w:i/>
          <w:color w:val="000000"/>
          <w:lang w:eastAsia="es-MX"/>
        </w:rPr>
        <w:t xml:space="preserve">que defina la situación derivada del ejercicio de sus facultades, a pesar que de manera expresa no se señale así en el capítulo de la Ley Federal de Procedimiento Administrativo… </w:t>
      </w:r>
    </w:p>
    <w:p w14:paraId="79C429AD"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Bajo ese contexto, resulta ser infundado el agravio de la autoridad en el que señala que no existe el deber de emitir una resolución en los procedimientos verificatorios, así como el que el plazo otorgado para ofrecer pruebas y alegatos no constituye derecho de audiencia…</w:t>
      </w:r>
    </w:p>
    <w:p w14:paraId="43D52C9B"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 xml:space="preserve">… Y en cuanto al segundo tópico, la recurrente señala que </w:t>
      </w:r>
      <w:r w:rsidRPr="009B32EC">
        <w:rPr>
          <w:rFonts w:ascii="ITC Avant Garde" w:eastAsia="Times New Roman" w:hAnsi="ITC Avant Garde"/>
          <w:b/>
          <w:bCs/>
          <w:i/>
          <w:color w:val="000000"/>
          <w:u w:val="single"/>
          <w:lang w:eastAsia="es-MX"/>
        </w:rPr>
        <w:t>en el supuesto sin conceder, que a la visita de verificación debiera de recaer una resolución con la que se hubiera puesto fin al procedimiento y se decidiera la situación jurídica del visitado</w:t>
      </w:r>
      <w:r w:rsidRPr="009B32EC">
        <w:rPr>
          <w:rFonts w:ascii="ITC Avant Garde" w:eastAsia="Times New Roman" w:hAnsi="ITC Avant Garde"/>
          <w:bCs/>
          <w:i/>
          <w:color w:val="000000"/>
          <w:lang w:eastAsia="es-MX"/>
        </w:rPr>
        <w:t xml:space="preserve"> respecto a los hechos descritos en el acta de verificación, dijo que ésta, </w:t>
      </w:r>
      <w:r w:rsidRPr="009B32EC">
        <w:rPr>
          <w:rFonts w:ascii="ITC Avant Garde" w:eastAsia="Times New Roman" w:hAnsi="ITC Avant Garde"/>
          <w:b/>
          <w:bCs/>
          <w:i/>
          <w:color w:val="000000"/>
          <w:u w:val="single"/>
          <w:lang w:eastAsia="es-MX"/>
        </w:rPr>
        <w:t>en todo caso, había sido, la contenida en el oficio de catorce de agosto de dos mil trece, mediante la cual se dio inicio al procedimiento administrativo sancionatorio</w:t>
      </w:r>
      <w:r w:rsidRPr="009B32EC">
        <w:rPr>
          <w:rFonts w:ascii="ITC Avant Garde" w:eastAsia="Times New Roman" w:hAnsi="ITC Avant Garde"/>
          <w:bCs/>
          <w:i/>
          <w:color w:val="000000"/>
          <w:lang w:eastAsia="es-MX"/>
        </w:rPr>
        <w:t>; pero que, de ninguna forma se encuentra fuera de los plazos previstos en la ley, toda vez que debía estarse al plazo de tres meses previsto en el artículo 17 de la Ley Federal de Procedimiento administrativo, y no aplicar analógicamente el establecido en el artículo 74 del mismo ordenamiento, como lo hizo la juzgadora federal.</w:t>
      </w:r>
    </w:p>
    <w:p w14:paraId="4885E48C"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w:t>
      </w:r>
    </w:p>
    <w:p w14:paraId="6354E193"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Así, el punto central a dirimir es establecer sí la norma aplicable al respecto, lo es el numeral 17 o 74 de la Ley Federal de Procedimiento Administrativo. Aspecto relevante dentro de la litis que nos ocupa, pues ello dependerá la oportunidad en la emisión del acto de mérito.</w:t>
      </w:r>
    </w:p>
    <w:p w14:paraId="2F395089"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lastRenderedPageBreak/>
        <w:t>Para ello, conviene acudir a la estructura de la Ley Federal de Procedimiento Administrativo, de la que se obtiene que, dentro del Título Tercero relativo a la regulación en general del Procedimiento Administrativo, se incluye en su capítulo décimo primero, bajo los artículos 62 a 69, la sustanciación de las visitas de verificación; y con posterioridad, dentro del Título cuarto, en un capítulo único, denominado “De las infracciones y Sanciones” regula en sus artículos del 72 al 79, el procedimiento para la imposición de sanciones, como se demuestra con la transcripción de los preceptos que interesan:</w:t>
      </w:r>
    </w:p>
    <w:p w14:paraId="7D3910AC"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(TRANSCRIBE)</w:t>
      </w:r>
    </w:p>
    <w:p w14:paraId="21FC0E5D"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Derivado del análisis a tales preceptos, tenemos que el artículo 74 se encuentra inmerso en el capítulo Único del Título Cuarto de la Ley Federal de Procedimiento Administrativo, denominado “DE LAS INFRACCIONES Y SANCIONES ADMINISTRATIVAS”, esto es, el artículo de mérito contenido en el título cuarto regula el procedimiento sancionatorio a que se refiere dicho título, diverso al de las vistas de verificación que regula el título tercero concretamente en su capítulo décimo primero y bajo los numerales 62 a 69.</w:t>
      </w:r>
    </w:p>
    <w:p w14:paraId="1D439BFD" w14:textId="17B8A76F"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 xml:space="preserve">Motivo por el cual </w:t>
      </w:r>
      <w:r w:rsidRPr="009B32EC">
        <w:rPr>
          <w:rFonts w:ascii="ITC Avant Garde" w:eastAsia="Times New Roman" w:hAnsi="ITC Avant Garde"/>
          <w:b/>
          <w:bCs/>
          <w:i/>
          <w:color w:val="000000"/>
          <w:u w:val="single"/>
          <w:lang w:eastAsia="es-MX"/>
        </w:rPr>
        <w:t>le asiste razón a la recurrente cuando establece que el plazo previsto en el artículo 74 de la Ley Federal de Procedimiento Administrativo, no puede regir la oportunidad o el límite para emitir la resolución que ponga fin al procedimiento de verificación, sino que sólo es aplicable al procedimiento sancionatorio iniciado en una etapa diversa</w:t>
      </w:r>
      <w:r w:rsidRPr="009B32EC">
        <w:rPr>
          <w:rFonts w:ascii="ITC Avant Garde" w:eastAsia="Times New Roman" w:hAnsi="ITC Avant Garde"/>
          <w:b/>
          <w:bCs/>
          <w:i/>
          <w:color w:val="000000"/>
          <w:lang w:eastAsia="es-MX"/>
        </w:rPr>
        <w:t xml:space="preserve"> </w:t>
      </w:r>
      <w:r w:rsidRPr="009B32EC">
        <w:rPr>
          <w:rFonts w:ascii="ITC Avant Garde" w:eastAsia="Times New Roman" w:hAnsi="ITC Avant Garde"/>
          <w:bCs/>
          <w:i/>
          <w:color w:val="000000"/>
          <w:lang w:eastAsia="es-MX"/>
        </w:rPr>
        <w:t>[y generalmente posterior a aquél].</w:t>
      </w:r>
    </w:p>
    <w:p w14:paraId="09E2D189"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 xml:space="preserve">Determinado, entonces, que </w:t>
      </w:r>
      <w:r w:rsidRPr="009B32EC">
        <w:rPr>
          <w:rFonts w:ascii="ITC Avant Garde" w:eastAsia="Times New Roman" w:hAnsi="ITC Avant Garde"/>
          <w:b/>
          <w:bCs/>
          <w:i/>
          <w:color w:val="000000"/>
          <w:u w:val="single"/>
          <w:lang w:eastAsia="es-MX"/>
        </w:rPr>
        <w:t>el artículo 74 no resulta ser aplicable al procedimiento de verificación</w:t>
      </w:r>
      <w:r w:rsidRPr="009B32EC">
        <w:rPr>
          <w:rFonts w:ascii="ITC Avant Garde" w:eastAsia="Times New Roman" w:hAnsi="ITC Avant Garde"/>
          <w:bCs/>
          <w:i/>
          <w:color w:val="000000"/>
          <w:lang w:eastAsia="es-MX"/>
        </w:rPr>
        <w:t xml:space="preserve"> y por ende, que el plazo ahí previsto no podría fijar el límite de la actuación de la autoridad, en tal procedimiento, debemos acudir a la lectura de los artículos que se contienen en el capítulo décimo primero, del título tercero de la Ley Federal de Procedimiento Administrativo, denominado “De las visitas de verificación”…</w:t>
      </w:r>
    </w:p>
    <w:p w14:paraId="0B030DED"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lastRenderedPageBreak/>
        <w:t xml:space="preserve">Y de ninguno de ellos se advierte plazo específico para emitir resolución correspondiente, lo cual encuentra eco, además en el hecho de que no hay disposición expresa que prevea tal emisión. </w:t>
      </w:r>
      <w:r w:rsidRPr="009B32EC">
        <w:rPr>
          <w:rFonts w:ascii="ITC Avant Garde" w:eastAsia="Times New Roman" w:hAnsi="ITC Avant Garde"/>
          <w:b/>
          <w:bCs/>
          <w:i/>
          <w:color w:val="000000"/>
          <w:u w:val="single"/>
          <w:lang w:eastAsia="es-MX"/>
        </w:rPr>
        <w:t xml:space="preserve">Entonces cobra aplicación la regla prevista en el artículo 17 de la Ley Federal de Procedimiento Administrativo </w:t>
      </w:r>
      <w:r w:rsidRPr="009B32EC">
        <w:rPr>
          <w:rFonts w:ascii="ITC Avant Garde" w:eastAsia="Times New Roman" w:hAnsi="ITC Avant Garde"/>
          <w:bCs/>
          <w:i/>
          <w:color w:val="000000"/>
          <w:lang w:eastAsia="es-MX"/>
        </w:rPr>
        <w:t xml:space="preserve">en comento, que establece que salvo que en otra disposición legal o administrativa de carácter general se establezca otro plazo, </w:t>
      </w:r>
      <w:r w:rsidRPr="009B32EC">
        <w:rPr>
          <w:rFonts w:ascii="ITC Avant Garde" w:eastAsia="Times New Roman" w:hAnsi="ITC Avant Garde"/>
          <w:b/>
          <w:bCs/>
          <w:i/>
          <w:color w:val="000000"/>
          <w:u w:val="single"/>
          <w:lang w:eastAsia="es-MX"/>
        </w:rPr>
        <w:t>no podrá exceder de tres meses el tiempo para que la dependencia u organismo descentralizado resuelva lo que corresponda</w:t>
      </w:r>
      <w:r w:rsidRPr="009B32EC">
        <w:rPr>
          <w:rFonts w:ascii="ITC Avant Garde" w:eastAsia="Times New Roman" w:hAnsi="ITC Avant Garde"/>
          <w:bCs/>
          <w:i/>
          <w:color w:val="000000"/>
          <w:lang w:eastAsia="es-MX"/>
        </w:rPr>
        <w:t xml:space="preserve">. </w:t>
      </w:r>
    </w:p>
    <w:p w14:paraId="3B8D178F"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En ese tenor, le asiste razón a la autoridad inconforme en cuanto a que el plazo para que en la especie, la autoridad emitiera la resolución que pusiera fin al procedimiento de verificación, era el previsto en el citado numeral 17 de la Ley Federal de Procedimiento Administrativo.</w:t>
      </w:r>
    </w:p>
    <w:p w14:paraId="2207AFC3"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w:t>
      </w:r>
    </w:p>
    <w:p w14:paraId="2CD85B93"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 xml:space="preserve">De esta forma, si el 19 de septiembre de 2013 feneció el término que tenía la autoridad para emitir la resolución, luego entonces, </w:t>
      </w:r>
      <w:r w:rsidRPr="009B32EC">
        <w:rPr>
          <w:rFonts w:ascii="ITC Avant Garde" w:eastAsia="Times New Roman" w:hAnsi="ITC Avant Garde"/>
          <w:b/>
          <w:bCs/>
          <w:i/>
          <w:color w:val="000000"/>
          <w:u w:val="single"/>
          <w:lang w:eastAsia="es-MX"/>
        </w:rPr>
        <w:t>era a partir del día siguiente que comenzaba el término de 30 días para que dicho procedimiento se extinguiera por caducidad de acuerdo al artículo 60 de la Ley Federal de Procedimiento Administrativo</w:t>
      </w:r>
      <w:r w:rsidRPr="009B32EC">
        <w:rPr>
          <w:rFonts w:ascii="ITC Avant Garde" w:eastAsia="Times New Roman" w:hAnsi="ITC Avant Garde"/>
          <w:bCs/>
          <w:i/>
          <w:color w:val="000000"/>
          <w:lang w:eastAsia="es-MX"/>
        </w:rPr>
        <w:t>, lo cual en el caso concreto concluyó el 31 de octubre de 2013.</w:t>
      </w:r>
    </w:p>
    <w:p w14:paraId="78929F13" w14:textId="77777777" w:rsidR="00E2222D" w:rsidRDefault="00D56848" w:rsidP="00907F25">
      <w:pPr>
        <w:spacing w:after="240" w:line="360" w:lineRule="auto"/>
        <w:ind w:left="567" w:right="567"/>
        <w:contextualSpacing/>
        <w:jc w:val="both"/>
        <w:rPr>
          <w:rFonts w:ascii="ITC Avant Garde" w:eastAsia="Times New Roman" w:hAnsi="ITC Avant Garde"/>
          <w:bCs/>
          <w:i/>
          <w:color w:val="000000"/>
          <w:lang w:eastAsia="es-MX"/>
        </w:rPr>
      </w:pPr>
      <w:r w:rsidRPr="009B32EC">
        <w:rPr>
          <w:rFonts w:ascii="ITC Avant Garde" w:eastAsia="Times New Roman" w:hAnsi="ITC Avant Garde"/>
          <w:bCs/>
          <w:i/>
          <w:color w:val="000000"/>
          <w:lang w:eastAsia="es-MX"/>
        </w:rPr>
        <w:t>(…)</w:t>
      </w:r>
    </w:p>
    <w:p w14:paraId="53A7B636" w14:textId="77777777" w:rsidR="00E2222D" w:rsidRDefault="00D56848" w:rsidP="00907F25">
      <w:pPr>
        <w:tabs>
          <w:tab w:val="left" w:pos="851"/>
        </w:tabs>
        <w:spacing w:after="240" w:line="360" w:lineRule="auto"/>
        <w:jc w:val="both"/>
        <w:rPr>
          <w:rFonts w:ascii="ITC Avant Garde" w:eastAsia="Times New Roman" w:hAnsi="ITC Avant Garde"/>
          <w:bCs/>
          <w:color w:val="000000"/>
          <w:lang w:eastAsia="es-MX"/>
        </w:rPr>
      </w:pPr>
      <w:r w:rsidRPr="009B32EC">
        <w:rPr>
          <w:rFonts w:ascii="ITC Avant Garde" w:eastAsia="Times New Roman" w:hAnsi="ITC Avant Garde"/>
          <w:bCs/>
          <w:color w:val="000000"/>
          <w:lang w:eastAsia="es-MX"/>
        </w:rPr>
        <w:t>Con base en lo anterior y toda vez que el H. Poder Judicial de la Federación ya se ha pronunciado con relación a la caducidad de los procedimientos de visitas de verificación, se pueden obtener las siguientes consideraciones:</w:t>
      </w:r>
    </w:p>
    <w:p w14:paraId="5663BA7F" w14:textId="77777777" w:rsidR="00E2222D" w:rsidRDefault="00D56848" w:rsidP="00907F25">
      <w:pPr>
        <w:numPr>
          <w:ilvl w:val="0"/>
          <w:numId w:val="25"/>
        </w:numPr>
        <w:spacing w:after="240" w:line="360" w:lineRule="auto"/>
        <w:ind w:left="567" w:hanging="567"/>
        <w:jc w:val="both"/>
        <w:rPr>
          <w:rFonts w:ascii="ITC Avant Garde" w:eastAsia="Times New Roman" w:hAnsi="ITC Avant Garde"/>
          <w:bCs/>
          <w:color w:val="000000"/>
          <w:lang w:eastAsia="es-MX"/>
        </w:rPr>
      </w:pPr>
      <w:r w:rsidRPr="009B32EC">
        <w:rPr>
          <w:rFonts w:ascii="ITC Avant Garde" w:eastAsia="Times New Roman" w:hAnsi="ITC Avant Garde"/>
          <w:bCs/>
          <w:color w:val="000000"/>
          <w:lang w:eastAsia="es-MX"/>
        </w:rPr>
        <w:t xml:space="preserve">Los procedimientos de verificación y el sancionatorio </w:t>
      </w:r>
      <w:r w:rsidRPr="009B32EC">
        <w:rPr>
          <w:rFonts w:ascii="ITC Avant Garde" w:eastAsia="Times New Roman" w:hAnsi="ITC Avant Garde"/>
          <w:b/>
          <w:bCs/>
          <w:color w:val="000000"/>
          <w:u w:val="single"/>
          <w:lang w:eastAsia="es-MX"/>
        </w:rPr>
        <w:t>no pueden entenderse de manera aislada, al ser consecuencia uno de otro</w:t>
      </w:r>
      <w:r w:rsidRPr="009B32EC">
        <w:rPr>
          <w:rFonts w:ascii="ITC Avant Garde" w:eastAsia="Times New Roman" w:hAnsi="ITC Avant Garde"/>
          <w:bCs/>
          <w:color w:val="000000"/>
          <w:lang w:eastAsia="es-MX"/>
        </w:rPr>
        <w:t>.</w:t>
      </w:r>
    </w:p>
    <w:p w14:paraId="6C19ABFF" w14:textId="77777777" w:rsidR="00E2222D" w:rsidRDefault="00D56848" w:rsidP="00907F25">
      <w:pPr>
        <w:numPr>
          <w:ilvl w:val="0"/>
          <w:numId w:val="25"/>
        </w:numPr>
        <w:spacing w:after="240" w:line="360" w:lineRule="auto"/>
        <w:ind w:left="567" w:hanging="567"/>
        <w:jc w:val="both"/>
        <w:rPr>
          <w:rFonts w:ascii="ITC Avant Garde" w:eastAsia="Times New Roman" w:hAnsi="ITC Avant Garde"/>
          <w:bCs/>
          <w:color w:val="000000"/>
          <w:lang w:eastAsia="es-MX"/>
        </w:rPr>
      </w:pPr>
      <w:r w:rsidRPr="009B32EC">
        <w:rPr>
          <w:rFonts w:ascii="ITC Avant Garde" w:eastAsia="Times New Roman" w:hAnsi="ITC Avant Garde"/>
          <w:bCs/>
          <w:color w:val="000000"/>
          <w:lang w:eastAsia="es-MX"/>
        </w:rPr>
        <w:t xml:space="preserve">A los procedimientos de </w:t>
      </w:r>
      <w:r w:rsidRPr="009B32EC">
        <w:rPr>
          <w:rFonts w:ascii="ITC Avant Garde" w:eastAsia="Times New Roman" w:hAnsi="ITC Avant Garde"/>
          <w:b/>
          <w:bCs/>
          <w:color w:val="000000"/>
          <w:u w:val="single"/>
          <w:lang w:eastAsia="es-MX"/>
        </w:rPr>
        <w:t>verificación</w:t>
      </w:r>
      <w:r w:rsidRPr="009B32EC">
        <w:rPr>
          <w:rFonts w:ascii="ITC Avant Garde" w:eastAsia="Times New Roman" w:hAnsi="ITC Avant Garde"/>
          <w:bCs/>
          <w:color w:val="000000"/>
          <w:lang w:eastAsia="es-MX"/>
        </w:rPr>
        <w:t xml:space="preserve"> regulados en los artículos 62 a 69 de la Ley Federal de Procedimiento Administrativo,</w:t>
      </w:r>
      <w:r w:rsidR="00416ED3">
        <w:rPr>
          <w:rFonts w:ascii="ITC Avant Garde" w:eastAsia="Times New Roman" w:hAnsi="ITC Avant Garde"/>
          <w:bCs/>
          <w:color w:val="000000"/>
          <w:lang w:eastAsia="es-MX"/>
        </w:rPr>
        <w:t xml:space="preserve"> les</w:t>
      </w:r>
      <w:r w:rsidRPr="009B32EC">
        <w:rPr>
          <w:rFonts w:ascii="ITC Avant Garde" w:eastAsia="Times New Roman" w:hAnsi="ITC Avant Garde"/>
          <w:bCs/>
          <w:color w:val="000000"/>
          <w:lang w:eastAsia="es-MX"/>
        </w:rPr>
        <w:t xml:space="preserve"> </w:t>
      </w:r>
      <w:r w:rsidRPr="009B32EC">
        <w:rPr>
          <w:rFonts w:ascii="ITC Avant Garde" w:eastAsia="Times New Roman" w:hAnsi="ITC Avant Garde"/>
          <w:b/>
          <w:bCs/>
          <w:color w:val="000000"/>
          <w:u w:val="single"/>
          <w:lang w:eastAsia="es-MX"/>
        </w:rPr>
        <w:t>debe recaer una resolución</w:t>
      </w:r>
      <w:r w:rsidRPr="009B32EC">
        <w:rPr>
          <w:rFonts w:ascii="ITC Avant Garde" w:eastAsia="Times New Roman" w:hAnsi="ITC Avant Garde"/>
          <w:bCs/>
          <w:color w:val="000000"/>
          <w:lang w:eastAsia="es-MX"/>
        </w:rPr>
        <w:t>.</w:t>
      </w:r>
    </w:p>
    <w:p w14:paraId="7FB344F4" w14:textId="77777777" w:rsidR="00E2222D" w:rsidRDefault="00416ED3" w:rsidP="00907F25">
      <w:pPr>
        <w:numPr>
          <w:ilvl w:val="0"/>
          <w:numId w:val="25"/>
        </w:numPr>
        <w:spacing w:after="240" w:line="360" w:lineRule="auto"/>
        <w:ind w:left="567" w:hanging="567"/>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P</w:t>
      </w:r>
      <w:r w:rsidR="00D56848" w:rsidRPr="009B32EC">
        <w:rPr>
          <w:rFonts w:ascii="ITC Avant Garde" w:eastAsia="Times New Roman" w:hAnsi="ITC Avant Garde"/>
          <w:bCs/>
          <w:color w:val="000000"/>
          <w:lang w:eastAsia="es-MX"/>
        </w:rPr>
        <w:t xml:space="preserve">uede considerarse que </w:t>
      </w:r>
      <w:r w:rsidR="00D56848" w:rsidRPr="009B32EC">
        <w:rPr>
          <w:rFonts w:ascii="ITC Avant Garde" w:eastAsia="Times New Roman" w:hAnsi="ITC Avant Garde"/>
          <w:b/>
          <w:bCs/>
          <w:color w:val="000000"/>
          <w:u w:val="single"/>
          <w:lang w:eastAsia="es-MX"/>
        </w:rPr>
        <w:t xml:space="preserve">la resolución </w:t>
      </w:r>
      <w:r>
        <w:rPr>
          <w:rFonts w:ascii="ITC Avant Garde" w:eastAsia="Times New Roman" w:hAnsi="ITC Avant Garde"/>
          <w:b/>
          <w:bCs/>
          <w:color w:val="000000"/>
          <w:u w:val="single"/>
          <w:lang w:eastAsia="es-MX"/>
        </w:rPr>
        <w:t xml:space="preserve">del procedimiento de verificación </w:t>
      </w:r>
      <w:r w:rsidR="00D56848" w:rsidRPr="009B32EC">
        <w:rPr>
          <w:rFonts w:ascii="ITC Avant Garde" w:eastAsia="Times New Roman" w:hAnsi="ITC Avant Garde"/>
          <w:b/>
          <w:bCs/>
          <w:color w:val="000000"/>
          <w:u w:val="single"/>
          <w:lang w:eastAsia="es-MX"/>
        </w:rPr>
        <w:t>es el acuerdo mediante el cual se da inicio al procedimiento administrativo de imposición de sanción.</w:t>
      </w:r>
    </w:p>
    <w:p w14:paraId="3165FA13" w14:textId="77777777" w:rsidR="00E2222D" w:rsidRDefault="00D56848" w:rsidP="00907F25">
      <w:pPr>
        <w:numPr>
          <w:ilvl w:val="0"/>
          <w:numId w:val="25"/>
        </w:numPr>
        <w:spacing w:after="240" w:line="360" w:lineRule="auto"/>
        <w:ind w:left="567" w:hanging="567"/>
        <w:jc w:val="both"/>
        <w:rPr>
          <w:rFonts w:ascii="ITC Avant Garde" w:eastAsia="Times New Roman" w:hAnsi="ITC Avant Garde"/>
          <w:bCs/>
          <w:color w:val="000000"/>
          <w:lang w:eastAsia="es-MX"/>
        </w:rPr>
      </w:pPr>
      <w:r w:rsidRPr="009B32EC">
        <w:rPr>
          <w:rFonts w:ascii="ITC Avant Garde" w:eastAsia="Times New Roman" w:hAnsi="ITC Avant Garde"/>
          <w:bCs/>
          <w:color w:val="000000"/>
          <w:lang w:eastAsia="es-MX"/>
        </w:rPr>
        <w:t xml:space="preserve">El </w:t>
      </w:r>
      <w:r w:rsidRPr="009B32EC">
        <w:rPr>
          <w:rFonts w:ascii="ITC Avant Garde" w:eastAsia="Times New Roman" w:hAnsi="ITC Avant Garde"/>
          <w:b/>
          <w:bCs/>
          <w:color w:val="000000"/>
          <w:u w:val="single"/>
          <w:lang w:eastAsia="es-MX"/>
        </w:rPr>
        <w:t>plazo para emitir la resolución derivado de las visitas de verificación</w:t>
      </w:r>
      <w:r w:rsidRPr="009B32EC">
        <w:rPr>
          <w:rFonts w:ascii="ITC Avant Garde" w:eastAsia="Times New Roman" w:hAnsi="ITC Avant Garde"/>
          <w:bCs/>
          <w:color w:val="000000"/>
          <w:lang w:eastAsia="es-MX"/>
        </w:rPr>
        <w:t xml:space="preserve"> es el</w:t>
      </w:r>
      <w:r w:rsidR="00416ED3">
        <w:rPr>
          <w:rFonts w:ascii="ITC Avant Garde" w:eastAsia="Times New Roman" w:hAnsi="ITC Avant Garde"/>
          <w:bCs/>
          <w:color w:val="000000"/>
          <w:lang w:eastAsia="es-MX"/>
        </w:rPr>
        <w:t xml:space="preserve"> de tres meses </w:t>
      </w:r>
      <w:r w:rsidRPr="009B32EC">
        <w:rPr>
          <w:rFonts w:ascii="ITC Avant Garde" w:eastAsia="Times New Roman" w:hAnsi="ITC Avant Garde"/>
          <w:bCs/>
          <w:color w:val="000000"/>
          <w:lang w:eastAsia="es-MX"/>
        </w:rPr>
        <w:t xml:space="preserve">previsto en el </w:t>
      </w:r>
      <w:r w:rsidRPr="009B32EC">
        <w:rPr>
          <w:rFonts w:ascii="ITC Avant Garde" w:eastAsia="Times New Roman" w:hAnsi="ITC Avant Garde"/>
          <w:b/>
          <w:bCs/>
          <w:color w:val="000000"/>
          <w:u w:val="single"/>
          <w:lang w:eastAsia="es-MX"/>
        </w:rPr>
        <w:t>artículo 17 de la Ley Federal de Procedimiento Administrativo.</w:t>
      </w:r>
    </w:p>
    <w:p w14:paraId="5C25E79E" w14:textId="77777777" w:rsidR="00E2222D" w:rsidRDefault="00D56848" w:rsidP="00907F25">
      <w:pPr>
        <w:numPr>
          <w:ilvl w:val="0"/>
          <w:numId w:val="25"/>
        </w:numPr>
        <w:spacing w:after="240" w:line="360" w:lineRule="auto"/>
        <w:ind w:left="567" w:hanging="567"/>
        <w:jc w:val="both"/>
        <w:rPr>
          <w:rFonts w:ascii="ITC Avant Garde" w:eastAsia="Times New Roman" w:hAnsi="ITC Avant Garde"/>
          <w:bCs/>
          <w:color w:val="000000"/>
          <w:lang w:eastAsia="es-MX"/>
        </w:rPr>
      </w:pPr>
      <w:r w:rsidRPr="009B32EC">
        <w:rPr>
          <w:rFonts w:ascii="ITC Avant Garde" w:eastAsia="Times New Roman" w:hAnsi="ITC Avant Garde"/>
          <w:b/>
          <w:bCs/>
          <w:color w:val="000000"/>
          <w:u w:val="single"/>
          <w:lang w:eastAsia="es-MX"/>
        </w:rPr>
        <w:t>Concluido el plazo de tres meses, la autoridad cuenta con un plazo de 30 días hábiles para emitir la resolución respectiva</w:t>
      </w:r>
      <w:r w:rsidRPr="009B32EC">
        <w:rPr>
          <w:rFonts w:ascii="ITC Avant Garde" w:eastAsia="Times New Roman" w:hAnsi="ITC Avant Garde"/>
          <w:bCs/>
          <w:color w:val="000000"/>
          <w:lang w:eastAsia="es-MX"/>
        </w:rPr>
        <w:t xml:space="preserve"> y de no hacerlo dentro del periodo señalado, la consecuencia directa e inmediata es la caducidad del procedimiento de verificación, en términos del artículo 60 de la Ley Federal de Procedimiento Administrativo.</w:t>
      </w:r>
    </w:p>
    <w:p w14:paraId="2304650B" w14:textId="77777777" w:rsidR="00E2222D" w:rsidRDefault="00D56848" w:rsidP="00907F25">
      <w:pPr>
        <w:tabs>
          <w:tab w:val="left" w:pos="851"/>
        </w:tabs>
        <w:spacing w:after="240" w:line="360" w:lineRule="auto"/>
        <w:ind w:right="45"/>
        <w:jc w:val="both"/>
        <w:rPr>
          <w:rFonts w:ascii="ITC Avant Garde" w:eastAsia="Times New Roman" w:hAnsi="ITC Avant Garde"/>
          <w:bCs/>
          <w:color w:val="000000"/>
          <w:lang w:eastAsia="es-MX"/>
        </w:rPr>
      </w:pPr>
      <w:r w:rsidRPr="00310D70">
        <w:rPr>
          <w:rFonts w:ascii="ITC Avant Garde" w:eastAsia="Times New Roman" w:hAnsi="ITC Avant Garde"/>
          <w:bCs/>
          <w:color w:val="000000"/>
          <w:lang w:eastAsia="es-MX"/>
        </w:rPr>
        <w:t xml:space="preserve">Aclarado </w:t>
      </w:r>
      <w:r>
        <w:rPr>
          <w:rFonts w:ascii="ITC Avant Garde" w:eastAsia="Times New Roman" w:hAnsi="ITC Avant Garde"/>
          <w:bCs/>
          <w:color w:val="000000"/>
          <w:lang w:eastAsia="es-MX"/>
        </w:rPr>
        <w:t xml:space="preserve">lo anterior, </w:t>
      </w:r>
      <w:r w:rsidR="00416ED3">
        <w:rPr>
          <w:rFonts w:ascii="ITC Avant Garde" w:eastAsia="Times New Roman" w:hAnsi="ITC Avant Garde"/>
          <w:bCs/>
          <w:color w:val="000000"/>
          <w:lang w:eastAsia="es-MX"/>
        </w:rPr>
        <w:t>se</w:t>
      </w:r>
      <w:r>
        <w:rPr>
          <w:rFonts w:ascii="ITC Avant Garde" w:eastAsia="Times New Roman" w:hAnsi="ITC Avant Garde"/>
          <w:bCs/>
          <w:color w:val="000000"/>
          <w:lang w:eastAsia="es-MX"/>
        </w:rPr>
        <w:t xml:space="preserve"> considera pertinente realizar el cómputo de las actuaciones </w:t>
      </w:r>
      <w:r w:rsidR="00416ED3">
        <w:rPr>
          <w:rFonts w:ascii="ITC Avant Garde" w:eastAsia="Times New Roman" w:hAnsi="ITC Avant Garde"/>
          <w:bCs/>
          <w:color w:val="000000"/>
          <w:lang w:eastAsia="es-MX"/>
        </w:rPr>
        <w:t>d</w:t>
      </w:r>
      <w:r>
        <w:rPr>
          <w:rFonts w:ascii="ITC Avant Garde" w:eastAsia="Times New Roman" w:hAnsi="ITC Avant Garde"/>
          <w:bCs/>
          <w:color w:val="000000"/>
          <w:lang w:eastAsia="es-MX"/>
        </w:rPr>
        <w:t xml:space="preserve">el procedimiento de verificación </w:t>
      </w:r>
      <w:r w:rsidR="00416ED3">
        <w:rPr>
          <w:rFonts w:ascii="ITC Avant Garde" w:eastAsia="Times New Roman" w:hAnsi="ITC Avant Garde"/>
          <w:bCs/>
          <w:color w:val="000000"/>
          <w:lang w:eastAsia="es-MX"/>
        </w:rPr>
        <w:t xml:space="preserve">de mérito </w:t>
      </w:r>
      <w:r>
        <w:rPr>
          <w:rFonts w:ascii="ITC Avant Garde" w:eastAsia="Times New Roman" w:hAnsi="ITC Avant Garde"/>
          <w:bCs/>
          <w:color w:val="000000"/>
          <w:lang w:eastAsia="es-MX"/>
        </w:rPr>
        <w:t>a efecto de contemplar el plazo en el cual de acuerdo a la ejecutoria antes señalada, opera la caducidad del procedimiento de verificación.</w:t>
      </w:r>
    </w:p>
    <w:p w14:paraId="0DFBE2C8" w14:textId="2CA69DCC" w:rsidR="00D56848" w:rsidRDefault="00D56848" w:rsidP="00907F25">
      <w:pPr>
        <w:tabs>
          <w:tab w:val="left" w:pos="851"/>
        </w:tabs>
        <w:spacing w:after="240" w:line="360" w:lineRule="auto"/>
        <w:ind w:right="48"/>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Al respecto, se considera lo siguiente:</w:t>
      </w:r>
    </w:p>
    <w:p w14:paraId="0F00613F" w14:textId="5A6246FE" w:rsidR="006D2E60" w:rsidRDefault="00D679AD" w:rsidP="00907F25">
      <w:pPr>
        <w:tabs>
          <w:tab w:val="left" w:pos="851"/>
        </w:tabs>
        <w:spacing w:after="240" w:line="360" w:lineRule="auto"/>
        <w:ind w:right="48"/>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object w:dxaOrig="8838" w:dyaOrig="3290" w14:anchorId="3B1E3A14">
          <v:shape id="_x0000_i1031" type="#_x0000_t75" alt="Esta tabla muestra los plazos de caducidad del procedimiento de verificación" style="width:442.05pt;height:164.1pt" o:ole="">
            <v:imagedata r:id="rId36" o:title=""/>
          </v:shape>
          <o:OLEObject Type="Embed" ProgID="Word.Document.12" ShapeID="_x0000_i1031" DrawAspect="Content" ObjectID="_1600590578" r:id="rId37">
            <o:FieldCodes>\s</o:FieldCodes>
          </o:OLEObject>
        </w:object>
      </w:r>
    </w:p>
    <w:p w14:paraId="39D1585C" w14:textId="77777777" w:rsidR="00E2222D" w:rsidRDefault="00E1354D" w:rsidP="00907F25">
      <w:pPr>
        <w:spacing w:after="240" w:line="360" w:lineRule="auto"/>
        <w:jc w:val="both"/>
        <w:rPr>
          <w:rFonts w:ascii="ITC Avant Garde" w:hAnsi="ITC Avant Garde"/>
          <w:color w:val="000000"/>
          <w:sz w:val="16"/>
        </w:rPr>
      </w:pPr>
      <w:r w:rsidRPr="00E1354D">
        <w:rPr>
          <w:rFonts w:ascii="ITC Avant Garde" w:hAnsi="ITC Avant Garde"/>
          <w:color w:val="000000"/>
          <w:sz w:val="16"/>
        </w:rPr>
        <w:t xml:space="preserve">*Sin contar los días 20, 21, 22, 23, 24, 25, 26 y 27 de marzo </w:t>
      </w:r>
      <w:r w:rsidR="003C6207">
        <w:rPr>
          <w:rFonts w:ascii="ITC Avant Garde" w:hAnsi="ITC Avant Garde"/>
          <w:color w:val="000000"/>
          <w:sz w:val="16"/>
        </w:rPr>
        <w:t xml:space="preserve">y 5 de mayo, todos </w:t>
      </w:r>
      <w:r w:rsidRPr="00E1354D">
        <w:rPr>
          <w:rFonts w:ascii="ITC Avant Garde" w:hAnsi="ITC Avant Garde"/>
          <w:color w:val="000000"/>
          <w:sz w:val="16"/>
        </w:rPr>
        <w:t xml:space="preserve">de dos mil dieciséis por haber sido sábados, domingos y días inhábiles en términos del artículo 28 de la LFPA, así como del “ACUERDO mediante el cual el Pleno del </w:t>
      </w:r>
      <w:r w:rsidRPr="00E1354D">
        <w:rPr>
          <w:rFonts w:ascii="ITC Avant Garde" w:hAnsi="ITC Avant Garde"/>
          <w:color w:val="000000"/>
          <w:sz w:val="16"/>
        </w:rPr>
        <w:lastRenderedPageBreak/>
        <w:t>Instituto Federal de Telecomunicaciones aprueba su calendario anual de sesiones ordinarias y el calendario anual de labores para el año 2016 y principios de 2017”, publicado en el Diario Oficial de la Federación el veinticuatro de diciembre de dos mil quince.</w:t>
      </w:r>
    </w:p>
    <w:p w14:paraId="023B174D" w14:textId="77777777" w:rsidR="00E2222D" w:rsidRDefault="00D56848"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Con base en lo anterior, </w:t>
      </w:r>
      <w:r>
        <w:rPr>
          <w:rFonts w:ascii="ITC Avant Garde" w:hAnsi="ITC Avant Garde"/>
          <w:color w:val="000000"/>
        </w:rPr>
        <w:t xml:space="preserve">resulta importante </w:t>
      </w:r>
      <w:r w:rsidRPr="00B215CD">
        <w:rPr>
          <w:rFonts w:ascii="ITC Avant Garde" w:hAnsi="ITC Avant Garde"/>
          <w:color w:val="000000"/>
        </w:rPr>
        <w:t xml:space="preserve">advertir que el acuerdo de inicio </w:t>
      </w:r>
      <w:r w:rsidR="00FD591B" w:rsidRPr="00B215CD">
        <w:rPr>
          <w:rFonts w:ascii="ITC Avant Garde" w:hAnsi="ITC Avant Garde"/>
          <w:color w:val="000000"/>
        </w:rPr>
        <w:t xml:space="preserve">del procedimiento administrativo </w:t>
      </w:r>
      <w:r w:rsidR="00FD591B">
        <w:rPr>
          <w:rFonts w:ascii="ITC Avant Garde" w:hAnsi="ITC Avant Garde"/>
          <w:color w:val="000000"/>
        </w:rPr>
        <w:t xml:space="preserve">de veintinueve de abril de </w:t>
      </w:r>
      <w:r w:rsidR="00C42315">
        <w:rPr>
          <w:rFonts w:ascii="ITC Avant Garde" w:hAnsi="ITC Avant Garde"/>
          <w:color w:val="000000"/>
        </w:rPr>
        <w:t>dos mil dieciséis</w:t>
      </w:r>
      <w:r w:rsidR="00FD591B">
        <w:rPr>
          <w:rFonts w:ascii="ITC Avant Garde" w:hAnsi="ITC Avant Garde"/>
          <w:color w:val="000000"/>
        </w:rPr>
        <w:t xml:space="preserve">, </w:t>
      </w:r>
      <w:r w:rsidRPr="00B215CD">
        <w:rPr>
          <w:rFonts w:ascii="ITC Avant Garde" w:hAnsi="ITC Avant Garde"/>
          <w:color w:val="000000"/>
        </w:rPr>
        <w:t xml:space="preserve">fue notificado a </w:t>
      </w:r>
      <w:r>
        <w:rPr>
          <w:rFonts w:ascii="ITC Avant Garde" w:hAnsi="ITC Avant Garde"/>
          <w:b/>
          <w:color w:val="000000"/>
        </w:rPr>
        <w:t>MEGA CABLE</w:t>
      </w:r>
      <w:r w:rsidRPr="00B215CD">
        <w:rPr>
          <w:rFonts w:ascii="ITC Avant Garde" w:hAnsi="ITC Avant Garde"/>
          <w:color w:val="000000"/>
        </w:rPr>
        <w:t xml:space="preserve"> el </w:t>
      </w:r>
      <w:r>
        <w:rPr>
          <w:rFonts w:ascii="ITC Avant Garde" w:hAnsi="ITC Avant Garde"/>
          <w:color w:val="000000"/>
        </w:rPr>
        <w:t>cuatro de mayo</w:t>
      </w:r>
      <w:r w:rsidRPr="00B215CD">
        <w:rPr>
          <w:rFonts w:ascii="ITC Avant Garde" w:hAnsi="ITC Avant Garde"/>
          <w:color w:val="000000"/>
        </w:rPr>
        <w:t xml:space="preserve"> </w:t>
      </w:r>
      <w:r w:rsidR="003C6207">
        <w:rPr>
          <w:rFonts w:ascii="ITC Avant Garde" w:hAnsi="ITC Avant Garde"/>
          <w:color w:val="000000"/>
        </w:rPr>
        <w:t>siguiente, es decir, con anterioridad al nueve de mayo fecha en la que fenecía el plazo para que operara la caducidad del procedimiento respectivo</w:t>
      </w:r>
      <w:r w:rsidRPr="00B215CD">
        <w:rPr>
          <w:rFonts w:ascii="ITC Avant Garde" w:hAnsi="ITC Avant Garde"/>
          <w:color w:val="000000"/>
        </w:rPr>
        <w:t>.</w:t>
      </w:r>
    </w:p>
    <w:p w14:paraId="1676D8A7" w14:textId="77777777" w:rsidR="00E2222D" w:rsidRDefault="003C6207" w:rsidP="00907F25">
      <w:pPr>
        <w:spacing w:after="240" w:line="360" w:lineRule="auto"/>
        <w:jc w:val="both"/>
        <w:rPr>
          <w:rFonts w:ascii="ITC Avant Garde" w:hAnsi="ITC Avant Garde"/>
          <w:color w:val="000000"/>
        </w:rPr>
      </w:pPr>
      <w:r>
        <w:rPr>
          <w:rFonts w:ascii="ITC Avant Garde" w:hAnsi="ITC Avant Garde"/>
          <w:color w:val="000000"/>
        </w:rPr>
        <w:t xml:space="preserve">No pasa desapercibido que </w:t>
      </w:r>
      <w:r w:rsidR="005F6C21" w:rsidRPr="00B215CD">
        <w:rPr>
          <w:rFonts w:ascii="ITC Avant Garde" w:hAnsi="ITC Avant Garde"/>
          <w:b/>
          <w:color w:val="000000"/>
        </w:rPr>
        <w:t>MEGA CABLE</w:t>
      </w:r>
      <w:r w:rsidR="005F6C21">
        <w:rPr>
          <w:rFonts w:ascii="ITC Avant Garde" w:hAnsi="ITC Avant Garde"/>
          <w:color w:val="000000"/>
        </w:rPr>
        <w:t xml:space="preserve"> </w:t>
      </w:r>
      <w:r>
        <w:rPr>
          <w:rFonts w:ascii="ITC Avant Garde" w:hAnsi="ITC Avant Garde"/>
          <w:color w:val="000000"/>
        </w:rPr>
        <w:t xml:space="preserve">en el inciso h) de la primera de sus manifestaciones realiza el mismo razonamiento para el cómputo de la caducidad del procedimiento, sin embargo omite descontar los días </w:t>
      </w:r>
      <w:r w:rsidR="003651AC">
        <w:rPr>
          <w:rFonts w:ascii="ITC Avant Garde" w:hAnsi="ITC Avant Garde"/>
          <w:color w:val="000000"/>
        </w:rPr>
        <w:t xml:space="preserve">del 21 al 25 de marzo de dos mil dieciséis en los que se suspendieron las labores en el </w:t>
      </w:r>
      <w:r w:rsidR="003651AC" w:rsidRPr="003651AC">
        <w:rPr>
          <w:rFonts w:ascii="ITC Avant Garde" w:hAnsi="ITC Avant Garde"/>
          <w:b/>
          <w:color w:val="000000"/>
        </w:rPr>
        <w:t>IFT</w:t>
      </w:r>
      <w:r w:rsidR="003651AC">
        <w:rPr>
          <w:rFonts w:ascii="ITC Avant Garde" w:hAnsi="ITC Avant Garde"/>
          <w:color w:val="000000"/>
        </w:rPr>
        <w:t xml:space="preserve"> de conformidad con el </w:t>
      </w:r>
      <w:r w:rsidR="003651AC" w:rsidRPr="003651AC">
        <w:rPr>
          <w:rFonts w:ascii="ITC Avant Garde" w:hAnsi="ITC Avant Garde"/>
          <w:color w:val="000000"/>
        </w:rPr>
        <w:t>“ACUERDO mediante el cual el Pleno del Instituto Federal de Telecomunicaciones aprueba su calendario anual de sesiones ordinarias y el calendario anual de labores para el año 2016 y principios de 2017”, publicado en el Diario Oficial de la Federación el veinticuatro de diciembre de dos mil quince</w:t>
      </w:r>
      <w:r w:rsidR="003651AC">
        <w:rPr>
          <w:rFonts w:ascii="ITC Avant Garde" w:hAnsi="ITC Avant Garde"/>
          <w:color w:val="000000"/>
        </w:rPr>
        <w:t xml:space="preserve">, </w:t>
      </w:r>
      <w:r w:rsidR="00653775">
        <w:rPr>
          <w:rFonts w:ascii="ITC Avant Garde" w:hAnsi="ITC Avant Garde"/>
          <w:color w:val="000000"/>
        </w:rPr>
        <w:t xml:space="preserve">en relación con el </w:t>
      </w:r>
      <w:r w:rsidR="00CC6486">
        <w:rPr>
          <w:rFonts w:ascii="ITC Avant Garde" w:hAnsi="ITC Avant Garde"/>
          <w:color w:val="000000"/>
        </w:rPr>
        <w:t xml:space="preserve">artículo 28 de la </w:t>
      </w:r>
      <w:r w:rsidR="00CC6486">
        <w:rPr>
          <w:rFonts w:ascii="ITC Avant Garde" w:hAnsi="ITC Avant Garde"/>
          <w:b/>
          <w:color w:val="000000"/>
        </w:rPr>
        <w:t xml:space="preserve">LFPA, </w:t>
      </w:r>
      <w:r w:rsidR="00CC6486" w:rsidRPr="00553747">
        <w:rPr>
          <w:rFonts w:ascii="ITC Avant Garde" w:hAnsi="ITC Avant Garde"/>
          <w:color w:val="000000"/>
        </w:rPr>
        <w:t>que precisa</w:t>
      </w:r>
      <w:r w:rsidR="00CC6486">
        <w:rPr>
          <w:rFonts w:ascii="ITC Avant Garde" w:hAnsi="ITC Avant Garde"/>
          <w:b/>
          <w:color w:val="000000"/>
        </w:rPr>
        <w:t xml:space="preserve"> </w:t>
      </w:r>
      <w:r w:rsidR="00CC6486">
        <w:rPr>
          <w:rFonts w:ascii="ITC Avant Garde" w:hAnsi="ITC Avant Garde"/>
          <w:color w:val="000000"/>
        </w:rPr>
        <w:t xml:space="preserve">que en los plazos fijados no se contarán </w:t>
      </w:r>
      <w:r w:rsidR="00CC6486" w:rsidRPr="00553747">
        <w:rPr>
          <w:rFonts w:ascii="ITC Avant Garde" w:hAnsi="ITC Avant Garde"/>
          <w:color w:val="000000"/>
        </w:rPr>
        <w:t>aquellos en que se suspendan las labores,</w:t>
      </w:r>
      <w:r w:rsidR="00CC6486">
        <w:rPr>
          <w:rFonts w:ascii="ITC Avant Garde" w:hAnsi="ITC Avant Garde"/>
          <w:color w:val="000000"/>
        </w:rPr>
        <w:t xml:space="preserve"> </w:t>
      </w:r>
      <w:r w:rsidR="003651AC">
        <w:rPr>
          <w:rFonts w:ascii="ITC Avant Garde" w:hAnsi="ITC Avant Garde"/>
          <w:color w:val="000000"/>
        </w:rPr>
        <w:t xml:space="preserve">lo que tuvo como consecuencia el error en el cómputo realizado por la citada empresa de </w:t>
      </w:r>
      <w:r w:rsidR="00CC6486">
        <w:rPr>
          <w:rFonts w:ascii="ITC Avant Garde" w:hAnsi="ITC Avant Garde"/>
          <w:color w:val="000000"/>
        </w:rPr>
        <w:t>cinco días hábiles precisamente.</w:t>
      </w:r>
    </w:p>
    <w:p w14:paraId="19E58A38" w14:textId="77777777" w:rsidR="00E2222D" w:rsidRDefault="00D56848"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Ahora bien, </w:t>
      </w:r>
      <w:r w:rsidR="003651AC">
        <w:rPr>
          <w:rFonts w:ascii="ITC Avant Garde" w:hAnsi="ITC Avant Garde"/>
          <w:color w:val="000000"/>
        </w:rPr>
        <w:t xml:space="preserve">cabe recalcar que </w:t>
      </w:r>
      <w:r w:rsidRPr="00B215CD">
        <w:rPr>
          <w:rFonts w:ascii="ITC Avant Garde" w:hAnsi="ITC Avant Garde"/>
          <w:color w:val="000000"/>
        </w:rPr>
        <w:t>el Poder Judicial de la Federación ha sostenido de manera reiterada que el acuerdo de inicio del procedimiento administrativo de imposición de sanción constituye la resolución final del procedimiento de verificación pues en él, se define la situación jurídica del visitado.</w:t>
      </w:r>
    </w:p>
    <w:p w14:paraId="589C9975" w14:textId="77777777" w:rsidR="00E2222D" w:rsidRDefault="00D56848" w:rsidP="00907F25">
      <w:pPr>
        <w:spacing w:after="240" w:line="360" w:lineRule="auto"/>
        <w:jc w:val="both"/>
        <w:rPr>
          <w:rFonts w:ascii="ITC Avant Garde" w:hAnsi="ITC Avant Garde"/>
          <w:color w:val="000000"/>
        </w:rPr>
      </w:pPr>
      <w:r w:rsidRPr="00B215CD">
        <w:rPr>
          <w:rFonts w:ascii="ITC Avant Garde" w:hAnsi="ITC Avant Garde"/>
          <w:color w:val="000000"/>
        </w:rPr>
        <w:t>Al respecto, resultan aplicables las siguientes tesis:</w:t>
      </w:r>
    </w:p>
    <w:p w14:paraId="4DA74781" w14:textId="77777777" w:rsidR="00E2222D" w:rsidRDefault="00D56848" w:rsidP="00907F25">
      <w:pPr>
        <w:spacing w:after="240" w:line="360" w:lineRule="auto"/>
        <w:ind w:left="567" w:right="567"/>
        <w:jc w:val="both"/>
        <w:rPr>
          <w:rFonts w:ascii="ITC Avant Garde" w:hAnsi="ITC Avant Garde"/>
          <w:color w:val="000000"/>
          <w:sz w:val="20"/>
          <w:szCs w:val="20"/>
        </w:rPr>
      </w:pPr>
      <w:r w:rsidRPr="003C6207">
        <w:rPr>
          <w:rFonts w:ascii="ITC Avant Garde" w:hAnsi="ITC Avant Garde"/>
          <w:b/>
          <w:color w:val="000000"/>
          <w:sz w:val="20"/>
          <w:szCs w:val="20"/>
        </w:rPr>
        <w:t xml:space="preserve">ACUERDO DE INICIO DEL PROCEDIMIENTO DE IMPOSICIÓN DE SANCIONES REGULADO EN LA LEY FEDERAL DE PROCEDIMIENTO ADMINISTRATIVO. CONSTITUYE LA RESOLUCIÓN FINAL DEL DIVERSO DE VERIFICACIÓN, PUES EN ÉL SE DEFINE LA </w:t>
      </w:r>
      <w:r w:rsidRPr="003C6207">
        <w:rPr>
          <w:rFonts w:ascii="ITC Avant Garde" w:hAnsi="ITC Avant Garde"/>
          <w:b/>
          <w:color w:val="000000"/>
          <w:sz w:val="20"/>
          <w:szCs w:val="20"/>
        </w:rPr>
        <w:lastRenderedPageBreak/>
        <w:t xml:space="preserve">SITUACIÓN JURÍDICA DEL VISITADO RESPECTO DE ÉSTE. </w:t>
      </w:r>
      <w:r w:rsidRPr="003C6207">
        <w:rPr>
          <w:rFonts w:ascii="ITC Avant Garde" w:hAnsi="ITC Avant Garde"/>
          <w:color w:val="000000"/>
          <w:sz w:val="20"/>
          <w:szCs w:val="20"/>
        </w:rPr>
        <w:t xml:space="preserve">Dentro de los procedimientos que prevé la Ley Federal de Procedimiento Administrativo está el de imposición de sanciones, establecido en el artículo 72 de ese ordenamiento, el cual dispone que para imponer una sanción, la autoridad administrativa deberá notificar previamente al infractor su inicio, para que dentro de los quince días siguientes exponga lo que a su derecho convenga y, en su caso, aporte las pruebas con que cuente. En este sentido, si bien es cierto que dicho procedimiento y el de verificación regulados en la propia ley, son de naturaleza distinta, también lo es que entre ellos existe una íntima relación, pues el primero deriva precisamente del ejercicio de las facultades de verificación y de la conclusión que derivado de éstas se adopte, es decir, mientras el procedimiento de verificación tiene por objeto que la autoridad administrativa compruebe el cumplimiento de las disposiciones legales o de las condiciones de determinado permiso o concesión, el de imposición de sanciones persigue punir las infracciones que no sean desvirtuadas por el particular responsable y que fueron detectadas en aquél. </w:t>
      </w:r>
      <w:r w:rsidRPr="003C6207">
        <w:rPr>
          <w:rFonts w:ascii="ITC Avant Garde" w:hAnsi="ITC Avant Garde"/>
          <w:b/>
          <w:color w:val="000000"/>
          <w:sz w:val="20"/>
          <w:szCs w:val="20"/>
          <w:u w:val="single"/>
        </w:rPr>
        <w:t>Por tanto, se concluye que el acuerdo de inicio del procedimiento de imposición de sanciones constituye la resolución final del diverso de verificación, pues en él se define la situación jurídica del visitado respecto de éste, y se colma el derecho de seguridad jurídica tutelado por el artículo 16 de la Constitución Política de los Estados Unidos Mexicanos</w:t>
      </w:r>
      <w:r w:rsidRPr="003C6207">
        <w:rPr>
          <w:rFonts w:ascii="ITC Avant Garde" w:hAnsi="ITC Avant Garde"/>
          <w:color w:val="000000"/>
          <w:sz w:val="20"/>
          <w:szCs w:val="20"/>
        </w:rPr>
        <w:t>.</w:t>
      </w:r>
    </w:p>
    <w:p w14:paraId="2B3BB6DA" w14:textId="77777777" w:rsidR="00E2222D" w:rsidRDefault="00D56848" w:rsidP="00907F25">
      <w:pPr>
        <w:spacing w:after="240" w:line="360" w:lineRule="auto"/>
        <w:ind w:left="567" w:right="567"/>
        <w:jc w:val="both"/>
        <w:rPr>
          <w:rFonts w:ascii="ITC Avant Garde" w:hAnsi="ITC Avant Garde"/>
          <w:color w:val="000000"/>
          <w:sz w:val="20"/>
          <w:szCs w:val="20"/>
        </w:rPr>
      </w:pPr>
      <w:r w:rsidRPr="003C6207">
        <w:rPr>
          <w:rFonts w:ascii="ITC Avant Garde" w:hAnsi="ITC Avant Garde"/>
          <w:color w:val="000000"/>
          <w:sz w:val="20"/>
          <w:szCs w:val="20"/>
        </w:rPr>
        <w:t xml:space="preserve">Época: Décima Época, Registro: 2010540, Instancia: Tribunales Colegiados de Circuito, Tipo de Tesis: Aislada, Fuente: Gaceta del Semanario Judicial de la Federación, Libro 24, Noviembre de 2015, Tomo IV, Materia(s): Administrativa, Tesis: I.1o.A.E.90 A (10a.), Página: 3440 </w:t>
      </w:r>
    </w:p>
    <w:p w14:paraId="17929D56" w14:textId="7AA51C4D" w:rsidR="00E2222D" w:rsidRDefault="00D56848" w:rsidP="00907F25">
      <w:pPr>
        <w:spacing w:after="240" w:line="360" w:lineRule="auto"/>
        <w:ind w:left="567" w:right="567"/>
        <w:jc w:val="both"/>
        <w:rPr>
          <w:rFonts w:ascii="ITC Avant Garde" w:hAnsi="ITC Avant Garde"/>
          <w:b/>
          <w:color w:val="000000"/>
          <w:sz w:val="20"/>
          <w:szCs w:val="20"/>
          <w:u w:val="single"/>
        </w:rPr>
      </w:pPr>
      <w:r w:rsidRPr="003C6207">
        <w:rPr>
          <w:rFonts w:ascii="ITC Avant Garde" w:hAnsi="ITC Avant Garde"/>
          <w:b/>
          <w:color w:val="000000"/>
          <w:sz w:val="20"/>
          <w:szCs w:val="20"/>
        </w:rPr>
        <w:t xml:space="preserve">ACUERDO DE INICIO DEL PROCEDIMIENTO DE IMPOSICIÓN DE SANCIONES REGULADO EN LA LEY FEDERAL DE PROCEDIMIENTO ADMINISTRATIVO. ES LA RESOLUCIÓN QUE DEFINE LA SITUACIÓN JURÍDICA DEL PARTICULAR RESPECTO DEL DIVERSO DE VERIFICACIÓN (APLICACIÓN ANALÓGICA DE LA JURISPRUDENCIA 2a./J. 190/2009). </w:t>
      </w:r>
      <w:r w:rsidRPr="003C6207">
        <w:rPr>
          <w:rFonts w:ascii="ITC Avant Garde" w:hAnsi="ITC Avant Garde"/>
          <w:color w:val="000000"/>
          <w:sz w:val="20"/>
          <w:szCs w:val="20"/>
        </w:rPr>
        <w:t xml:space="preserve">De acuerdo con la jurisprudencia 2a./J. 190/2009, publicada en el Semanario Judicial de la Federación y su Gaceta, Novena Época, Tomo XXX, diciembre de 2009, página 360, de rubro: "VISITA DE VERIFICACIÓN. EL PROCEDIMIENTO REGULADO POR LOS ARTÍCULOS 78 A 80 DE LA LEY DE </w:t>
      </w:r>
      <w:r w:rsidRPr="003C6207">
        <w:rPr>
          <w:rFonts w:ascii="ITC Avant Garde" w:hAnsi="ITC Avant Garde"/>
          <w:color w:val="000000"/>
          <w:sz w:val="20"/>
          <w:szCs w:val="20"/>
        </w:rPr>
        <w:lastRenderedPageBreak/>
        <w:t xml:space="preserve">AEROPUERTOS, REALIZADO EN TÉRMINOS DE LA LEY FEDERAL DE PROCEDIMIENTO ADMINISTRATIVO, ES SUSCEPTIBLE DE CADUCAR, CONFORME AL ARTÍCULO 60, PÁRRAFO ÚLTIMO, DE LA LEY PROCEDIMENTAL REFERIDA, DE NO CULMINAR CON EL DICTADO DE UNA RESOLUCIÓN.", la garantía de seguridad jurídica tutelada por el artículo 16 de la Constitución Política de los Estados Unidos Mexicanos se estima colmada en las visitas de verificación realizadas en términos de los artículos 62 a 69 de la Ley Federal de Procedimiento Administrativo, cuando éstas finalizan con el dictado de la resolución que define la situación jurídica del visitado. En consecuencia, por analogía, en los procedimientos de verificación y de imposición de sanciones regulados en la Ley Federal de Procedimiento Administrativo, es </w:t>
      </w:r>
      <w:r w:rsidRPr="003C6207">
        <w:rPr>
          <w:rFonts w:ascii="ITC Avant Garde" w:hAnsi="ITC Avant Garde"/>
          <w:b/>
          <w:color w:val="000000"/>
          <w:sz w:val="20"/>
          <w:szCs w:val="20"/>
          <w:u w:val="single"/>
        </w:rPr>
        <w:t>el acuerdo de inicio del procedimiento de imposición de sanción la resolución con la que concluye el de verificación y la que define la situación jurídica del particular, es decir, a través de esa determinación tiene conocimiento pleno del resultado del procedimiento de verificación y no se le deja en estado de incertidumbre al respecto.</w:t>
      </w:r>
    </w:p>
    <w:p w14:paraId="2336E216" w14:textId="77777777" w:rsidR="00E2222D" w:rsidRDefault="00D56848" w:rsidP="00907F25">
      <w:pPr>
        <w:spacing w:after="240" w:line="360" w:lineRule="auto"/>
        <w:ind w:left="567" w:right="567"/>
        <w:jc w:val="both"/>
        <w:rPr>
          <w:rFonts w:ascii="ITC Avant Garde" w:hAnsi="ITC Avant Garde"/>
          <w:color w:val="000000"/>
          <w:sz w:val="20"/>
          <w:szCs w:val="20"/>
        </w:rPr>
      </w:pPr>
      <w:r w:rsidRPr="003C6207">
        <w:rPr>
          <w:rFonts w:ascii="ITC Avant Garde" w:hAnsi="ITC Avant Garde"/>
          <w:color w:val="000000"/>
          <w:sz w:val="20"/>
          <w:szCs w:val="20"/>
        </w:rPr>
        <w:t xml:space="preserve">Época: Décima Época, Registro: 2010112, Instancia: Tribunales Colegiados de Circuito, Tipo de Tesis: Aislada, Fuente: Gaceta del Semanario Judicial de la Federación, Libro 23, Octubre de 2015, Tomo IV, Materia(s): Administrativa, Tesis: I.1o.A.E.80 A (10a.), Página: 3816 </w:t>
      </w:r>
    </w:p>
    <w:p w14:paraId="1B7742B6" w14:textId="77777777" w:rsidR="00E2222D" w:rsidRDefault="00D56848"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En tales consideraciones, tal y como lo advierte </w:t>
      </w:r>
      <w:r w:rsidRPr="00B215CD">
        <w:rPr>
          <w:rFonts w:ascii="ITC Avant Garde" w:hAnsi="ITC Avant Garde"/>
          <w:b/>
          <w:color w:val="000000"/>
        </w:rPr>
        <w:t>MEGA C</w:t>
      </w:r>
      <w:r>
        <w:rPr>
          <w:rFonts w:ascii="ITC Avant Garde" w:hAnsi="ITC Avant Garde"/>
          <w:b/>
          <w:color w:val="000000"/>
        </w:rPr>
        <w:t>ABLE</w:t>
      </w:r>
      <w:r w:rsidRPr="00B215CD">
        <w:rPr>
          <w:rFonts w:ascii="ITC Avant Garde" w:hAnsi="ITC Avant Garde"/>
          <w:b/>
          <w:color w:val="000000"/>
        </w:rPr>
        <w:t>,</w:t>
      </w:r>
      <w:r w:rsidRPr="00B215CD">
        <w:rPr>
          <w:rFonts w:ascii="ITC Avant Garde" w:hAnsi="ITC Avant Garde"/>
          <w:color w:val="000000"/>
        </w:rPr>
        <w:t xml:space="preserve"> el plazo para que operara la caducidad </w:t>
      </w:r>
      <w:r w:rsidR="00195D24">
        <w:rPr>
          <w:rFonts w:ascii="ITC Avant Garde" w:hAnsi="ITC Avant Garde"/>
          <w:color w:val="000000"/>
        </w:rPr>
        <w:t xml:space="preserve">feneció treinta días hábiles después de que venciera el diverso de tres meses para emitir la resolución </w:t>
      </w:r>
      <w:r w:rsidRPr="00B215CD">
        <w:rPr>
          <w:rFonts w:ascii="ITC Avant Garde" w:hAnsi="ITC Avant Garde"/>
          <w:color w:val="000000"/>
        </w:rPr>
        <w:t>del procedimiento de verificación</w:t>
      </w:r>
      <w:r w:rsidR="00195D24">
        <w:rPr>
          <w:rFonts w:ascii="ITC Avant Garde" w:hAnsi="ITC Avant Garde"/>
          <w:color w:val="000000"/>
        </w:rPr>
        <w:t xml:space="preserve">, </w:t>
      </w:r>
      <w:r w:rsidRPr="00B215CD">
        <w:rPr>
          <w:rFonts w:ascii="ITC Avant Garde" w:hAnsi="ITC Avant Garde"/>
          <w:color w:val="000000"/>
        </w:rPr>
        <w:t xml:space="preserve"> lo </w:t>
      </w:r>
      <w:r w:rsidR="00195D24">
        <w:rPr>
          <w:rFonts w:ascii="ITC Avant Garde" w:hAnsi="ITC Avant Garde"/>
          <w:color w:val="000000"/>
        </w:rPr>
        <w:t xml:space="preserve">cual aconteció </w:t>
      </w:r>
      <w:r w:rsidRPr="00B215CD">
        <w:rPr>
          <w:rFonts w:ascii="ITC Avant Garde" w:hAnsi="ITC Avant Garde"/>
          <w:color w:val="000000"/>
        </w:rPr>
        <w:t xml:space="preserve">el </w:t>
      </w:r>
      <w:r>
        <w:rPr>
          <w:rFonts w:ascii="ITC Avant Garde" w:hAnsi="ITC Avant Garde"/>
          <w:color w:val="000000"/>
        </w:rPr>
        <w:t>nueve de mayo</w:t>
      </w:r>
      <w:r w:rsidRPr="00B215CD">
        <w:rPr>
          <w:rFonts w:ascii="ITC Avant Garde" w:hAnsi="ITC Avant Garde"/>
          <w:color w:val="000000"/>
        </w:rPr>
        <w:t xml:space="preserve"> de dos mil dieciséis, de lo que se sigue que si el acuerdo de inicio del procedimiento administrativo de imposición de sanción fue notificado </w:t>
      </w:r>
      <w:r w:rsidR="006E5E6D">
        <w:rPr>
          <w:rFonts w:ascii="ITC Avant Garde" w:hAnsi="ITC Avant Garde"/>
          <w:color w:val="000000"/>
        </w:rPr>
        <w:t>el cuatro de mayo del mismo año</w:t>
      </w:r>
      <w:r w:rsidRPr="00B215CD">
        <w:rPr>
          <w:rFonts w:ascii="ITC Avant Garde" w:hAnsi="ITC Avant Garde"/>
          <w:color w:val="000000"/>
        </w:rPr>
        <w:t>, es dable concluir que no operó la caducidad del procedimiento de verificación puesto que como se ha señalado, el acuerdo de inicio definió la situación jurídica del visitado como resultado del procedimiento de verificación, luego entonces, no existe caducidad alguna por lo que hace a la emisión de la resolución del procedimiento de verificación.</w:t>
      </w:r>
    </w:p>
    <w:p w14:paraId="4673EC6B" w14:textId="77777777" w:rsidR="00E2222D" w:rsidRDefault="00D56848" w:rsidP="00907F25">
      <w:pPr>
        <w:spacing w:after="240" w:line="360" w:lineRule="auto"/>
        <w:jc w:val="both"/>
        <w:rPr>
          <w:rFonts w:ascii="ITC Avant Garde" w:hAnsi="ITC Avant Garde"/>
          <w:color w:val="000000"/>
        </w:rPr>
      </w:pPr>
      <w:r w:rsidRPr="00B215CD">
        <w:rPr>
          <w:rFonts w:ascii="ITC Avant Garde" w:hAnsi="ITC Avant Garde"/>
          <w:color w:val="000000"/>
        </w:rPr>
        <w:lastRenderedPageBreak/>
        <w:t xml:space="preserve">En tales consideraciones sus argumentos resultan </w:t>
      </w:r>
      <w:r w:rsidRPr="00B215CD">
        <w:rPr>
          <w:rFonts w:ascii="ITC Avant Garde" w:hAnsi="ITC Avant Garde"/>
          <w:b/>
          <w:color w:val="000000"/>
          <w:u w:val="single"/>
        </w:rPr>
        <w:t>infundados</w:t>
      </w:r>
      <w:r w:rsidRPr="00B215CD">
        <w:rPr>
          <w:rFonts w:ascii="ITC Avant Garde" w:hAnsi="ITC Avant Garde"/>
          <w:color w:val="000000"/>
        </w:rPr>
        <w:t>.</w:t>
      </w:r>
    </w:p>
    <w:p w14:paraId="66EC3438" w14:textId="4947116A" w:rsidR="00BF2E3C" w:rsidRPr="00195D24" w:rsidRDefault="00195D24" w:rsidP="00907F25">
      <w:pPr>
        <w:pStyle w:val="Listavistosa-nfasis11"/>
        <w:numPr>
          <w:ilvl w:val="0"/>
          <w:numId w:val="30"/>
        </w:numPr>
        <w:spacing w:after="240" w:line="360" w:lineRule="auto"/>
        <w:ind w:left="567" w:hanging="567"/>
        <w:jc w:val="both"/>
        <w:rPr>
          <w:rFonts w:ascii="ITC Avant Garde" w:eastAsia="Times New Roman" w:hAnsi="ITC Avant Garde"/>
          <w:b/>
          <w:bCs/>
          <w:vanish/>
          <w:color w:val="000000"/>
          <w:lang w:eastAsia="es-MX"/>
          <w:specVanish/>
        </w:rPr>
      </w:pPr>
      <w:r w:rsidRPr="00195D24">
        <w:rPr>
          <w:rFonts w:ascii="ITC Avant Garde" w:eastAsia="Times New Roman" w:hAnsi="ITC Avant Garde"/>
          <w:b/>
          <w:bCs/>
          <w:color w:val="000000"/>
          <w:lang w:eastAsia="es-MX"/>
        </w:rPr>
        <w:t>Contravención a las normas del procedimiento</w:t>
      </w:r>
    </w:p>
    <w:p w14:paraId="39CB6E45" w14:textId="77777777" w:rsidR="00E2222D" w:rsidRDefault="00BF2E3C" w:rsidP="00907F25">
      <w:pPr>
        <w:pStyle w:val="Textoindependiente"/>
        <w:tabs>
          <w:tab w:val="left" w:pos="851"/>
        </w:tabs>
        <w:spacing w:after="240" w:line="360" w:lineRule="auto"/>
        <w:jc w:val="both"/>
        <w:rPr>
          <w:rFonts w:ascii="ITC Avant Garde" w:eastAsia="Times New Roman" w:hAnsi="ITC Avant Garde"/>
          <w:bCs/>
          <w:color w:val="000000"/>
          <w:lang w:eastAsia="es-MX"/>
        </w:rPr>
      </w:pPr>
      <w:r w:rsidRPr="006E2535">
        <w:rPr>
          <w:rFonts w:ascii="ITC Avant Garde" w:eastAsia="Times New Roman" w:hAnsi="ITC Avant Garde"/>
          <w:bCs/>
          <w:color w:val="000000"/>
          <w:lang w:eastAsia="es-MX"/>
        </w:rPr>
        <w:t xml:space="preserve"> </w:t>
      </w:r>
    </w:p>
    <w:p w14:paraId="073B1D7E" w14:textId="77777777" w:rsidR="00E2222D" w:rsidRDefault="00195D24" w:rsidP="00907F25">
      <w:pPr>
        <w:pStyle w:val="Textoindependiente"/>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la segunda de sus manifestaciones </w:t>
      </w:r>
      <w:r w:rsidR="00A52F39" w:rsidRPr="00B215CD">
        <w:rPr>
          <w:rFonts w:ascii="ITC Avant Garde" w:hAnsi="ITC Avant Garde"/>
          <w:b/>
          <w:color w:val="000000"/>
        </w:rPr>
        <w:t>MEGA C</w:t>
      </w:r>
      <w:r w:rsidR="00A52F39">
        <w:rPr>
          <w:rFonts w:ascii="ITC Avant Garde" w:hAnsi="ITC Avant Garde"/>
          <w:b/>
          <w:color w:val="000000"/>
        </w:rPr>
        <w:t>ABLE</w:t>
      </w:r>
      <w:r w:rsidR="00A52F39">
        <w:rPr>
          <w:rFonts w:ascii="ITC Avant Garde" w:eastAsia="Times New Roman" w:hAnsi="ITC Avant Garde"/>
          <w:bCs/>
          <w:color w:val="000000"/>
          <w:lang w:eastAsia="es-MX"/>
        </w:rPr>
        <w:t xml:space="preserve"> señaló lo siguiente:</w:t>
      </w:r>
    </w:p>
    <w:p w14:paraId="184CE846" w14:textId="77777777" w:rsidR="00E2222D" w:rsidRDefault="00B8108B" w:rsidP="00907F25">
      <w:pPr>
        <w:spacing w:after="240" w:line="360" w:lineRule="auto"/>
        <w:ind w:left="567" w:right="616"/>
        <w:jc w:val="both"/>
        <w:rPr>
          <w:rFonts w:ascii="ITC Avant Garde" w:eastAsia="Times New Roman" w:hAnsi="ITC Avant Garde"/>
          <w:bCs/>
          <w:i/>
          <w:color w:val="000000"/>
          <w:lang w:eastAsia="es-MX"/>
        </w:rPr>
      </w:pPr>
      <w:r w:rsidRPr="006E5D80">
        <w:rPr>
          <w:rFonts w:ascii="ITC Avant Garde" w:eastAsia="Times New Roman" w:hAnsi="ITC Avant Garde"/>
          <w:bCs/>
          <w:i/>
          <w:color w:val="000000"/>
          <w:lang w:eastAsia="es-MX"/>
        </w:rPr>
        <w:t>Las vis</w:t>
      </w:r>
      <w:r w:rsidR="00731671" w:rsidRPr="006E5D80">
        <w:rPr>
          <w:rFonts w:ascii="ITC Avant Garde" w:eastAsia="Times New Roman" w:hAnsi="ITC Avant Garde"/>
          <w:bCs/>
          <w:i/>
          <w:color w:val="000000"/>
          <w:lang w:eastAsia="es-MX"/>
        </w:rPr>
        <w:t>i</w:t>
      </w:r>
      <w:r w:rsidRPr="006E5D80">
        <w:rPr>
          <w:rFonts w:ascii="ITC Avant Garde" w:eastAsia="Times New Roman" w:hAnsi="ITC Avant Garde"/>
          <w:bCs/>
          <w:i/>
          <w:color w:val="000000"/>
          <w:lang w:eastAsia="es-MX"/>
        </w:rPr>
        <w:t xml:space="preserve">tas de verificación de </w:t>
      </w:r>
      <w:r w:rsidR="000147EA" w:rsidRPr="006E5D80">
        <w:rPr>
          <w:rFonts w:ascii="ITC Avant Garde" w:eastAsia="Times New Roman" w:hAnsi="ITC Avant Garde"/>
          <w:bCs/>
          <w:i/>
          <w:color w:val="000000"/>
          <w:lang w:eastAsia="es-MX"/>
        </w:rPr>
        <w:t>7 y 10 d</w:t>
      </w:r>
      <w:r w:rsidR="006E5E6D">
        <w:rPr>
          <w:rFonts w:ascii="ITC Avant Garde" w:eastAsia="Times New Roman" w:hAnsi="ITC Avant Garde"/>
          <w:bCs/>
          <w:i/>
          <w:color w:val="000000"/>
          <w:lang w:eastAsia="es-MX"/>
        </w:rPr>
        <w:t>e</w:t>
      </w:r>
      <w:r w:rsidR="000147EA" w:rsidRPr="006E5D80">
        <w:rPr>
          <w:rFonts w:ascii="ITC Avant Garde" w:eastAsia="Times New Roman" w:hAnsi="ITC Avant Garde"/>
          <w:bCs/>
          <w:i/>
          <w:color w:val="000000"/>
          <w:lang w:eastAsia="es-MX"/>
        </w:rPr>
        <w:t xml:space="preserve"> diciembre</w:t>
      </w:r>
      <w:r w:rsidRPr="006E5D80">
        <w:rPr>
          <w:rFonts w:ascii="ITC Avant Garde" w:eastAsia="Times New Roman" w:hAnsi="ITC Avant Garde"/>
          <w:bCs/>
          <w:i/>
          <w:color w:val="000000"/>
          <w:lang w:eastAsia="es-MX"/>
        </w:rPr>
        <w:t xml:space="preserve"> de 2015 en las que pretende sustentarse la resolución de </w:t>
      </w:r>
      <w:r w:rsidR="000147EA" w:rsidRPr="006E5D80">
        <w:rPr>
          <w:rFonts w:ascii="ITC Avant Garde" w:eastAsia="Times New Roman" w:hAnsi="ITC Avant Garde"/>
          <w:bCs/>
          <w:i/>
          <w:color w:val="000000"/>
          <w:lang w:eastAsia="es-MX"/>
        </w:rPr>
        <w:t>29 de abril</w:t>
      </w:r>
      <w:r w:rsidRPr="006E5D80">
        <w:rPr>
          <w:rFonts w:ascii="ITC Avant Garde" w:eastAsia="Times New Roman" w:hAnsi="ITC Avant Garde"/>
          <w:bCs/>
          <w:i/>
          <w:color w:val="000000"/>
          <w:lang w:eastAsia="es-MX"/>
        </w:rPr>
        <w:t xml:space="preserve"> de 2016</w:t>
      </w:r>
      <w:r w:rsidR="000147EA" w:rsidRPr="006E5D80">
        <w:rPr>
          <w:rFonts w:ascii="ITC Avant Garde" w:eastAsia="Times New Roman" w:hAnsi="ITC Avant Garde"/>
          <w:bCs/>
          <w:i/>
          <w:color w:val="000000"/>
          <w:lang w:eastAsia="es-MX"/>
        </w:rPr>
        <w:t>,</w:t>
      </w:r>
      <w:r w:rsidRPr="006E5D80">
        <w:rPr>
          <w:rFonts w:ascii="ITC Avant Garde" w:eastAsia="Times New Roman" w:hAnsi="ITC Avant Garde"/>
          <w:bCs/>
          <w:i/>
          <w:color w:val="000000"/>
          <w:lang w:eastAsia="es-MX"/>
        </w:rPr>
        <w:t xml:space="preserve"> transgrede</w:t>
      </w:r>
      <w:r w:rsidR="000147EA" w:rsidRPr="006E5D80">
        <w:rPr>
          <w:rFonts w:ascii="ITC Avant Garde" w:eastAsia="Times New Roman" w:hAnsi="ITC Avant Garde"/>
          <w:bCs/>
          <w:i/>
          <w:color w:val="000000"/>
          <w:lang w:eastAsia="es-MX"/>
        </w:rPr>
        <w:t>n</w:t>
      </w:r>
      <w:r w:rsidRPr="006E5D80">
        <w:rPr>
          <w:rFonts w:ascii="ITC Avant Garde" w:eastAsia="Times New Roman" w:hAnsi="ITC Avant Garde"/>
          <w:bCs/>
          <w:i/>
          <w:color w:val="000000"/>
          <w:lang w:eastAsia="es-MX"/>
        </w:rPr>
        <w:t xml:space="preserve"> en perjuicio de la quejosa la garantía del debido proceso</w:t>
      </w:r>
      <w:r w:rsidR="000147EA" w:rsidRPr="006E5D80">
        <w:rPr>
          <w:rFonts w:ascii="ITC Avant Garde" w:eastAsia="Times New Roman" w:hAnsi="ITC Avant Garde"/>
          <w:bCs/>
          <w:i/>
          <w:color w:val="000000"/>
          <w:lang w:eastAsia="es-MX"/>
        </w:rPr>
        <w:t xml:space="preserve"> legal</w:t>
      </w:r>
      <w:r w:rsidRPr="006E5D80">
        <w:rPr>
          <w:rFonts w:ascii="ITC Avant Garde" w:eastAsia="Times New Roman" w:hAnsi="ITC Avant Garde"/>
          <w:bCs/>
          <w:i/>
          <w:color w:val="000000"/>
          <w:lang w:eastAsia="es-MX"/>
        </w:rPr>
        <w:t>, ya que los inspectores que llevaron a cabo las visitas de verificación se excedieron en abuso de sus funciones ya que llevaron la visita en un domicilio distinto al que les fue autorizado.</w:t>
      </w:r>
    </w:p>
    <w:p w14:paraId="57A5821C" w14:textId="77777777" w:rsidR="00E2222D" w:rsidRDefault="00B8108B" w:rsidP="00907F25">
      <w:pPr>
        <w:spacing w:after="240" w:line="360" w:lineRule="auto"/>
        <w:ind w:left="567" w:right="616"/>
        <w:jc w:val="both"/>
        <w:rPr>
          <w:rFonts w:ascii="ITC Avant Garde" w:eastAsia="Times New Roman" w:hAnsi="ITC Avant Garde"/>
          <w:bCs/>
          <w:i/>
          <w:color w:val="000000"/>
          <w:lang w:eastAsia="es-MX"/>
        </w:rPr>
      </w:pPr>
      <w:r w:rsidRPr="006E5D80">
        <w:rPr>
          <w:rFonts w:ascii="ITC Avant Garde" w:eastAsia="Times New Roman" w:hAnsi="ITC Avant Garde"/>
          <w:bCs/>
          <w:i/>
          <w:color w:val="000000"/>
          <w:lang w:eastAsia="es-MX"/>
        </w:rPr>
        <w:t>Lo anterior ya que el oficio IFT/225/UC/DG-VER/</w:t>
      </w:r>
      <w:r w:rsidR="000147EA" w:rsidRPr="006E5D80">
        <w:rPr>
          <w:rFonts w:ascii="ITC Avant Garde" w:eastAsia="Times New Roman" w:hAnsi="ITC Avant Garde"/>
          <w:bCs/>
          <w:i/>
          <w:color w:val="000000"/>
          <w:lang w:eastAsia="es-MX"/>
        </w:rPr>
        <w:t>5395</w:t>
      </w:r>
      <w:r w:rsidRPr="006E5D80">
        <w:rPr>
          <w:rFonts w:ascii="ITC Avant Garde" w:eastAsia="Times New Roman" w:hAnsi="ITC Avant Garde"/>
          <w:bCs/>
          <w:i/>
          <w:color w:val="000000"/>
          <w:lang w:eastAsia="es-MX"/>
        </w:rPr>
        <w:t xml:space="preserve">/2015 de </w:t>
      </w:r>
      <w:r w:rsidR="000147EA" w:rsidRPr="006E5D80">
        <w:rPr>
          <w:rFonts w:ascii="ITC Avant Garde" w:eastAsia="Times New Roman" w:hAnsi="ITC Avant Garde"/>
          <w:bCs/>
          <w:i/>
          <w:color w:val="000000"/>
          <w:lang w:eastAsia="es-MX"/>
        </w:rPr>
        <w:t>3 de diciembre</w:t>
      </w:r>
      <w:r w:rsidRPr="006E5D80">
        <w:rPr>
          <w:rFonts w:ascii="ITC Avant Garde" w:eastAsia="Times New Roman" w:hAnsi="ITC Avant Garde"/>
          <w:bCs/>
          <w:i/>
          <w:color w:val="000000"/>
          <w:lang w:eastAsia="es-MX"/>
        </w:rPr>
        <w:t xml:space="preserve"> de 2015 señaló como domicilio el ubicado en Boulevard de los Virreyes No. 145-2° piso Colona Lomas de Chapultepec, Delegación Miguel Hidalgo, C.P. 11000, Ciudad de México.</w:t>
      </w:r>
    </w:p>
    <w:p w14:paraId="085E020E" w14:textId="59777A8E" w:rsidR="00B8108B" w:rsidRPr="006E5D80" w:rsidRDefault="00B8108B" w:rsidP="00907F25">
      <w:pPr>
        <w:spacing w:after="240" w:line="360" w:lineRule="auto"/>
        <w:ind w:left="567" w:right="616"/>
        <w:jc w:val="both"/>
        <w:rPr>
          <w:rFonts w:ascii="ITC Avant Garde" w:eastAsia="Times New Roman" w:hAnsi="ITC Avant Garde"/>
          <w:bCs/>
          <w:i/>
          <w:color w:val="000000"/>
          <w:lang w:eastAsia="es-MX"/>
        </w:rPr>
      </w:pPr>
      <w:r w:rsidRPr="006E5D80">
        <w:rPr>
          <w:rFonts w:ascii="ITC Avant Garde" w:eastAsia="Times New Roman" w:hAnsi="ITC Avant Garde"/>
          <w:bCs/>
          <w:i/>
          <w:color w:val="000000"/>
          <w:lang w:eastAsia="es-MX"/>
        </w:rPr>
        <w:t xml:space="preserve">El </w:t>
      </w:r>
      <w:r w:rsidR="000147EA" w:rsidRPr="006E5D80">
        <w:rPr>
          <w:rFonts w:ascii="ITC Avant Garde" w:eastAsia="Times New Roman" w:hAnsi="ITC Avant Garde"/>
          <w:bCs/>
          <w:i/>
          <w:color w:val="000000"/>
          <w:lang w:eastAsia="es-MX"/>
        </w:rPr>
        <w:t>10 de diciembre de 2015</w:t>
      </w:r>
      <w:r w:rsidRPr="006E5D80">
        <w:rPr>
          <w:rFonts w:ascii="ITC Avant Garde" w:eastAsia="Times New Roman" w:hAnsi="ITC Avant Garde"/>
          <w:bCs/>
          <w:i/>
          <w:color w:val="000000"/>
          <w:lang w:eastAsia="es-MX"/>
        </w:rPr>
        <w:t xml:space="preserve"> los verificadores se constituyeron en el domicilio ubicado en </w:t>
      </w:r>
      <w:r w:rsidR="000147EA" w:rsidRPr="006E5D80">
        <w:rPr>
          <w:rFonts w:ascii="ITC Avant Garde" w:eastAsia="Times New Roman" w:hAnsi="ITC Avant Garde"/>
          <w:bCs/>
          <w:color w:val="000000"/>
          <w:lang w:eastAsia="es-MX"/>
        </w:rPr>
        <w:t>Avenida 5 de Febrero, Número 1311, Colonia Nuevo Carrillo Puerto, Código Postal 76138, Santiago de Querétaro, Querétaro</w:t>
      </w:r>
      <w:r w:rsidRPr="006E5D80">
        <w:rPr>
          <w:rFonts w:ascii="ITC Avant Garde" w:eastAsia="Times New Roman" w:hAnsi="ITC Avant Garde"/>
          <w:bCs/>
          <w:i/>
          <w:color w:val="000000"/>
          <w:lang w:eastAsia="es-MX"/>
        </w:rPr>
        <w:t>, no obstante que el oficio no fueron facultades para llevar a cabo diversas visitas en las fechas señaladas y no existe precepto legal que los autorice para llevar a cabo visitas de verificación en forma continuada.</w:t>
      </w:r>
    </w:p>
    <w:p w14:paraId="7A2FB906" w14:textId="77777777" w:rsidR="00E2222D" w:rsidRDefault="00B8108B" w:rsidP="00907F25">
      <w:pPr>
        <w:spacing w:after="240" w:line="360" w:lineRule="auto"/>
        <w:ind w:left="567" w:right="616"/>
        <w:jc w:val="both"/>
        <w:rPr>
          <w:rFonts w:ascii="ITC Avant Garde" w:eastAsia="Times New Roman" w:hAnsi="ITC Avant Garde"/>
          <w:bCs/>
          <w:i/>
          <w:color w:val="000000"/>
          <w:lang w:eastAsia="es-MX"/>
        </w:rPr>
      </w:pPr>
      <w:r w:rsidRPr="006E5D80">
        <w:rPr>
          <w:rFonts w:ascii="ITC Avant Garde" w:eastAsia="Times New Roman" w:hAnsi="ITC Avant Garde"/>
          <w:bCs/>
          <w:i/>
          <w:color w:val="000000"/>
          <w:lang w:eastAsia="es-MX"/>
        </w:rPr>
        <w:t>Las visita</w:t>
      </w:r>
      <w:r w:rsidR="00731671" w:rsidRPr="006E5D80">
        <w:rPr>
          <w:rFonts w:ascii="ITC Avant Garde" w:eastAsia="Times New Roman" w:hAnsi="ITC Avant Garde"/>
          <w:bCs/>
          <w:i/>
          <w:color w:val="000000"/>
          <w:lang w:eastAsia="es-MX"/>
        </w:rPr>
        <w:t>s</w:t>
      </w:r>
      <w:r w:rsidRPr="006E5D80">
        <w:rPr>
          <w:rFonts w:ascii="ITC Avant Garde" w:eastAsia="Times New Roman" w:hAnsi="ITC Avant Garde"/>
          <w:bCs/>
          <w:i/>
          <w:color w:val="000000"/>
          <w:lang w:eastAsia="es-MX"/>
        </w:rPr>
        <w:t xml:space="preserve"> contravienen los artículos 67, 68 y 70 de la Ley Federal de Telecomunicaciones y 62, 63, 64, 65, 66, 67, 68 y 69 de la Ley Federal de Procedimiento Administrativo ya que ninguno los autoriza para haber llevado a cabo la visita en forma parcial y supuestamente continuada y en diversos domicilios.</w:t>
      </w:r>
    </w:p>
    <w:p w14:paraId="0A42883A" w14:textId="77777777" w:rsidR="00E2222D" w:rsidRDefault="005D7E49" w:rsidP="00907F25">
      <w:pPr>
        <w:spacing w:after="240" w:line="360" w:lineRule="auto"/>
        <w:ind w:left="567" w:right="616"/>
        <w:jc w:val="both"/>
        <w:rPr>
          <w:rFonts w:ascii="ITC Avant Garde" w:eastAsia="Times New Roman" w:hAnsi="ITC Avant Garde"/>
          <w:bCs/>
          <w:i/>
          <w:color w:val="000000"/>
          <w:lang w:eastAsia="es-MX"/>
        </w:rPr>
      </w:pPr>
      <w:r w:rsidRPr="006E5D80">
        <w:rPr>
          <w:rFonts w:ascii="ITC Avant Garde" w:eastAsia="Times New Roman" w:hAnsi="ITC Avant Garde"/>
          <w:bCs/>
          <w:i/>
          <w:color w:val="000000"/>
          <w:lang w:eastAsia="es-MX"/>
        </w:rPr>
        <w:lastRenderedPageBreak/>
        <w:t>Por tanto los verificadores se excedieron de la orden de comisión que les fue conferida puesto que las practicaron en dos lugares distintos y en forma continuada transgrediendo las formalidades esenciales del procedimiento.</w:t>
      </w:r>
    </w:p>
    <w:p w14:paraId="3847FC2A" w14:textId="2CE28CDB" w:rsidR="00E2222D" w:rsidRDefault="005D7E49" w:rsidP="00907F25">
      <w:pPr>
        <w:pStyle w:val="Textoindependiente"/>
        <w:tabs>
          <w:tab w:val="left" w:pos="851"/>
        </w:tabs>
        <w:spacing w:after="240" w:line="360" w:lineRule="auto"/>
        <w:jc w:val="both"/>
        <w:rPr>
          <w:rFonts w:ascii="ITC Avant Garde" w:eastAsia="Times New Roman" w:hAnsi="ITC Avant Garde"/>
          <w:bCs/>
          <w:color w:val="000000"/>
          <w:lang w:eastAsia="es-MX"/>
        </w:rPr>
      </w:pPr>
      <w:r w:rsidRPr="006E5D80">
        <w:rPr>
          <w:rFonts w:ascii="ITC Avant Garde" w:eastAsia="Times New Roman" w:hAnsi="ITC Avant Garde"/>
          <w:bCs/>
          <w:color w:val="000000"/>
          <w:lang w:eastAsia="es-MX"/>
        </w:rPr>
        <w:t xml:space="preserve">Dicho argumento resulta </w:t>
      </w:r>
      <w:r w:rsidRPr="006E5D80">
        <w:rPr>
          <w:rFonts w:ascii="ITC Avant Garde" w:eastAsia="Times New Roman" w:hAnsi="ITC Avant Garde"/>
          <w:b/>
          <w:bCs/>
          <w:color w:val="000000"/>
          <w:u w:val="single"/>
          <w:lang w:eastAsia="es-MX"/>
        </w:rPr>
        <w:t>infundado</w:t>
      </w:r>
      <w:r w:rsidRPr="006E5D80">
        <w:rPr>
          <w:rFonts w:ascii="ITC Avant Garde" w:eastAsia="Times New Roman" w:hAnsi="ITC Avant Garde"/>
          <w:bCs/>
          <w:color w:val="000000"/>
          <w:lang w:eastAsia="es-MX"/>
        </w:rPr>
        <w:t xml:space="preserve"> en atención a las siguientes consideraciones:</w:t>
      </w:r>
    </w:p>
    <w:p w14:paraId="2181445A" w14:textId="77777777" w:rsidR="00E2222D" w:rsidRDefault="00731671" w:rsidP="00907F25">
      <w:pPr>
        <w:pStyle w:val="Textoindependiente"/>
        <w:tabs>
          <w:tab w:val="left" w:pos="851"/>
        </w:tabs>
        <w:spacing w:after="240" w:line="360" w:lineRule="auto"/>
        <w:jc w:val="both"/>
        <w:rPr>
          <w:rFonts w:ascii="ITC Avant Garde" w:eastAsia="Times New Roman" w:hAnsi="ITC Avant Garde"/>
          <w:bCs/>
          <w:color w:val="000000"/>
          <w:lang w:eastAsia="es-MX"/>
        </w:rPr>
      </w:pPr>
      <w:r w:rsidRPr="006E5D80">
        <w:rPr>
          <w:rFonts w:ascii="ITC Avant Garde" w:eastAsia="Times New Roman" w:hAnsi="ITC Avant Garde"/>
          <w:bCs/>
          <w:color w:val="000000"/>
          <w:lang w:eastAsia="es-MX"/>
        </w:rPr>
        <w:t xml:space="preserve">En tratándose de visitas de verificación, el </w:t>
      </w:r>
      <w:r w:rsidR="005D7E49" w:rsidRPr="006E5D80">
        <w:rPr>
          <w:rFonts w:ascii="ITC Avant Garde" w:eastAsia="Times New Roman" w:hAnsi="ITC Avant Garde"/>
          <w:bCs/>
          <w:color w:val="000000"/>
          <w:lang w:eastAsia="es-MX"/>
        </w:rPr>
        <w:t>Poder Judicial de la Federación ha señalado que las órdenes de verificación deben expresar el lugar o los lugares en que se ejecutará la inspección, puesto que ello es una limitante al derecho fundamental de inviolabilidad del domicilio, esto es, no obsta que en ésta se asiente, genéricamente, que es para inspeccionar y verificar las oficinas, almacenes, bodegas, talleres y demás instalaciones propiedad o en posesión de la visitada, así como en cualquier otro domicilio relacionado con la instalación, operación, explotación y comercialización de los servicios de telecomunicaciones, sino que es necesario que se señalen los lugares a verificar.</w:t>
      </w:r>
    </w:p>
    <w:p w14:paraId="53183EBF" w14:textId="77777777" w:rsidR="00E2222D" w:rsidRDefault="005D7E49" w:rsidP="00907F25">
      <w:pPr>
        <w:pStyle w:val="Textoindependiente"/>
        <w:tabs>
          <w:tab w:val="left" w:pos="851"/>
        </w:tabs>
        <w:spacing w:after="240" w:line="360" w:lineRule="auto"/>
        <w:jc w:val="both"/>
        <w:rPr>
          <w:rFonts w:ascii="ITC Avant Garde" w:eastAsia="Times New Roman" w:hAnsi="ITC Avant Garde"/>
          <w:bCs/>
          <w:color w:val="000000"/>
          <w:lang w:eastAsia="es-MX"/>
        </w:rPr>
      </w:pPr>
      <w:r w:rsidRPr="006E5D80">
        <w:rPr>
          <w:rFonts w:ascii="ITC Avant Garde" w:eastAsia="Times New Roman" w:hAnsi="ITC Avant Garde"/>
          <w:bCs/>
          <w:color w:val="000000"/>
          <w:lang w:eastAsia="es-MX"/>
        </w:rPr>
        <w:t>Al respecto, sirve de aplicación la siguiente tesis que a su letra señala:</w:t>
      </w:r>
    </w:p>
    <w:p w14:paraId="08BCD0CC" w14:textId="77777777" w:rsidR="00E2222D" w:rsidRDefault="005D7E49" w:rsidP="00907F25">
      <w:pPr>
        <w:pStyle w:val="Textoindependiente"/>
        <w:tabs>
          <w:tab w:val="left" w:pos="851"/>
        </w:tabs>
        <w:spacing w:after="240" w:line="360" w:lineRule="auto"/>
        <w:ind w:left="567" w:right="567"/>
        <w:jc w:val="both"/>
        <w:rPr>
          <w:rFonts w:ascii="ITC Avant Garde" w:eastAsia="Times New Roman" w:hAnsi="ITC Avant Garde"/>
          <w:bCs/>
          <w:color w:val="000000"/>
          <w:sz w:val="20"/>
          <w:szCs w:val="20"/>
          <w:lang w:eastAsia="es-MX"/>
        </w:rPr>
      </w:pPr>
      <w:r w:rsidRPr="00A52F39">
        <w:rPr>
          <w:rFonts w:ascii="ITC Avant Garde" w:eastAsia="Times New Roman" w:hAnsi="ITC Avant Garde"/>
          <w:b/>
          <w:bCs/>
          <w:color w:val="000000"/>
          <w:sz w:val="20"/>
          <w:szCs w:val="20"/>
          <w:lang w:eastAsia="es-MX"/>
        </w:rPr>
        <w:t>VISITA DE VERIFICACIÓN ADMINISTRATIVA EN MATERIA DE TELECOMUNICACIONES. ES CONTRARIO A DERECHO QUE EN LA ORDEN RELATIVA SE SEÑALE UN DOMICILIO Y LA DILIGENCIA SE CONTINÚE EN OTRO, OBTENIDO EN ÉSTA, EN ATENCIÓN A LOS DERECHOS FUNDAMENTALES DE INVIOLABILIDAD DEL DOMICILIO Y DE SEGURIDAD JURÍDICA.</w:t>
      </w:r>
      <w:r w:rsidRPr="00A52F39">
        <w:rPr>
          <w:rFonts w:ascii="ITC Avant Garde" w:eastAsia="Times New Roman" w:hAnsi="ITC Avant Garde"/>
          <w:bCs/>
          <w:color w:val="000000"/>
          <w:sz w:val="20"/>
          <w:szCs w:val="20"/>
          <w:lang w:eastAsia="es-MX"/>
        </w:rPr>
        <w:t xml:space="preserve"> La Suprema Corte de Justicia de la Nación estableció que toda orden de visita domiciliaria debe ajustarse a los requisitos que el artículo 16 de la Constitución Política de los Estados Unidos Mexicanos prevé para los cateos, y que se refieren al deber de especificar, por escrito, el lugar a inspeccionar, la persona o personas que hayan de aprehenderse y los objetos que se buscan, limitándose la diligencia a los rubros y objeto ahí anotados. Estas afirmaciones son igualmente aplicables a las órdenes de verificación administrativa en materia de telecomunicaciones, toda vez que, al igual que las de visita domiciliaria, tienen como sustento el precepto constitucional citado. En estas circunstancias, la autoridad administrativa, para cumplir con éste, así como con el diverso artículo 63 de la Ley Federal de </w:t>
      </w:r>
      <w:r w:rsidRPr="00A52F39">
        <w:rPr>
          <w:rFonts w:ascii="ITC Avant Garde" w:eastAsia="Times New Roman" w:hAnsi="ITC Avant Garde"/>
          <w:bCs/>
          <w:color w:val="000000"/>
          <w:sz w:val="20"/>
          <w:szCs w:val="20"/>
          <w:lang w:eastAsia="es-MX"/>
        </w:rPr>
        <w:lastRenderedPageBreak/>
        <w:t>Procedimiento Administrativo, que prevén un límite al derecho fundamental de inviolabilidad del domicilio, y en acatamiento al diverso de seguridad jurídica, debe expresar el lugar o los lugares en que se ejecutará la inspección, por lo que es contrario a derecho el señalamiento de un domicilio y la continuación de la diligencia en otro, obtenido en ésta, en tanto que la ejecución sólo puede realizarse en el domicilio autorizado por quien emite la orden. No obsta a lo anterior que en ésta se asiente, genéricamente, que es para inspeccionar y verificar "las oficinas, almacenes, bodegas, talleres y demás instalaciones propiedad o en posesión de la visitada, así como en cualquier otro domicilio relacionado con la instalación, operación, explotación y comercialización de los servicios de telecomunicaciones", pues esa circunstancia no convalida el que la visita se hubiere continuado en un domicilio distinto del precisado en la orden.</w:t>
      </w:r>
    </w:p>
    <w:p w14:paraId="4227B6C2" w14:textId="77777777" w:rsidR="00E2222D" w:rsidRDefault="005D7E49" w:rsidP="00907F25">
      <w:pPr>
        <w:pStyle w:val="Textoindependiente"/>
        <w:tabs>
          <w:tab w:val="left" w:pos="851"/>
        </w:tabs>
        <w:spacing w:after="240" w:line="360" w:lineRule="auto"/>
        <w:ind w:left="567" w:right="567"/>
        <w:jc w:val="both"/>
        <w:rPr>
          <w:rFonts w:ascii="ITC Avant Garde" w:eastAsia="Times New Roman" w:hAnsi="ITC Avant Garde"/>
          <w:bCs/>
          <w:color w:val="000000"/>
          <w:sz w:val="20"/>
          <w:szCs w:val="20"/>
          <w:lang w:eastAsia="es-MX"/>
        </w:rPr>
      </w:pPr>
      <w:r w:rsidRPr="00A52F39">
        <w:rPr>
          <w:rFonts w:ascii="ITC Avant Garde" w:eastAsia="Times New Roman" w:hAnsi="ITC Avant Garde"/>
          <w:bCs/>
          <w:color w:val="000000"/>
          <w:sz w:val="20"/>
          <w:szCs w:val="20"/>
          <w:lang w:eastAsia="es-MX"/>
        </w:rPr>
        <w:t>Época: Décima Época, Registro: 2010594, Instancia: Tribunales Colegiados de Circuito, Tipo de Tesis: Aislada, Fuente: Gaceta del Semanario Judicial de la Federación, Libro 24, Noviembre de 2015, Tomo IV, Materia(s): Constitucional, Administrativa, Tesis: I.1o</w:t>
      </w:r>
      <w:r w:rsidR="00CC6486">
        <w:rPr>
          <w:rFonts w:ascii="ITC Avant Garde" w:eastAsia="Times New Roman" w:hAnsi="ITC Avant Garde"/>
          <w:bCs/>
          <w:color w:val="000000"/>
          <w:sz w:val="20"/>
          <w:szCs w:val="20"/>
          <w:lang w:eastAsia="es-MX"/>
        </w:rPr>
        <w:t xml:space="preserve">.A.E.93 A (10a.), Página: 3691 </w:t>
      </w:r>
    </w:p>
    <w:p w14:paraId="228581ED" w14:textId="77777777" w:rsidR="0083511C" w:rsidRDefault="005D7E49" w:rsidP="00907F25">
      <w:pPr>
        <w:pStyle w:val="Textoindependiente"/>
        <w:tabs>
          <w:tab w:val="left" w:pos="851"/>
        </w:tabs>
        <w:spacing w:after="240" w:line="360" w:lineRule="auto"/>
        <w:jc w:val="both"/>
        <w:rPr>
          <w:rFonts w:ascii="ITC Avant Garde" w:eastAsia="Times New Roman" w:hAnsi="ITC Avant Garde"/>
          <w:bCs/>
          <w:color w:val="000000"/>
          <w:lang w:eastAsia="es-MX"/>
        </w:rPr>
        <w:sectPr w:rsidR="0083511C" w:rsidSect="00802C6F">
          <w:headerReference w:type="default" r:id="rId38"/>
          <w:pgSz w:w="12240" w:h="15840"/>
          <w:pgMar w:top="2126" w:right="1325" w:bottom="1701" w:left="1701" w:header="709" w:footer="962" w:gutter="0"/>
          <w:cols w:space="708"/>
          <w:docGrid w:linePitch="360"/>
        </w:sectPr>
      </w:pPr>
      <w:r w:rsidRPr="006E5D80">
        <w:rPr>
          <w:rFonts w:ascii="ITC Avant Garde" w:eastAsia="Times New Roman" w:hAnsi="ITC Avant Garde"/>
          <w:bCs/>
          <w:color w:val="000000"/>
          <w:lang w:eastAsia="es-MX"/>
        </w:rPr>
        <w:t xml:space="preserve">Con base en lo anterior, es necesario dilucidar si en el presente asunto la orden de verificación </w:t>
      </w:r>
      <w:r w:rsidR="00A52F39">
        <w:rPr>
          <w:rFonts w:ascii="ITC Avant Garde" w:eastAsia="Times New Roman" w:hAnsi="ITC Avant Garde"/>
          <w:bCs/>
          <w:color w:val="000000"/>
          <w:lang w:eastAsia="es-MX"/>
        </w:rPr>
        <w:t xml:space="preserve">contenida en el oficio </w:t>
      </w:r>
      <w:r w:rsidRPr="006E5D80">
        <w:rPr>
          <w:rFonts w:ascii="ITC Avant Garde" w:eastAsia="Times New Roman" w:hAnsi="ITC Avant Garde"/>
          <w:b/>
          <w:bCs/>
          <w:color w:val="000000"/>
          <w:lang w:eastAsia="es-MX"/>
        </w:rPr>
        <w:t>IFT/225/UC/DG-VER/</w:t>
      </w:r>
      <w:r w:rsidR="00C005A3" w:rsidRPr="006E5D80">
        <w:rPr>
          <w:rFonts w:ascii="ITC Avant Garde" w:eastAsia="Times New Roman" w:hAnsi="ITC Avant Garde"/>
          <w:b/>
          <w:bCs/>
          <w:color w:val="000000"/>
          <w:lang w:eastAsia="es-MX"/>
        </w:rPr>
        <w:t>5395</w:t>
      </w:r>
      <w:r w:rsidRPr="006E5D80">
        <w:rPr>
          <w:rFonts w:ascii="ITC Avant Garde" w:eastAsia="Times New Roman" w:hAnsi="ITC Avant Garde"/>
          <w:b/>
          <w:bCs/>
          <w:color w:val="000000"/>
          <w:lang w:eastAsia="es-MX"/>
        </w:rPr>
        <w:t>/2015</w:t>
      </w:r>
      <w:r w:rsidRPr="006E5D80">
        <w:rPr>
          <w:rFonts w:ascii="ITC Avant Garde" w:eastAsia="Times New Roman" w:hAnsi="ITC Avant Garde"/>
          <w:bCs/>
          <w:color w:val="000000"/>
          <w:lang w:eastAsia="es-MX"/>
        </w:rPr>
        <w:t xml:space="preserve"> señala el o </w:t>
      </w:r>
      <w:r w:rsidR="00A52F39">
        <w:rPr>
          <w:rFonts w:ascii="ITC Avant Garde" w:eastAsia="Times New Roman" w:hAnsi="ITC Avant Garde"/>
          <w:bCs/>
          <w:color w:val="000000"/>
          <w:lang w:eastAsia="es-MX"/>
        </w:rPr>
        <w:t xml:space="preserve">los </w:t>
      </w:r>
      <w:r w:rsidRPr="006E5D80">
        <w:rPr>
          <w:rFonts w:ascii="ITC Avant Garde" w:eastAsia="Times New Roman" w:hAnsi="ITC Avant Garde"/>
          <w:bCs/>
          <w:color w:val="000000"/>
          <w:lang w:eastAsia="es-MX"/>
        </w:rPr>
        <w:t xml:space="preserve">lugares en los que debía practicarse la visita de verificación </w:t>
      </w:r>
      <w:r w:rsidR="00731671" w:rsidRPr="006E5D80">
        <w:rPr>
          <w:rFonts w:ascii="ITC Avant Garde" w:eastAsia="Times New Roman" w:hAnsi="ITC Avant Garde"/>
          <w:bCs/>
          <w:color w:val="000000"/>
          <w:lang w:eastAsia="es-MX"/>
        </w:rPr>
        <w:t>y</w:t>
      </w:r>
      <w:r w:rsidR="00A52F39">
        <w:rPr>
          <w:rFonts w:ascii="ITC Avant Garde" w:eastAsia="Times New Roman" w:hAnsi="ITC Avant Garde"/>
          <w:bCs/>
          <w:color w:val="000000"/>
          <w:lang w:eastAsia="es-MX"/>
        </w:rPr>
        <w:t>,</w:t>
      </w:r>
      <w:r w:rsidR="00731671" w:rsidRPr="006E5D80">
        <w:rPr>
          <w:rFonts w:ascii="ITC Avant Garde" w:eastAsia="Times New Roman" w:hAnsi="ITC Avant Garde"/>
          <w:bCs/>
          <w:color w:val="000000"/>
          <w:lang w:eastAsia="es-MX"/>
        </w:rPr>
        <w:t xml:space="preserve"> </w:t>
      </w:r>
      <w:r w:rsidRPr="006E5D80">
        <w:rPr>
          <w:rFonts w:ascii="ITC Avant Garde" w:eastAsia="Times New Roman" w:hAnsi="ITC Avant Garde"/>
          <w:bCs/>
          <w:color w:val="000000"/>
          <w:lang w:eastAsia="es-MX"/>
        </w:rPr>
        <w:t>en ese sentido, conviene traer en el presente apartado la citada orden de verificación.</w:t>
      </w:r>
    </w:p>
    <w:p w14:paraId="2ADF282A" w14:textId="77777777" w:rsidR="0083511C" w:rsidRDefault="000F358F" w:rsidP="003607C2">
      <w:pPr>
        <w:pStyle w:val="Textoindependiente"/>
        <w:tabs>
          <w:tab w:val="left" w:pos="851"/>
        </w:tabs>
        <w:spacing w:after="240" w:line="360" w:lineRule="auto"/>
        <w:jc w:val="center"/>
        <w:rPr>
          <w:rFonts w:ascii="ITC Avant Garde" w:eastAsia="Times New Roman" w:hAnsi="ITC Avant Garde"/>
          <w:bCs/>
          <w:color w:val="000000"/>
          <w:lang w:eastAsia="es-MX"/>
        </w:rPr>
        <w:sectPr w:rsidR="0083511C" w:rsidSect="00802C6F">
          <w:headerReference w:type="default" r:id="rId39"/>
          <w:pgSz w:w="12240" w:h="15840"/>
          <w:pgMar w:top="2126" w:right="1325" w:bottom="1701" w:left="1701" w:header="709" w:footer="962" w:gutter="0"/>
          <w:cols w:space="708"/>
          <w:docGrid w:linePitch="360"/>
        </w:sectPr>
      </w:pPr>
      <w:r w:rsidRPr="000F358F">
        <w:rPr>
          <w:rFonts w:ascii="ITC Avant Garde" w:eastAsia="Times New Roman" w:hAnsi="ITC Avant Garde"/>
          <w:bCs/>
          <w:noProof/>
          <w:color w:val="000000"/>
          <w:lang w:eastAsia="es-MX"/>
        </w:rPr>
        <w:lastRenderedPageBreak/>
        <w:drawing>
          <wp:inline distT="0" distB="0" distL="0" distR="0" wp14:anchorId="6BAAF7A1" wp14:editId="219E2A50">
            <wp:extent cx="5299744" cy="5875362"/>
            <wp:effectExtent l="0" t="0" r="0" b="0"/>
            <wp:docPr id="13" name="Imagen 13" descr="La imagen corresponde a un documetno digitalizado que se refiere a la visita de verificación." title="Visit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950" t="11274" r="9861" b="21335"/>
                    <a:stretch/>
                  </pic:blipFill>
                  <pic:spPr bwMode="auto">
                    <a:xfrm>
                      <a:off x="0" y="0"/>
                      <a:ext cx="5299744" cy="5875362"/>
                    </a:xfrm>
                    <a:prstGeom prst="rect">
                      <a:avLst/>
                    </a:prstGeom>
                    <a:noFill/>
                    <a:ln>
                      <a:noFill/>
                    </a:ln>
                    <a:extLst>
                      <a:ext uri="{53640926-AAD7-44D8-BBD7-CCE9431645EC}">
                        <a14:shadowObscured xmlns:a14="http://schemas.microsoft.com/office/drawing/2010/main"/>
                      </a:ext>
                    </a:extLst>
                  </pic:spPr>
                </pic:pic>
              </a:graphicData>
            </a:graphic>
          </wp:inline>
        </w:drawing>
      </w:r>
    </w:p>
    <w:p w14:paraId="238032E8" w14:textId="5CAA3616" w:rsidR="00E2222D" w:rsidRDefault="00B72772" w:rsidP="00907F25">
      <w:pPr>
        <w:pStyle w:val="Textoindependiente"/>
        <w:tabs>
          <w:tab w:val="left" w:pos="851"/>
        </w:tabs>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lastRenderedPageBreak/>
        <w:t xml:space="preserve">Ahora bien, de la orden de verificación insertada, se advierte que </w:t>
      </w:r>
      <w:r w:rsidR="00A52F39">
        <w:rPr>
          <w:rFonts w:ascii="ITC Avant Garde" w:hAnsi="ITC Avant Garde" w:cs="Tahoma"/>
          <w:bCs/>
          <w:color w:val="000000"/>
          <w:shd w:val="clear" w:color="auto" w:fill="FFFFFF"/>
        </w:rPr>
        <w:t>en la misma se contemplaron</w:t>
      </w:r>
      <w:r w:rsidRPr="006E5D80">
        <w:rPr>
          <w:rFonts w:ascii="ITC Avant Garde" w:hAnsi="ITC Avant Garde" w:cs="Tahoma"/>
          <w:bCs/>
          <w:color w:val="000000"/>
          <w:shd w:val="clear" w:color="auto" w:fill="FFFFFF"/>
        </w:rPr>
        <w:t xml:space="preserve"> dos domicilios, esto es, el ubicado en Boulevard de los Virreyes No. 145, 2° Piso, Colon</w:t>
      </w:r>
      <w:r w:rsidR="006E5E6D">
        <w:rPr>
          <w:rFonts w:ascii="ITC Avant Garde" w:hAnsi="ITC Avant Garde" w:cs="Tahoma"/>
          <w:bCs/>
          <w:color w:val="000000"/>
          <w:shd w:val="clear" w:color="auto" w:fill="FFFFFF"/>
        </w:rPr>
        <w:t>i</w:t>
      </w:r>
      <w:r w:rsidRPr="006E5D80">
        <w:rPr>
          <w:rFonts w:ascii="ITC Avant Garde" w:hAnsi="ITC Avant Garde" w:cs="Tahoma"/>
          <w:bCs/>
          <w:color w:val="000000"/>
          <w:shd w:val="clear" w:color="auto" w:fill="FFFFFF"/>
        </w:rPr>
        <w:t xml:space="preserve">a Lomas de Chapultepec, Delegación Miguel Hidalgo, </w:t>
      </w:r>
      <w:r w:rsidR="00BC60F3" w:rsidRPr="006E5D80">
        <w:rPr>
          <w:rFonts w:ascii="ITC Avant Garde" w:hAnsi="ITC Avant Garde" w:cs="Tahoma"/>
          <w:bCs/>
          <w:color w:val="000000"/>
          <w:shd w:val="clear" w:color="auto" w:fill="FFFFFF"/>
        </w:rPr>
        <w:t>C.P</w:t>
      </w:r>
      <w:r w:rsidRPr="006E5D80">
        <w:rPr>
          <w:rFonts w:ascii="ITC Avant Garde" w:hAnsi="ITC Avant Garde" w:cs="Tahoma"/>
          <w:bCs/>
          <w:color w:val="000000"/>
          <w:shd w:val="clear" w:color="auto" w:fill="FFFFFF"/>
        </w:rPr>
        <w:t>. 11000, hoy Ciudad de México.</w:t>
      </w:r>
    </w:p>
    <w:p w14:paraId="5AFF3180" w14:textId="77777777" w:rsidR="00E2222D" w:rsidRDefault="00B72772" w:rsidP="00907F25">
      <w:pPr>
        <w:pStyle w:val="Textoindependiente"/>
        <w:tabs>
          <w:tab w:val="left" w:pos="851"/>
        </w:tabs>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t xml:space="preserve">Asimismo, se requirió a la visitada para que permitiera el acceso al domicilio ubicado en </w:t>
      </w:r>
      <w:r w:rsidR="00E23E7F" w:rsidRPr="006E5D80">
        <w:rPr>
          <w:rFonts w:ascii="ITC Avant Garde" w:eastAsia="Times New Roman" w:hAnsi="ITC Avant Garde"/>
          <w:bCs/>
          <w:color w:val="000000"/>
          <w:lang w:eastAsia="es-MX"/>
        </w:rPr>
        <w:t>Avenida 5 de Febrero, Número 1311, Colonia Nuevo Carrillo Puerto, Código Postal 76138, Santiago de Querétaro, Querétaro</w:t>
      </w:r>
      <w:r w:rsidRPr="006E5D80">
        <w:rPr>
          <w:rFonts w:ascii="ITC Avant Garde" w:hAnsi="ITC Avant Garde" w:cs="Tahoma"/>
          <w:bCs/>
          <w:color w:val="000000"/>
          <w:shd w:val="clear" w:color="auto" w:fill="FFFFFF"/>
        </w:rPr>
        <w:t xml:space="preserve">, toda vez que de las constancias que obran en el expediente abierto a nombre de </w:t>
      </w:r>
      <w:r w:rsidR="00E23E7F" w:rsidRPr="006E5D80">
        <w:rPr>
          <w:rFonts w:ascii="ITC Avant Garde" w:hAnsi="ITC Avant Garde" w:cs="Tahoma"/>
          <w:b/>
          <w:bCs/>
          <w:color w:val="000000"/>
          <w:shd w:val="clear" w:color="auto" w:fill="FFFFFF"/>
        </w:rPr>
        <w:t>MEGA CABLE</w:t>
      </w:r>
      <w:r w:rsidR="005939B6">
        <w:rPr>
          <w:rFonts w:ascii="ITC Avant Garde" w:hAnsi="ITC Avant Garde" w:cs="Tahoma"/>
          <w:b/>
          <w:bCs/>
          <w:color w:val="000000"/>
          <w:shd w:val="clear" w:color="auto" w:fill="FFFFFF"/>
        </w:rPr>
        <w:t xml:space="preserve"> </w:t>
      </w:r>
      <w:r w:rsidR="005939B6" w:rsidRPr="005939B6">
        <w:rPr>
          <w:rFonts w:ascii="ITC Avant Garde" w:hAnsi="ITC Avant Garde" w:cs="Tahoma"/>
          <w:bCs/>
          <w:color w:val="000000"/>
          <w:shd w:val="clear" w:color="auto" w:fill="FFFFFF"/>
        </w:rPr>
        <w:t>en el</w:t>
      </w:r>
      <w:r w:rsidR="005939B6">
        <w:rPr>
          <w:rFonts w:ascii="ITC Avant Garde" w:hAnsi="ITC Avant Garde" w:cs="Tahoma"/>
          <w:b/>
          <w:bCs/>
          <w:color w:val="000000"/>
          <w:shd w:val="clear" w:color="auto" w:fill="FFFFFF"/>
        </w:rPr>
        <w:t xml:space="preserve"> IFT</w:t>
      </w:r>
      <w:r w:rsidR="00E23E7F" w:rsidRPr="006E5D80">
        <w:rPr>
          <w:rFonts w:ascii="ITC Avant Garde" w:hAnsi="ITC Avant Garde" w:cs="Tahoma"/>
          <w:b/>
          <w:bCs/>
          <w:color w:val="000000"/>
          <w:shd w:val="clear" w:color="auto" w:fill="FFFFFF"/>
        </w:rPr>
        <w:t>,</w:t>
      </w:r>
      <w:r w:rsidRPr="006E5D80">
        <w:rPr>
          <w:rFonts w:ascii="ITC Avant Garde" w:hAnsi="ITC Avant Garde" w:cs="Tahoma"/>
          <w:bCs/>
          <w:color w:val="000000"/>
          <w:shd w:val="clear" w:color="auto" w:fill="FFFFFF"/>
        </w:rPr>
        <w:t xml:space="preserve"> dicho domicilio corresponde a la ubicación de su Centro de Recepción y Control.</w:t>
      </w:r>
    </w:p>
    <w:p w14:paraId="1F68DCED" w14:textId="77777777" w:rsidR="00E2222D" w:rsidRDefault="00B72772" w:rsidP="00907F25">
      <w:pPr>
        <w:pStyle w:val="Textoindependiente"/>
        <w:tabs>
          <w:tab w:val="left" w:pos="851"/>
        </w:tabs>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t xml:space="preserve">En tales consideraciones, debe advertirse que contrario a lo señalado por </w:t>
      </w:r>
      <w:r w:rsidR="00E23E7F" w:rsidRPr="006E5D80">
        <w:rPr>
          <w:rFonts w:ascii="ITC Avant Garde" w:hAnsi="ITC Avant Garde" w:cs="Tahoma"/>
          <w:b/>
          <w:bCs/>
          <w:color w:val="000000"/>
          <w:shd w:val="clear" w:color="auto" w:fill="FFFFFF"/>
        </w:rPr>
        <w:t>MEGA CABLE</w:t>
      </w:r>
      <w:r w:rsidRPr="006E5D80">
        <w:rPr>
          <w:rFonts w:ascii="ITC Avant Garde" w:hAnsi="ITC Avant Garde" w:cs="Tahoma"/>
          <w:bCs/>
          <w:color w:val="000000"/>
          <w:shd w:val="clear" w:color="auto" w:fill="FFFFFF"/>
        </w:rPr>
        <w:t xml:space="preserve">, no existe una extralimitación de los verificadores, puesto que como se advierte de la </w:t>
      </w:r>
      <w:r w:rsidR="00731671" w:rsidRPr="006E5D80">
        <w:rPr>
          <w:rFonts w:ascii="ITC Avant Garde" w:hAnsi="ITC Avant Garde" w:cs="Tahoma"/>
          <w:bCs/>
          <w:color w:val="000000"/>
          <w:shd w:val="clear" w:color="auto" w:fill="FFFFFF"/>
        </w:rPr>
        <w:t xml:space="preserve">propia </w:t>
      </w:r>
      <w:r w:rsidRPr="006E5D80">
        <w:rPr>
          <w:rFonts w:ascii="ITC Avant Garde" w:hAnsi="ITC Avant Garde" w:cs="Tahoma"/>
          <w:bCs/>
          <w:color w:val="000000"/>
          <w:shd w:val="clear" w:color="auto" w:fill="FFFFFF"/>
        </w:rPr>
        <w:t xml:space="preserve">orden de verificación, </w:t>
      </w:r>
      <w:r w:rsidR="00731671" w:rsidRPr="006E5D80">
        <w:rPr>
          <w:rFonts w:ascii="ITC Avant Garde" w:hAnsi="ITC Avant Garde" w:cs="Tahoma"/>
          <w:bCs/>
          <w:color w:val="000000"/>
          <w:shd w:val="clear" w:color="auto" w:fill="FFFFFF"/>
        </w:rPr>
        <w:t xml:space="preserve">los mismos </w:t>
      </w:r>
      <w:r w:rsidRPr="006E5D80">
        <w:rPr>
          <w:rFonts w:ascii="ITC Avant Garde" w:hAnsi="ITC Avant Garde" w:cs="Tahoma"/>
          <w:bCs/>
          <w:color w:val="000000"/>
          <w:shd w:val="clear" w:color="auto" w:fill="FFFFFF"/>
        </w:rPr>
        <w:t>se encontraban facultados para llevar a cabo la visita tanto en el domicilio señalado al rubro como el indicado en el cuerpo mismo de la orden de</w:t>
      </w:r>
      <w:r w:rsidR="00731671" w:rsidRPr="006E5D80">
        <w:rPr>
          <w:rFonts w:ascii="ITC Avant Garde" w:hAnsi="ITC Avant Garde" w:cs="Tahoma"/>
          <w:bCs/>
          <w:color w:val="000000"/>
          <w:shd w:val="clear" w:color="auto" w:fill="FFFFFF"/>
        </w:rPr>
        <w:t xml:space="preserve"> visita</w:t>
      </w:r>
      <w:r w:rsidRPr="006E5D80">
        <w:rPr>
          <w:rFonts w:ascii="ITC Avant Garde" w:hAnsi="ITC Avant Garde" w:cs="Tahoma"/>
          <w:bCs/>
          <w:color w:val="000000"/>
          <w:shd w:val="clear" w:color="auto" w:fill="FFFFFF"/>
        </w:rPr>
        <w:t>.</w:t>
      </w:r>
    </w:p>
    <w:p w14:paraId="5E96CD49" w14:textId="77777777" w:rsidR="00E2222D" w:rsidRDefault="00E64FA6" w:rsidP="00907F25">
      <w:pPr>
        <w:pStyle w:val="Textoindependiente"/>
        <w:tabs>
          <w:tab w:val="left" w:pos="851"/>
        </w:tabs>
        <w:spacing w:after="240" w:line="360" w:lineRule="auto"/>
        <w:jc w:val="both"/>
        <w:rPr>
          <w:rFonts w:ascii="ITC Avant Garde" w:eastAsia="Times New Roman" w:hAnsi="ITC Avant Garde"/>
          <w:bCs/>
          <w:color w:val="000000"/>
          <w:lang w:eastAsia="es-MX"/>
        </w:rPr>
      </w:pPr>
      <w:r w:rsidRPr="006E5D80">
        <w:rPr>
          <w:rFonts w:ascii="ITC Avant Garde" w:hAnsi="ITC Avant Garde" w:cs="Tahoma"/>
          <w:bCs/>
          <w:color w:val="000000"/>
          <w:shd w:val="clear" w:color="auto" w:fill="FFFFFF"/>
        </w:rPr>
        <w:t xml:space="preserve">A mayor abundamiento, </w:t>
      </w:r>
      <w:r w:rsidRPr="006E5D80">
        <w:rPr>
          <w:rFonts w:ascii="ITC Avant Garde" w:eastAsia="Times New Roman" w:hAnsi="ITC Avant Garde"/>
          <w:bCs/>
          <w:color w:val="000000"/>
          <w:lang w:eastAsia="es-MX"/>
        </w:rPr>
        <w:t xml:space="preserve">el Segundo Tribunal Colegiado de Circuito en Materia Administrativa Especializado en Competencia Económica, Radiodifusión y Telecomunicaciones en el expediente </w:t>
      </w:r>
      <w:r w:rsidRPr="006E5D80">
        <w:rPr>
          <w:rFonts w:ascii="ITC Avant Garde" w:eastAsia="Times New Roman" w:hAnsi="ITC Avant Garde"/>
          <w:b/>
          <w:bCs/>
          <w:color w:val="000000"/>
          <w:lang w:eastAsia="es-MX"/>
        </w:rPr>
        <w:t>R.A. 23/2016</w:t>
      </w:r>
      <w:r w:rsidRPr="006E5D80">
        <w:rPr>
          <w:rFonts w:ascii="ITC Avant Garde" w:eastAsia="Times New Roman" w:hAnsi="ITC Avant Garde"/>
          <w:bCs/>
          <w:color w:val="000000"/>
          <w:lang w:eastAsia="es-MX"/>
        </w:rPr>
        <w:t>, se ha pronunciado con relación a la práctica de las visitas de verificación en domicilios diferentes de la siguiente manera:</w:t>
      </w:r>
    </w:p>
    <w:p w14:paraId="5C2CD6CB" w14:textId="14F037BB" w:rsidR="00E64FA6" w:rsidRPr="00531B1A" w:rsidRDefault="00731671" w:rsidP="00907F25">
      <w:pPr>
        <w:pStyle w:val="Textoindependiente"/>
        <w:tabs>
          <w:tab w:val="left" w:pos="851"/>
        </w:tabs>
        <w:spacing w:after="240" w:line="360" w:lineRule="auto"/>
        <w:ind w:left="851" w:right="900"/>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w:t>
      </w:r>
    </w:p>
    <w:p w14:paraId="08020C05" w14:textId="77777777" w:rsidR="00E2222D" w:rsidRDefault="00E64FA6" w:rsidP="00907F25">
      <w:pPr>
        <w:pStyle w:val="Textoindependiente"/>
        <w:tabs>
          <w:tab w:val="left" w:pos="851"/>
        </w:tabs>
        <w:spacing w:after="240" w:line="360" w:lineRule="auto"/>
        <w:ind w:left="851" w:right="900"/>
        <w:jc w:val="both"/>
        <w:rPr>
          <w:rFonts w:ascii="ITC Avant Garde" w:hAnsi="ITC Avant Garde"/>
          <w:i/>
          <w:sz w:val="20"/>
        </w:rPr>
      </w:pPr>
      <w:r w:rsidRPr="00531B1A">
        <w:rPr>
          <w:rFonts w:ascii="ITC Avant Garde" w:hAnsi="ITC Avant Garde"/>
          <w:i/>
          <w:sz w:val="20"/>
        </w:rPr>
        <w:t xml:space="preserve">En ese contexto, se establece que </w:t>
      </w:r>
      <w:r w:rsidRPr="00531B1A">
        <w:rPr>
          <w:rFonts w:ascii="ITC Avant Garde" w:hAnsi="ITC Avant Garde"/>
          <w:b/>
          <w:i/>
          <w:sz w:val="20"/>
          <w:u w:val="single"/>
        </w:rPr>
        <w:t xml:space="preserve">la determinación adoptada por la juzgadora </w:t>
      </w:r>
      <w:r w:rsidRPr="00531B1A">
        <w:rPr>
          <w:rFonts w:ascii="ITC Avant Garde" w:hAnsi="ITC Avant Garde"/>
          <w:i/>
          <w:sz w:val="20"/>
        </w:rPr>
        <w:t xml:space="preserve">al analizar los aspectos de referencia, </w:t>
      </w:r>
      <w:r w:rsidRPr="00531B1A">
        <w:rPr>
          <w:rFonts w:ascii="ITC Avant Garde" w:hAnsi="ITC Avant Garde"/>
          <w:b/>
          <w:i/>
          <w:sz w:val="20"/>
          <w:u w:val="single"/>
        </w:rPr>
        <w:t>se encuentran ajustados a derecho, toda vez que el artículo 16 constitucional consagra el derecho de inviolabilidad del domicilio</w:t>
      </w:r>
      <w:r w:rsidRPr="00531B1A">
        <w:rPr>
          <w:rFonts w:ascii="ITC Avant Garde" w:hAnsi="ITC Avant Garde"/>
          <w:i/>
          <w:sz w:val="20"/>
        </w:rPr>
        <w:t xml:space="preserve">, </w:t>
      </w:r>
      <w:r w:rsidRPr="00531B1A">
        <w:rPr>
          <w:rFonts w:ascii="ITC Avant Garde" w:hAnsi="ITC Avant Garde"/>
          <w:b/>
          <w:i/>
          <w:sz w:val="20"/>
          <w:u w:val="single"/>
        </w:rPr>
        <w:t>conforme al cual, sólo se autoriza el acceso al domicilio mediante el cumplimiento de determinadas formalidades y requisitos, siendo uno el que en las órdenes de visita se señale específicamente el lugar o lugares que deben inspeccionarse</w:t>
      </w:r>
      <w:r w:rsidRPr="00531B1A">
        <w:rPr>
          <w:rFonts w:ascii="ITC Avant Garde" w:hAnsi="ITC Avant Garde"/>
          <w:i/>
          <w:sz w:val="20"/>
        </w:rPr>
        <w:t xml:space="preserve">; adicionalmente, la norma constitucional prevé que el ejercicio de las </w:t>
      </w:r>
      <w:r w:rsidRPr="00531B1A">
        <w:rPr>
          <w:rFonts w:ascii="ITC Avant Garde" w:hAnsi="ITC Avant Garde"/>
          <w:i/>
          <w:sz w:val="20"/>
        </w:rPr>
        <w:lastRenderedPageBreak/>
        <w:t>facultades de verificación de las autoridades debe someterse a las formalidades de las leyes respectivas; el mandato constitucional de referencia, en lo conducente es del tenor siguiente:</w:t>
      </w:r>
    </w:p>
    <w:p w14:paraId="2E2B25EE" w14:textId="77777777" w:rsidR="00E2222D" w:rsidRDefault="00E64FA6" w:rsidP="00907F25">
      <w:pPr>
        <w:pStyle w:val="Textoindependiente"/>
        <w:tabs>
          <w:tab w:val="left" w:pos="851"/>
        </w:tabs>
        <w:spacing w:after="240" w:line="360" w:lineRule="auto"/>
        <w:ind w:left="851" w:right="900"/>
        <w:jc w:val="both"/>
        <w:rPr>
          <w:rFonts w:ascii="ITC Avant Garde" w:hAnsi="ITC Avant Garde"/>
          <w:i/>
          <w:sz w:val="20"/>
        </w:rPr>
      </w:pPr>
      <w:r w:rsidRPr="00531B1A">
        <w:rPr>
          <w:rFonts w:ascii="ITC Avant Garde" w:hAnsi="ITC Avant Garde"/>
          <w:i/>
          <w:sz w:val="20"/>
        </w:rPr>
        <w:t>[Transcribe]</w:t>
      </w:r>
    </w:p>
    <w:p w14:paraId="6AAFDF71" w14:textId="5193CCF8" w:rsidR="00E64FA6" w:rsidRPr="00531B1A" w:rsidRDefault="00E64FA6" w:rsidP="00907F25">
      <w:pPr>
        <w:pStyle w:val="Textoindependiente"/>
        <w:tabs>
          <w:tab w:val="left" w:pos="851"/>
        </w:tabs>
        <w:spacing w:after="240" w:line="360" w:lineRule="auto"/>
        <w:ind w:left="851" w:right="900"/>
        <w:jc w:val="both"/>
        <w:rPr>
          <w:rFonts w:ascii="ITC Avant Garde" w:hAnsi="ITC Avant Garde"/>
          <w:i/>
          <w:sz w:val="20"/>
        </w:rPr>
      </w:pPr>
      <w:r w:rsidRPr="00531B1A">
        <w:rPr>
          <w:rFonts w:ascii="ITC Avant Garde" w:hAnsi="ITC Avant Garde"/>
          <w:i/>
          <w:sz w:val="20"/>
        </w:rPr>
        <w:t xml:space="preserve">Ahora bien, </w:t>
      </w:r>
      <w:r w:rsidRPr="00531B1A">
        <w:rPr>
          <w:rFonts w:ascii="ITC Avant Garde" w:hAnsi="ITC Avant Garde"/>
          <w:b/>
          <w:i/>
          <w:sz w:val="20"/>
          <w:u w:val="single"/>
        </w:rPr>
        <w:t>una formalidad prevista en la ley</w:t>
      </w:r>
      <w:r w:rsidRPr="00531B1A">
        <w:rPr>
          <w:rFonts w:ascii="ITC Avant Garde" w:hAnsi="ITC Avant Garde"/>
          <w:i/>
          <w:sz w:val="20"/>
        </w:rPr>
        <w:t xml:space="preserve"> respectiva que debe tomarse en cuenta en el caso a estudio, se encuentra especificada en </w:t>
      </w:r>
      <w:r w:rsidRPr="00531B1A">
        <w:rPr>
          <w:rFonts w:ascii="ITC Avant Garde" w:hAnsi="ITC Avant Garde"/>
          <w:b/>
          <w:i/>
          <w:sz w:val="20"/>
          <w:u w:val="single"/>
        </w:rPr>
        <w:t>el artículo 63 de la Ley Federal de Procedimiento Administrativo</w:t>
      </w:r>
      <w:r w:rsidRPr="00531B1A">
        <w:rPr>
          <w:rFonts w:ascii="ITC Avant Garde" w:hAnsi="ITC Avant Garde"/>
          <w:i/>
          <w:sz w:val="20"/>
        </w:rPr>
        <w:t>, aplicable supletoriamente al procedimiento de verificación en estudio, conforme al artículo 74 de la Ley Federal de Telecomunicaciones, el cual establece:</w:t>
      </w:r>
    </w:p>
    <w:p w14:paraId="609629C7" w14:textId="77777777" w:rsidR="00E2222D" w:rsidRDefault="00E64FA6" w:rsidP="00907F25">
      <w:pPr>
        <w:pStyle w:val="Textoindependiente"/>
        <w:tabs>
          <w:tab w:val="left" w:pos="851"/>
        </w:tabs>
        <w:spacing w:after="240" w:line="360" w:lineRule="auto"/>
        <w:ind w:left="851" w:right="900"/>
        <w:jc w:val="both"/>
        <w:rPr>
          <w:rFonts w:ascii="ITC Avant Garde" w:hAnsi="ITC Avant Garde"/>
          <w:i/>
          <w:sz w:val="20"/>
        </w:rPr>
      </w:pPr>
      <w:r w:rsidRPr="00531B1A">
        <w:rPr>
          <w:rFonts w:ascii="ITC Avant Garde" w:hAnsi="ITC Avant Garde"/>
          <w:i/>
          <w:sz w:val="20"/>
        </w:rPr>
        <w:t>[Transcribe]</w:t>
      </w:r>
    </w:p>
    <w:p w14:paraId="1B05D757" w14:textId="77777777" w:rsidR="00E2222D" w:rsidRDefault="00731671" w:rsidP="00907F25">
      <w:pPr>
        <w:pStyle w:val="Textoindependiente"/>
        <w:tabs>
          <w:tab w:val="left" w:pos="851"/>
        </w:tabs>
        <w:spacing w:after="240" w:line="360" w:lineRule="auto"/>
        <w:ind w:left="851" w:right="900"/>
        <w:jc w:val="both"/>
        <w:rPr>
          <w:rFonts w:ascii="ITC Avant Garde" w:hAnsi="ITC Avant Garde"/>
          <w:i/>
          <w:sz w:val="20"/>
        </w:rPr>
      </w:pPr>
      <w:r w:rsidRPr="00531B1A">
        <w:rPr>
          <w:rFonts w:ascii="ITC Avant Garde" w:hAnsi="ITC Avant Garde"/>
          <w:i/>
          <w:sz w:val="20"/>
        </w:rPr>
        <w:t>…</w:t>
      </w:r>
    </w:p>
    <w:p w14:paraId="4B020549" w14:textId="7BCDA37C" w:rsidR="00E64FA6" w:rsidRPr="00531B1A" w:rsidRDefault="00E64FA6" w:rsidP="00907F25">
      <w:pPr>
        <w:pStyle w:val="Textoindependiente"/>
        <w:tabs>
          <w:tab w:val="left" w:pos="851"/>
        </w:tabs>
        <w:spacing w:after="240" w:line="360" w:lineRule="auto"/>
        <w:ind w:left="851" w:right="900"/>
        <w:jc w:val="both"/>
        <w:rPr>
          <w:rFonts w:ascii="ITC Avant Garde" w:hAnsi="ITC Avant Garde"/>
          <w:i/>
          <w:sz w:val="20"/>
        </w:rPr>
      </w:pPr>
      <w:r w:rsidRPr="00531B1A">
        <w:rPr>
          <w:rFonts w:ascii="ITC Avant Garde" w:hAnsi="ITC Avant Garde"/>
          <w:i/>
          <w:sz w:val="20"/>
        </w:rPr>
        <w:t xml:space="preserve">En ese tenor, </w:t>
      </w:r>
      <w:r w:rsidRPr="00531B1A">
        <w:rPr>
          <w:rFonts w:ascii="ITC Avant Garde" w:hAnsi="ITC Avant Garde"/>
          <w:b/>
          <w:i/>
          <w:sz w:val="20"/>
          <w:u w:val="single"/>
        </w:rPr>
        <w:t>para que se produzca certeza en el particular respecto del domicilio o lugar preciso en que deba tener verificativo la visita es menester, primero, que la orden respectiva no sea genérica, es decir, que no debe hacer una referencia indeterminada de lugares que no permita identificarlos y, segundo, que los visitadores se ajusten necesaria y estrictamente a lo señalado en dicha orden</w:t>
      </w:r>
      <w:r w:rsidR="00731671" w:rsidRPr="00531B1A">
        <w:rPr>
          <w:rFonts w:ascii="ITC Avant Garde" w:hAnsi="ITC Avant Garde"/>
          <w:i/>
          <w:sz w:val="20"/>
        </w:rPr>
        <w:t>…</w:t>
      </w:r>
      <w:r w:rsidRPr="00531B1A">
        <w:rPr>
          <w:rFonts w:ascii="ITC Avant Garde" w:hAnsi="ITC Avant Garde"/>
          <w:i/>
          <w:sz w:val="20"/>
        </w:rPr>
        <w:t xml:space="preserve"> </w:t>
      </w:r>
    </w:p>
    <w:p w14:paraId="39A542D0" w14:textId="77777777" w:rsidR="00E2222D" w:rsidRDefault="00731671" w:rsidP="00907F25">
      <w:pPr>
        <w:pStyle w:val="Textoindependiente"/>
        <w:tabs>
          <w:tab w:val="left" w:pos="851"/>
        </w:tabs>
        <w:spacing w:after="240" w:line="360" w:lineRule="auto"/>
        <w:ind w:left="851" w:right="900"/>
        <w:jc w:val="both"/>
        <w:rPr>
          <w:rFonts w:ascii="ITC Avant Garde" w:hAnsi="ITC Avant Garde"/>
          <w:i/>
          <w:sz w:val="20"/>
        </w:rPr>
      </w:pPr>
      <w:r w:rsidRPr="00531B1A">
        <w:rPr>
          <w:rFonts w:ascii="ITC Avant Garde" w:hAnsi="ITC Avant Garde"/>
          <w:i/>
          <w:sz w:val="20"/>
        </w:rPr>
        <w:t>…</w:t>
      </w:r>
    </w:p>
    <w:p w14:paraId="5F69C8B1" w14:textId="4A22F1DB" w:rsidR="00E64FA6" w:rsidRPr="00531B1A" w:rsidRDefault="00E64FA6" w:rsidP="00907F25">
      <w:pPr>
        <w:pStyle w:val="Textoindependiente"/>
        <w:tabs>
          <w:tab w:val="left" w:pos="851"/>
        </w:tabs>
        <w:spacing w:after="240" w:line="360" w:lineRule="auto"/>
        <w:ind w:left="851" w:right="900"/>
        <w:jc w:val="both"/>
        <w:rPr>
          <w:rFonts w:ascii="ITC Avant Garde" w:hAnsi="ITC Avant Garde"/>
          <w:i/>
          <w:sz w:val="20"/>
        </w:rPr>
      </w:pPr>
      <w:r w:rsidRPr="00531B1A">
        <w:rPr>
          <w:rFonts w:ascii="ITC Avant Garde" w:hAnsi="ITC Avant Garde"/>
          <w:i/>
          <w:sz w:val="20"/>
        </w:rPr>
        <w:t xml:space="preserve">Es oportuno precisar que </w:t>
      </w:r>
      <w:r w:rsidRPr="00531B1A">
        <w:rPr>
          <w:rFonts w:ascii="ITC Avant Garde" w:hAnsi="ITC Avant Garde"/>
          <w:b/>
          <w:i/>
          <w:sz w:val="20"/>
          <w:u w:val="single"/>
        </w:rPr>
        <w:t>el requisito en estudio no desconoce aquéllos casos en que se requiere que una visita sea practicada en diversos domicilios; pero, en este supuesto, será menester que todos ellos se indiquen de manera específica en la orden correspondiente</w:t>
      </w:r>
      <w:r w:rsidRPr="00531B1A">
        <w:rPr>
          <w:rFonts w:ascii="ITC Avant Garde" w:hAnsi="ITC Avant Garde"/>
          <w:i/>
          <w:sz w:val="20"/>
        </w:rPr>
        <w:t xml:space="preserve"> o, en su defecto, expedir diversas órdenes ya sea simultánea o sucesivamente, pues, de lo contrario, ésta se tornaría genérica y dejaría al arbitrio de los verificadores introducirse en cualquier domicilio sin un mandato de autoridad competente que lo justifique.</w:t>
      </w:r>
    </w:p>
    <w:p w14:paraId="0586A1C4" w14:textId="77777777" w:rsidR="00E2222D" w:rsidRDefault="00731671" w:rsidP="00907F25">
      <w:pPr>
        <w:pStyle w:val="Textoindependiente"/>
        <w:tabs>
          <w:tab w:val="left" w:pos="851"/>
        </w:tabs>
        <w:spacing w:after="240" w:line="360" w:lineRule="auto"/>
        <w:ind w:left="851" w:right="900"/>
        <w:jc w:val="both"/>
        <w:rPr>
          <w:rFonts w:ascii="ITC Avant Garde" w:hAnsi="ITC Avant Garde"/>
          <w:i/>
          <w:sz w:val="20"/>
        </w:rPr>
      </w:pPr>
      <w:r w:rsidRPr="00531B1A">
        <w:rPr>
          <w:rFonts w:ascii="ITC Avant Garde" w:hAnsi="ITC Avant Garde"/>
          <w:i/>
          <w:sz w:val="20"/>
        </w:rPr>
        <w:t>…</w:t>
      </w:r>
      <w:r w:rsidR="00E64FA6" w:rsidRPr="00531B1A">
        <w:rPr>
          <w:rFonts w:ascii="ITC Avant Garde" w:hAnsi="ITC Avant Garde"/>
          <w:i/>
          <w:sz w:val="20"/>
        </w:rPr>
        <w:t>”</w:t>
      </w:r>
    </w:p>
    <w:p w14:paraId="12FD5444" w14:textId="77777777" w:rsidR="00E2222D" w:rsidRDefault="00731671" w:rsidP="00907F25">
      <w:pPr>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lastRenderedPageBreak/>
        <w:t>Adicionalmente</w:t>
      </w:r>
      <w:r w:rsidR="00243A91" w:rsidRPr="006E5D80">
        <w:rPr>
          <w:rFonts w:ascii="ITC Avant Garde" w:hAnsi="ITC Avant Garde" w:cs="Tahoma"/>
          <w:bCs/>
          <w:color w:val="000000"/>
          <w:shd w:val="clear" w:color="auto" w:fill="FFFFFF"/>
        </w:rPr>
        <w:t xml:space="preserve">, en el Amparo en Revisión </w:t>
      </w:r>
      <w:r w:rsidR="00243A91" w:rsidRPr="005939B6">
        <w:rPr>
          <w:rFonts w:ascii="ITC Avant Garde" w:hAnsi="ITC Avant Garde" w:cs="Tahoma"/>
          <w:b/>
          <w:bCs/>
          <w:color w:val="000000"/>
          <w:shd w:val="clear" w:color="auto" w:fill="FFFFFF"/>
        </w:rPr>
        <w:t>106/2015</w:t>
      </w:r>
      <w:r w:rsidR="00243A91" w:rsidRPr="006E5D80">
        <w:rPr>
          <w:rFonts w:ascii="ITC Avant Garde" w:hAnsi="ITC Avant Garde" w:cs="Tahoma"/>
          <w:bCs/>
          <w:color w:val="000000"/>
          <w:shd w:val="clear" w:color="auto" w:fill="FFFFFF"/>
        </w:rPr>
        <w:t xml:space="preserve">, </w:t>
      </w:r>
      <w:r w:rsidRPr="006E5D80">
        <w:rPr>
          <w:rFonts w:ascii="ITC Avant Garde" w:hAnsi="ITC Avant Garde" w:cs="Tahoma"/>
          <w:bCs/>
          <w:color w:val="000000"/>
          <w:shd w:val="clear" w:color="auto" w:fill="FFFFFF"/>
        </w:rPr>
        <w:t>el</w:t>
      </w:r>
      <w:r w:rsidR="00243A91" w:rsidRPr="006E5D80">
        <w:rPr>
          <w:rFonts w:ascii="ITC Avant Garde" w:hAnsi="ITC Avant Garde" w:cs="Tahoma"/>
          <w:bCs/>
          <w:color w:val="000000"/>
          <w:shd w:val="clear" w:color="auto" w:fill="FFFFFF"/>
        </w:rPr>
        <w:t xml:space="preserve"> Segundo Tribunal Colegiado de Circuito en Materia Administrativa Especializado en Competencia Económica, Radiodifusión y Telecomunicaciones con Residencia en la Ciudad de México y jurisdicción en toda la República, determinó lo siguiente:</w:t>
      </w:r>
    </w:p>
    <w:p w14:paraId="740ABFAC" w14:textId="77777777" w:rsidR="00E2222D" w:rsidRDefault="00243A91" w:rsidP="00907F25">
      <w:pPr>
        <w:spacing w:after="240" w:line="360" w:lineRule="auto"/>
        <w:ind w:left="851" w:right="900"/>
        <w:jc w:val="both"/>
        <w:rPr>
          <w:rFonts w:ascii="ITC Avant Garde" w:hAnsi="ITC Avant Garde" w:cs="Tahoma"/>
          <w:bCs/>
          <w:i/>
          <w:color w:val="000000"/>
          <w:sz w:val="20"/>
          <w:szCs w:val="20"/>
          <w:u w:val="single"/>
          <w:shd w:val="clear" w:color="auto" w:fill="FFFFFF"/>
        </w:rPr>
      </w:pPr>
      <w:r w:rsidRPr="00531B1A">
        <w:rPr>
          <w:rFonts w:ascii="ITC Avant Garde" w:hAnsi="ITC Avant Garde" w:cs="Tahoma"/>
          <w:bCs/>
          <w:i/>
          <w:color w:val="000000"/>
          <w:sz w:val="20"/>
          <w:szCs w:val="20"/>
          <w:u w:val="single"/>
          <w:shd w:val="clear" w:color="auto" w:fill="FFFFFF"/>
        </w:rPr>
        <w:t>“En ese tenor, para que se produzca certeza en el particular respecto del domicilio o lugar preciso en que deba tener verificativo la visita es menester</w:t>
      </w:r>
      <w:r w:rsidRPr="00531B1A">
        <w:rPr>
          <w:rFonts w:ascii="ITC Avant Garde" w:hAnsi="ITC Avant Garde" w:cs="Tahoma"/>
          <w:bCs/>
          <w:i/>
          <w:color w:val="000000"/>
          <w:sz w:val="20"/>
          <w:szCs w:val="20"/>
          <w:shd w:val="clear" w:color="auto" w:fill="FFFFFF"/>
        </w:rPr>
        <w:t xml:space="preserve">, primero, que la orden respectiva no sea genérica, es decir, que no debe hacer una referencia indeterminada de lugares que no permita identificarlos y, segundo, </w:t>
      </w:r>
      <w:r w:rsidRPr="00531B1A">
        <w:rPr>
          <w:rFonts w:ascii="ITC Avant Garde" w:hAnsi="ITC Avant Garde" w:cs="Tahoma"/>
          <w:bCs/>
          <w:i/>
          <w:color w:val="000000"/>
          <w:sz w:val="20"/>
          <w:szCs w:val="20"/>
          <w:u w:val="single"/>
          <w:shd w:val="clear" w:color="auto" w:fill="FFFFFF"/>
        </w:rPr>
        <w:t>que los visitadores se ajusten necesaria y estrictamente a lo señalado en dicha orden.</w:t>
      </w:r>
    </w:p>
    <w:p w14:paraId="4670128C" w14:textId="77777777" w:rsidR="00E2222D" w:rsidRDefault="00243A91" w:rsidP="00907F25">
      <w:pPr>
        <w:spacing w:after="240" w:line="360" w:lineRule="auto"/>
        <w:ind w:left="851" w:right="900"/>
        <w:jc w:val="both"/>
        <w:rPr>
          <w:rFonts w:ascii="ITC Avant Garde" w:hAnsi="ITC Avant Garde" w:cs="Tahoma"/>
          <w:bCs/>
          <w:i/>
          <w:color w:val="000000"/>
          <w:sz w:val="20"/>
          <w:szCs w:val="20"/>
          <w:shd w:val="clear" w:color="auto" w:fill="FFFFFF"/>
        </w:rPr>
      </w:pPr>
      <w:r w:rsidRPr="00531B1A">
        <w:rPr>
          <w:rFonts w:ascii="ITC Avant Garde" w:hAnsi="ITC Avant Garde" w:cs="Tahoma"/>
          <w:bCs/>
          <w:i/>
          <w:color w:val="000000"/>
          <w:sz w:val="20"/>
          <w:szCs w:val="20"/>
          <w:shd w:val="clear" w:color="auto" w:fill="FFFFFF"/>
        </w:rPr>
        <w:t>Es ilustrativa la jurisprudencia 2ª/J.64/2003 de la Segunda Sala de la Suprema Corte de Justicia de la Nación, que enseguida se trascribe:</w:t>
      </w:r>
    </w:p>
    <w:p w14:paraId="73A7FC6A" w14:textId="77777777" w:rsidR="00E2222D" w:rsidRDefault="00243A91" w:rsidP="00907F25">
      <w:pPr>
        <w:spacing w:after="240" w:line="360" w:lineRule="auto"/>
        <w:ind w:left="851" w:right="900"/>
        <w:jc w:val="both"/>
        <w:rPr>
          <w:rFonts w:ascii="ITC Avant Garde" w:hAnsi="ITC Avant Garde" w:cs="Tahoma"/>
          <w:bCs/>
          <w:i/>
          <w:color w:val="000000"/>
          <w:sz w:val="20"/>
          <w:szCs w:val="20"/>
          <w:shd w:val="clear" w:color="auto" w:fill="FFFFFF"/>
        </w:rPr>
      </w:pPr>
      <w:r w:rsidRPr="00531B1A">
        <w:rPr>
          <w:rFonts w:ascii="ITC Avant Garde" w:hAnsi="ITC Avant Garde" w:cs="Tahoma"/>
          <w:b/>
          <w:bCs/>
          <w:i/>
          <w:color w:val="000000"/>
          <w:sz w:val="20"/>
          <w:szCs w:val="20"/>
          <w:shd w:val="clear" w:color="auto" w:fill="FFFFFF"/>
        </w:rPr>
        <w:t>“ORDEN DE VISITA DOMICILIARIA. NO ES GENÉRICA SI EL LUGAR O LUGARES QUE PRECISA PARA SU PRÁCTICA, CORRESPONDEN AL DOMICILIO FISCAL DEL CONTRIBUYENTE, AUN CUANDO SEÑALE QUE EL VISITADO DEBE PERMITIR A LOS VISITADORES EL ACCESO A LOS ESTABLECIMIENTOS, OFICINAS, LOCALES, INSTALACIONES, TALLERES, FÁBRICAS, BODEGAS Y CAJAS DE VALORES, PUES SE ENTIENDE QUE SE UBICAN EN EL LUGAR PRECISADO PARA LA VISITA.”</w:t>
      </w:r>
      <w:r w:rsidRPr="00531B1A">
        <w:rPr>
          <w:rFonts w:ascii="ITC Avant Garde" w:hAnsi="ITC Avant Garde" w:cs="Tahoma"/>
          <w:bCs/>
          <w:i/>
          <w:color w:val="000000"/>
          <w:sz w:val="20"/>
          <w:szCs w:val="20"/>
          <w:shd w:val="clear" w:color="auto" w:fill="FFFFFF"/>
        </w:rPr>
        <w:t xml:space="preserve"> Si una orden de visita domiciliaria contiene los elementos que permitan al visitador ubicar específicamente la dirección y, por ende, el lugar señalado para su práctica, el cual corresponde al domicilio fiscal del contribuyente, cumple con los requisitos establecidos en los artículos 16 constitucional y 43, fracción I, del Código Fiscal de la Federación, en lo que se refiere a la precisión del lugar o lugares en los cuales habrá de efectuarse. Por tanto, el domicilio señalado expresamente en la orden respectiva no tiene sólo el efecto de que en ese lugar se notifique al contribuyente dicho mandato, sino también para que ahí tenga verificativo la inspección, siempre y cuando se trate de su domicilio fiscal, pues el Código Fiscal de la Federación regula el desarrollo de dichas visitas en el domicilio fiscal de los contribuyentes y en este aspecto prevé en su artículo 44, fracciones I y II, que la visita se desarrollará en el lugar </w:t>
      </w:r>
      <w:r w:rsidRPr="00531B1A">
        <w:rPr>
          <w:rFonts w:ascii="ITC Avant Garde" w:hAnsi="ITC Avant Garde" w:cs="Tahoma"/>
          <w:bCs/>
          <w:i/>
          <w:color w:val="000000"/>
          <w:sz w:val="20"/>
          <w:szCs w:val="20"/>
          <w:shd w:val="clear" w:color="auto" w:fill="FFFFFF"/>
        </w:rPr>
        <w:lastRenderedPageBreak/>
        <w:t>o lugares indicados en la orden relativa y que los visitadores deberán presentarse en el lugar en el que deba practicarse. Si además de lo anterior, la orden señala que el visitado debe permitir al verificador el acceso al establecimiento, oficinas, locales, instalaciones, talleres, fábricas, bodegas y cajas de valores, ello no implica imprecisión e incertidumbre respecto del señalamiento del lugar exacto en el que debe desarrollarse la diligencia, ya que ésta se rige por la dirección que ubica al lugar señalado para tal efecto, de manera que esos recintos no pueden ser otros sino los que se hallen precisamente en el domicilio indicado para la verificación, en virtud de que los datos, elementos o requisitos que contiene una orden de visita no deben apreciarse en forma separada sino armónicamente y en su conjunto. Por tanto, las expresiones ‘establecimientos’, ‘oficinas’, ‘locales’, ‘instalaciones’, ‘talleres’, ‘fábricas’, ‘bodegas’ y ‘cajas de valores’, adquieren sentido de ubicación cierta y determinada cuando se asocian al domicilio precisado en la orden de visita con el que deben complementarse. Esta conclusión se apoya, además, en el artículo 10 del Código Fiscal de la Federación, que utiliza algunos de los términos controvertidos tales como local y establecimiento, como vocablos unívocos del domicilio del contribuyente. En consecuencia, la orden de visita requisitada en los términos expuestos no es genérica, pues los visitadores sólo podrán constituirse y actuar legalmente en el lugar que aquélla indica, de modo que si efectúan la visita en instalaciones o recintos que se ubiquen en un sitio diverso al señalado, sin recabar una nueva orden, el contribuyente podrá solicitar la anulación de las actuaciones así practicadas”.</w:t>
      </w:r>
    </w:p>
    <w:p w14:paraId="14710152" w14:textId="77777777" w:rsidR="00E2222D" w:rsidRDefault="00243A91" w:rsidP="00907F25">
      <w:pPr>
        <w:spacing w:after="240" w:line="360" w:lineRule="auto"/>
        <w:ind w:left="851" w:right="900"/>
        <w:jc w:val="both"/>
        <w:rPr>
          <w:rFonts w:ascii="ITC Avant Garde" w:hAnsi="ITC Avant Garde" w:cs="Tahoma"/>
          <w:bCs/>
          <w:i/>
          <w:color w:val="000000"/>
          <w:sz w:val="20"/>
          <w:szCs w:val="20"/>
          <w:shd w:val="clear" w:color="auto" w:fill="FFFFFF"/>
        </w:rPr>
      </w:pPr>
      <w:r w:rsidRPr="00531B1A">
        <w:rPr>
          <w:rFonts w:ascii="ITC Avant Garde" w:hAnsi="ITC Avant Garde" w:cs="Tahoma"/>
          <w:bCs/>
          <w:i/>
          <w:color w:val="000000"/>
          <w:sz w:val="20"/>
          <w:szCs w:val="20"/>
          <w:shd w:val="clear" w:color="auto" w:fill="FFFFFF"/>
        </w:rPr>
        <w:t>(Época: Novena Época. Registro: 183481. Instancia: Segunda Sala. Tipo de Tesis: Jurisprudencia. Fuente: Semanario Judicial de la Federación y su Gaceta. Tomo XVIII, agosto de 2003. Materia(s): Administrativa. Tesis: 2a./J. 64/2003. Página: 237).”</w:t>
      </w:r>
    </w:p>
    <w:p w14:paraId="63634689" w14:textId="77777777" w:rsidR="00E2222D" w:rsidRDefault="00243A91" w:rsidP="00907F25">
      <w:pPr>
        <w:spacing w:after="240" w:line="360" w:lineRule="auto"/>
        <w:ind w:left="851" w:right="900"/>
        <w:jc w:val="both"/>
        <w:rPr>
          <w:rFonts w:ascii="ITC Avant Garde" w:hAnsi="ITC Avant Garde" w:cs="Tahoma"/>
          <w:bCs/>
          <w:i/>
          <w:color w:val="000000"/>
          <w:sz w:val="20"/>
          <w:szCs w:val="20"/>
          <w:shd w:val="clear" w:color="auto" w:fill="FFFFFF"/>
        </w:rPr>
      </w:pPr>
      <w:r w:rsidRPr="00531B1A">
        <w:rPr>
          <w:rFonts w:ascii="ITC Avant Garde" w:hAnsi="ITC Avant Garde" w:cs="Tahoma"/>
          <w:bCs/>
          <w:i/>
          <w:color w:val="000000"/>
          <w:sz w:val="20"/>
          <w:szCs w:val="20"/>
          <w:u w:val="single"/>
          <w:shd w:val="clear" w:color="auto" w:fill="FFFFFF"/>
        </w:rPr>
        <w:t xml:space="preserve">Cabe precisar que el requisito en estudio no desconoce aquéllos casos en que se requiere que una visita sea practicada en diversos domicilios; pero, </w:t>
      </w:r>
      <w:r w:rsidRPr="00531B1A">
        <w:rPr>
          <w:rFonts w:ascii="ITC Avant Garde" w:hAnsi="ITC Avant Garde" w:cs="Tahoma"/>
          <w:b/>
          <w:bCs/>
          <w:i/>
          <w:color w:val="000000"/>
          <w:sz w:val="20"/>
          <w:szCs w:val="20"/>
          <w:u w:val="single"/>
          <w:shd w:val="clear" w:color="auto" w:fill="FFFFFF"/>
        </w:rPr>
        <w:t xml:space="preserve">en este supuesto, será menester que todos ellos se indiquen de manera </w:t>
      </w:r>
      <w:r w:rsidRPr="00531B1A">
        <w:rPr>
          <w:rFonts w:ascii="ITC Avant Garde" w:hAnsi="ITC Avant Garde" w:cs="Tahoma"/>
          <w:b/>
          <w:bCs/>
          <w:i/>
          <w:color w:val="000000"/>
          <w:sz w:val="20"/>
          <w:szCs w:val="20"/>
          <w:u w:val="single"/>
          <w:shd w:val="clear" w:color="auto" w:fill="FFFFFF"/>
        </w:rPr>
        <w:lastRenderedPageBreak/>
        <w:t>específica en la orden correspondiente</w:t>
      </w:r>
      <w:r w:rsidRPr="00531B1A">
        <w:rPr>
          <w:rFonts w:ascii="ITC Avant Garde" w:hAnsi="ITC Avant Garde" w:cs="Tahoma"/>
          <w:bCs/>
          <w:i/>
          <w:color w:val="000000"/>
          <w:sz w:val="20"/>
          <w:szCs w:val="20"/>
          <w:u w:val="single"/>
          <w:shd w:val="clear" w:color="auto" w:fill="FFFFFF"/>
        </w:rPr>
        <w:t xml:space="preserve"> </w:t>
      </w:r>
      <w:r w:rsidRPr="00531B1A">
        <w:rPr>
          <w:rFonts w:ascii="ITC Avant Garde" w:hAnsi="ITC Avant Garde" w:cs="Tahoma"/>
          <w:bCs/>
          <w:i/>
          <w:color w:val="000000"/>
          <w:sz w:val="20"/>
          <w:szCs w:val="20"/>
          <w:shd w:val="clear" w:color="auto" w:fill="FFFFFF"/>
        </w:rPr>
        <w:t>o, en su defecto, expedir diversas órdenes ya sea simultánea o sucesivamente, pues, de lo contrario, ésta se tornaría genérica y dejaría al arbitrio de los verificadores introducirse en cualquier domicilio sin un mandato de autoridad competente que lo justifique.</w:t>
      </w:r>
    </w:p>
    <w:p w14:paraId="7B21A49F" w14:textId="77777777" w:rsidR="00E2222D" w:rsidRDefault="00243A91" w:rsidP="00907F25">
      <w:pPr>
        <w:spacing w:after="240" w:line="360" w:lineRule="auto"/>
        <w:ind w:left="851" w:right="900"/>
        <w:jc w:val="both"/>
        <w:rPr>
          <w:rFonts w:ascii="ITC Avant Garde" w:hAnsi="ITC Avant Garde" w:cs="Tahoma"/>
          <w:bCs/>
          <w:i/>
          <w:color w:val="000000"/>
          <w:sz w:val="20"/>
          <w:szCs w:val="20"/>
          <w:u w:val="single"/>
          <w:shd w:val="clear" w:color="auto" w:fill="FFFFFF"/>
        </w:rPr>
      </w:pPr>
      <w:r w:rsidRPr="00531B1A">
        <w:rPr>
          <w:rFonts w:ascii="ITC Avant Garde" w:hAnsi="ITC Avant Garde" w:cs="Tahoma"/>
          <w:bCs/>
          <w:i/>
          <w:color w:val="000000"/>
          <w:sz w:val="20"/>
          <w:szCs w:val="20"/>
          <w:shd w:val="clear" w:color="auto" w:fill="FFFFFF"/>
        </w:rPr>
        <w:t xml:space="preserve">Por consiguiente, la necesidad de que la visita de verificación se desarrolle en el lugar o lugares expresamente indicados en la orden de visita implica que la autoridad no pueda introducirse en forma arbitraria en el domicilio de los particulares, dada la facultad reglada impuesta por el legislador, </w:t>
      </w:r>
      <w:r w:rsidRPr="00531B1A">
        <w:rPr>
          <w:rFonts w:ascii="ITC Avant Garde" w:hAnsi="ITC Avant Garde" w:cs="Tahoma"/>
          <w:bCs/>
          <w:i/>
          <w:color w:val="000000"/>
          <w:sz w:val="20"/>
          <w:szCs w:val="20"/>
          <w:u w:val="single"/>
          <w:shd w:val="clear" w:color="auto" w:fill="FFFFFF"/>
        </w:rPr>
        <w:t xml:space="preserve">que la obliga a realizar la diligencia de verificación específica y limitadamente en el domicilio o domicilios expresamente designados. </w:t>
      </w:r>
    </w:p>
    <w:p w14:paraId="4D4E4CE4" w14:textId="77777777" w:rsidR="00E2222D" w:rsidRDefault="00243A91" w:rsidP="00907F25">
      <w:pPr>
        <w:spacing w:after="240" w:line="360" w:lineRule="auto"/>
        <w:ind w:left="851" w:right="900"/>
        <w:jc w:val="both"/>
        <w:rPr>
          <w:rFonts w:ascii="ITC Avant Garde" w:hAnsi="ITC Avant Garde" w:cs="Tahoma"/>
          <w:bCs/>
          <w:i/>
          <w:color w:val="000000"/>
          <w:sz w:val="20"/>
          <w:szCs w:val="20"/>
          <w:shd w:val="clear" w:color="auto" w:fill="FFFFFF"/>
        </w:rPr>
      </w:pPr>
      <w:r w:rsidRPr="00531B1A">
        <w:rPr>
          <w:rFonts w:ascii="ITC Avant Garde" w:hAnsi="ITC Avant Garde" w:cs="Tahoma"/>
          <w:bCs/>
          <w:i/>
          <w:color w:val="000000"/>
          <w:sz w:val="20"/>
          <w:szCs w:val="20"/>
          <w:shd w:val="clear" w:color="auto" w:fill="FFFFFF"/>
        </w:rPr>
        <w:t>Sirve de apoyo la tesis aislada P./CXXVI/2000 del Pleno de la Suprema Corte de Justicia de la Nación, del tenor literal siguiente:</w:t>
      </w:r>
    </w:p>
    <w:p w14:paraId="408CC116" w14:textId="54B560C5" w:rsidR="00243A91" w:rsidRPr="00531B1A" w:rsidRDefault="00243A91" w:rsidP="00907F25">
      <w:pPr>
        <w:spacing w:after="240" w:line="360" w:lineRule="auto"/>
        <w:ind w:left="851" w:right="900"/>
        <w:jc w:val="both"/>
        <w:rPr>
          <w:rFonts w:ascii="ITC Avant Garde" w:hAnsi="ITC Avant Garde" w:cs="Tahoma"/>
          <w:bCs/>
          <w:i/>
          <w:color w:val="000000"/>
          <w:sz w:val="20"/>
          <w:szCs w:val="20"/>
          <w:shd w:val="clear" w:color="auto" w:fill="FFFFFF"/>
        </w:rPr>
      </w:pPr>
      <w:r w:rsidRPr="00531B1A">
        <w:rPr>
          <w:rFonts w:ascii="ITC Avant Garde" w:hAnsi="ITC Avant Garde" w:cs="Tahoma"/>
          <w:b/>
          <w:bCs/>
          <w:i/>
          <w:color w:val="000000"/>
          <w:sz w:val="20"/>
          <w:szCs w:val="20"/>
          <w:shd w:val="clear" w:color="auto" w:fill="FFFFFF"/>
        </w:rPr>
        <w:t xml:space="preserve">“ORDEN DE VISITA. EL ARTÍCULO 43, FRACCIÓN I, DEL CÓDIGO FISCAL DE LA FEDERACIÓN, </w:t>
      </w:r>
      <w:r w:rsidRPr="00531B1A">
        <w:rPr>
          <w:rFonts w:ascii="ITC Avant Garde" w:hAnsi="ITC Avant Garde" w:cs="Tahoma"/>
          <w:b/>
          <w:bCs/>
          <w:i/>
          <w:color w:val="000000"/>
          <w:sz w:val="20"/>
          <w:szCs w:val="20"/>
          <w:u w:val="single"/>
          <w:shd w:val="clear" w:color="auto" w:fill="FFFFFF"/>
        </w:rPr>
        <w:t>NO TRANSGREDE LA GARANTÍA DE SEGURIDAD JURÍDICA CONSAGRADA EN EL ARTÍCULO 16 CONSTITUCIONAL, AL PREVER LA POSIBILIDAD DE QUE EN AQUÉLLA SE SEÑALEN UNO O MÁS DOMICILIOS EN LOS QUE PUEDE PRACTICARSE LA VISITA DE INSPECCIÓN.</w:t>
      </w:r>
      <w:r w:rsidRPr="00531B1A">
        <w:rPr>
          <w:rFonts w:ascii="ITC Avant Garde" w:hAnsi="ITC Avant Garde" w:cs="Tahoma"/>
          <w:b/>
          <w:bCs/>
          <w:i/>
          <w:color w:val="000000"/>
          <w:sz w:val="20"/>
          <w:szCs w:val="20"/>
          <w:shd w:val="clear" w:color="auto" w:fill="FFFFFF"/>
        </w:rPr>
        <w:t xml:space="preserve"> </w:t>
      </w:r>
      <w:r w:rsidRPr="00531B1A">
        <w:rPr>
          <w:rFonts w:ascii="ITC Avant Garde" w:hAnsi="ITC Avant Garde" w:cs="Tahoma"/>
          <w:bCs/>
          <w:i/>
          <w:color w:val="000000"/>
          <w:sz w:val="20"/>
          <w:szCs w:val="20"/>
          <w:shd w:val="clear" w:color="auto" w:fill="FFFFFF"/>
        </w:rPr>
        <w:t xml:space="preserve">Como se advierte de la lectura del artículo 16 constitucional, uno de los requisitos que se deben cumplir para practicar los cateos y también las visitas domiciliarias, consiste en señalar en la orden respectiva el lugar que va a ser objeto del cateo o de la visita; así, dicho precepto no admite la posibilidad de que la indicación del lugar objeto de la inspección se haga en forma equívoca, o que se deje a discrecionalidad de los ejecutores su determinación, lo que crearía inseguridad jurídica. Sin embargo, interpretar el referido requisito en forma gramatical o literal, es decir, conforme al sentido estricto del texto, que implicaría considerar que el legislador se refirió a un solo lugar o sitio para la realización del cateo o visita domiciliaria, equivaldría a cerrarle al fisco cualquier posibilidad real de vigilancia y verificación del cumplimiento de las obligaciones que se persigue con la práctica de las visitas de inspección, </w:t>
      </w:r>
      <w:r w:rsidRPr="00531B1A">
        <w:rPr>
          <w:rFonts w:ascii="ITC Avant Garde" w:hAnsi="ITC Avant Garde" w:cs="Tahoma"/>
          <w:bCs/>
          <w:i/>
          <w:color w:val="000000"/>
          <w:sz w:val="20"/>
          <w:szCs w:val="20"/>
          <w:shd w:val="clear" w:color="auto" w:fill="FFFFFF"/>
        </w:rPr>
        <w:lastRenderedPageBreak/>
        <w:t xml:space="preserve">toda vez que la autoridad se vería limitada a efectuarla en el principal asiento de los negocios del contribuyente; </w:t>
      </w:r>
      <w:r w:rsidRPr="00531B1A">
        <w:rPr>
          <w:rFonts w:ascii="ITC Avant Garde" w:hAnsi="ITC Avant Garde" w:cs="Tahoma"/>
          <w:b/>
          <w:bCs/>
          <w:i/>
          <w:color w:val="000000"/>
          <w:sz w:val="20"/>
          <w:szCs w:val="20"/>
          <w:u w:val="single"/>
          <w:shd w:val="clear" w:color="auto" w:fill="FFFFFF"/>
        </w:rPr>
        <w:t>por tanto, dicho requisito debe tenerse como satisfecho si se precisa el espacio físico (ya sea un sitio o varios), que puede ser objeto de la inspección o visita a fin de que la autoridad pueda cerciorarse del cumplimiento de determinadas obligaciones que a su vez deberán estar claramente definidas en la orden de visita relativa, tomando en cuenta, la circunstancia de que no todos los efectos objeto de la visita deban encontrarse en el principal asiento de los negocios del contribuyente, sino que es posible que se encuentren en lugares secundarios del negocio.</w:t>
      </w:r>
      <w:r w:rsidRPr="00531B1A">
        <w:rPr>
          <w:rFonts w:ascii="ITC Avant Garde" w:hAnsi="ITC Avant Garde" w:cs="Tahoma"/>
          <w:bCs/>
          <w:i/>
          <w:color w:val="000000"/>
          <w:sz w:val="20"/>
          <w:szCs w:val="20"/>
          <w:shd w:val="clear" w:color="auto" w:fill="FFFFFF"/>
        </w:rPr>
        <w:t xml:space="preserve"> En consecuencia, el hecho de que el artículo 43, fracción I, del Código Fiscal de la Federación prevea la posibilidad de que las visitas domiciliarias se realicen en diversos domicilios, no contraviene lo dispuesto por el artículo 16 constitucional, </w:t>
      </w:r>
      <w:r w:rsidRPr="00531B1A">
        <w:rPr>
          <w:rFonts w:ascii="ITC Avant Garde" w:hAnsi="ITC Avant Garde" w:cs="Tahoma"/>
          <w:b/>
          <w:bCs/>
          <w:i/>
          <w:color w:val="000000"/>
          <w:sz w:val="20"/>
          <w:szCs w:val="20"/>
          <w:u w:val="single"/>
          <w:shd w:val="clear" w:color="auto" w:fill="FFFFFF"/>
        </w:rPr>
        <w:t>si en la respectiva orden se hace el señalamiento de los domicilios en los que deba practicarse, porque es claro que el propósito de dicho precepto constitucional es referirse a la obligación que tienen las autoridades de señalar con exactitud el sitio o sitios que podrán ser inspeccionados a fin de cerciorarse de determinadas circunstancias,</w:t>
      </w:r>
      <w:r w:rsidRPr="00531B1A">
        <w:rPr>
          <w:rFonts w:ascii="ITC Avant Garde" w:hAnsi="ITC Avant Garde" w:cs="Tahoma"/>
          <w:bCs/>
          <w:i/>
          <w:color w:val="000000"/>
          <w:sz w:val="20"/>
          <w:szCs w:val="20"/>
          <w:shd w:val="clear" w:color="auto" w:fill="FFFFFF"/>
        </w:rPr>
        <w:t xml:space="preserve"> pues lo que se busca con dicha disposición constitucional es salvaguardar la inviolabilidad del domicilio de los gobernados, entendida en el sentido de que las autoridades no pueden irrumpir en el domicilio de los particulares, si no existe una orden escrita, emitida por autoridad competente, en la que expresamente se ordene que determinado sitio o lugares serán inspeccionados a fin de cerciorarse de diversos hechos perfectamente especificados en la propia orden.</w:t>
      </w:r>
    </w:p>
    <w:p w14:paraId="2D2E91DA" w14:textId="77777777" w:rsidR="00E2222D" w:rsidRDefault="00243A91" w:rsidP="00907F25">
      <w:pPr>
        <w:spacing w:after="240" w:line="360" w:lineRule="auto"/>
        <w:ind w:left="851" w:right="900"/>
        <w:jc w:val="both"/>
        <w:rPr>
          <w:rFonts w:ascii="ITC Avant Garde" w:hAnsi="ITC Avant Garde" w:cs="Tahoma"/>
          <w:bCs/>
          <w:i/>
          <w:color w:val="000000"/>
          <w:sz w:val="20"/>
          <w:szCs w:val="20"/>
          <w:shd w:val="clear" w:color="auto" w:fill="FFFFFF"/>
        </w:rPr>
      </w:pPr>
      <w:r w:rsidRPr="00531B1A">
        <w:rPr>
          <w:rFonts w:ascii="ITC Avant Garde" w:hAnsi="ITC Avant Garde" w:cs="Tahoma"/>
          <w:bCs/>
          <w:i/>
          <w:color w:val="000000"/>
          <w:sz w:val="20"/>
          <w:szCs w:val="20"/>
          <w:shd w:val="clear" w:color="auto" w:fill="FFFFFF"/>
        </w:rPr>
        <w:t>(Época: Novena Época. Registro: 191349. Instancia: Pleno. Tipo de Tesis: Aislada. Fuente: Semanario Judicial de la Federación y su Gaceta. Tomo XII, agosto de 2000. Materia(s): Constitucional, Administrativa. Tesis: P. CXXVI/2000. Página: 146).”</w:t>
      </w:r>
    </w:p>
    <w:p w14:paraId="42D05906" w14:textId="77777777" w:rsidR="00E2222D" w:rsidRDefault="00E64FA6" w:rsidP="00907F25">
      <w:pPr>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t xml:space="preserve">Así las cosas, es indudable que al haberse señalado </w:t>
      </w:r>
      <w:r w:rsidR="00731671" w:rsidRPr="006E5D80">
        <w:rPr>
          <w:rFonts w:ascii="ITC Avant Garde" w:hAnsi="ITC Avant Garde" w:cs="Tahoma"/>
          <w:bCs/>
          <w:color w:val="000000"/>
          <w:shd w:val="clear" w:color="auto" w:fill="FFFFFF"/>
        </w:rPr>
        <w:t xml:space="preserve">en la orden de visita </w:t>
      </w:r>
      <w:r w:rsidRPr="006E5D80">
        <w:rPr>
          <w:rFonts w:ascii="ITC Avant Garde" w:hAnsi="ITC Avant Garde" w:cs="Tahoma"/>
          <w:bCs/>
          <w:color w:val="000000"/>
          <w:shd w:val="clear" w:color="auto" w:fill="FFFFFF"/>
        </w:rPr>
        <w:t xml:space="preserve">tanto el domicilio para la Ciudad de México, como el de </w:t>
      </w:r>
      <w:r w:rsidR="005939B6">
        <w:rPr>
          <w:rFonts w:ascii="ITC Avant Garde" w:hAnsi="ITC Avant Garde" w:cs="Tahoma"/>
          <w:bCs/>
          <w:color w:val="000000"/>
          <w:shd w:val="clear" w:color="auto" w:fill="FFFFFF"/>
        </w:rPr>
        <w:t xml:space="preserve">la Ciudad de </w:t>
      </w:r>
      <w:r w:rsidR="00A27180" w:rsidRPr="006E5D80">
        <w:rPr>
          <w:rFonts w:ascii="ITC Avant Garde" w:hAnsi="ITC Avant Garde" w:cs="Tahoma"/>
          <w:bCs/>
          <w:color w:val="000000"/>
          <w:shd w:val="clear" w:color="auto" w:fill="FFFFFF"/>
        </w:rPr>
        <w:t xml:space="preserve">Santiago de Querétaro, </w:t>
      </w:r>
      <w:r w:rsidR="005939B6">
        <w:rPr>
          <w:rFonts w:ascii="ITC Avant Garde" w:hAnsi="ITC Avant Garde" w:cs="Tahoma"/>
          <w:bCs/>
          <w:color w:val="000000"/>
          <w:shd w:val="clear" w:color="auto" w:fill="FFFFFF"/>
        </w:rPr>
        <w:t xml:space="preserve">en el Estado de </w:t>
      </w:r>
      <w:r w:rsidR="00A27180" w:rsidRPr="006E5D80">
        <w:rPr>
          <w:rFonts w:ascii="ITC Avant Garde" w:hAnsi="ITC Avant Garde" w:cs="Tahoma"/>
          <w:bCs/>
          <w:color w:val="000000"/>
          <w:shd w:val="clear" w:color="auto" w:fill="FFFFFF"/>
        </w:rPr>
        <w:t>Querétaro</w:t>
      </w:r>
      <w:r w:rsidRPr="006E5D80">
        <w:rPr>
          <w:rFonts w:ascii="ITC Avant Garde" w:hAnsi="ITC Avant Garde" w:cs="Tahoma"/>
          <w:bCs/>
          <w:color w:val="000000"/>
          <w:shd w:val="clear" w:color="auto" w:fill="FFFFFF"/>
        </w:rPr>
        <w:t xml:space="preserve">, </w:t>
      </w:r>
      <w:r w:rsidR="00731671" w:rsidRPr="006E5D80">
        <w:rPr>
          <w:rFonts w:ascii="ITC Avant Garde" w:hAnsi="ITC Avant Garde" w:cs="Tahoma"/>
          <w:bCs/>
          <w:color w:val="000000"/>
          <w:shd w:val="clear" w:color="auto" w:fill="FFFFFF"/>
        </w:rPr>
        <w:t xml:space="preserve">como aquellos en que se podía llevar </w:t>
      </w:r>
      <w:r w:rsidRPr="006E5D80">
        <w:rPr>
          <w:rFonts w:ascii="ITC Avant Garde" w:hAnsi="ITC Avant Garde" w:cs="Tahoma"/>
          <w:bCs/>
          <w:color w:val="000000"/>
          <w:shd w:val="clear" w:color="auto" w:fill="FFFFFF"/>
        </w:rPr>
        <w:t xml:space="preserve">a cabo la visita de </w:t>
      </w:r>
      <w:r w:rsidRPr="006E5D80">
        <w:rPr>
          <w:rFonts w:ascii="ITC Avant Garde" w:hAnsi="ITC Avant Garde" w:cs="Tahoma"/>
          <w:bCs/>
          <w:color w:val="000000"/>
          <w:shd w:val="clear" w:color="auto" w:fill="FFFFFF"/>
        </w:rPr>
        <w:lastRenderedPageBreak/>
        <w:t>verificación</w:t>
      </w:r>
      <w:r w:rsidR="00731671" w:rsidRPr="006E5D80">
        <w:rPr>
          <w:rFonts w:ascii="ITC Avant Garde" w:hAnsi="ITC Avant Garde" w:cs="Tahoma"/>
          <w:bCs/>
          <w:color w:val="000000"/>
          <w:shd w:val="clear" w:color="auto" w:fill="FFFFFF"/>
        </w:rPr>
        <w:t>,</w:t>
      </w:r>
      <w:r w:rsidRPr="006E5D80">
        <w:rPr>
          <w:rFonts w:ascii="ITC Avant Garde" w:hAnsi="ITC Avant Garde" w:cs="Tahoma"/>
          <w:bCs/>
          <w:color w:val="000000"/>
          <w:shd w:val="clear" w:color="auto" w:fill="FFFFFF"/>
        </w:rPr>
        <w:t xml:space="preserve"> </w:t>
      </w:r>
      <w:r w:rsidR="0081490F" w:rsidRPr="006E5D80">
        <w:rPr>
          <w:rFonts w:ascii="ITC Avant Garde" w:hAnsi="ITC Avant Garde" w:cs="Tahoma"/>
          <w:bCs/>
          <w:color w:val="000000"/>
          <w:shd w:val="clear" w:color="auto" w:fill="FFFFFF"/>
        </w:rPr>
        <w:t xml:space="preserve">resulta claro que tanto la </w:t>
      </w:r>
      <w:r w:rsidRPr="006E5D80">
        <w:rPr>
          <w:rFonts w:ascii="ITC Avant Garde" w:hAnsi="ITC Avant Garde" w:cs="Tahoma"/>
          <w:bCs/>
          <w:color w:val="000000"/>
          <w:shd w:val="clear" w:color="auto" w:fill="FFFFFF"/>
        </w:rPr>
        <w:t xml:space="preserve">orden de verificación como la actuación de los verificadores se </w:t>
      </w:r>
      <w:r w:rsidR="0081490F" w:rsidRPr="006E5D80">
        <w:rPr>
          <w:rFonts w:ascii="ITC Avant Garde" w:hAnsi="ITC Avant Garde" w:cs="Tahoma"/>
          <w:bCs/>
          <w:color w:val="000000"/>
          <w:shd w:val="clear" w:color="auto" w:fill="FFFFFF"/>
        </w:rPr>
        <w:t xml:space="preserve">encuentra </w:t>
      </w:r>
      <w:r w:rsidRPr="006E5D80">
        <w:rPr>
          <w:rFonts w:ascii="ITC Avant Garde" w:hAnsi="ITC Avant Garde" w:cs="Tahoma"/>
          <w:bCs/>
          <w:color w:val="000000"/>
          <w:shd w:val="clear" w:color="auto" w:fill="FFFFFF"/>
        </w:rPr>
        <w:t>ajusta</w:t>
      </w:r>
      <w:r w:rsidR="0081490F" w:rsidRPr="006E5D80">
        <w:rPr>
          <w:rFonts w:ascii="ITC Avant Garde" w:hAnsi="ITC Avant Garde" w:cs="Tahoma"/>
          <w:bCs/>
          <w:color w:val="000000"/>
          <w:shd w:val="clear" w:color="auto" w:fill="FFFFFF"/>
        </w:rPr>
        <w:t>da</w:t>
      </w:r>
      <w:r w:rsidRPr="006E5D80">
        <w:rPr>
          <w:rFonts w:ascii="ITC Avant Garde" w:hAnsi="ITC Avant Garde" w:cs="Tahoma"/>
          <w:bCs/>
          <w:color w:val="000000"/>
          <w:shd w:val="clear" w:color="auto" w:fill="FFFFFF"/>
        </w:rPr>
        <w:t xml:space="preserve"> a derecho, puesto que como se ha advertido, éstos se encontraban facultados para llevar a cabo la visita en los domicilios precisados en la orden de verificación.</w:t>
      </w:r>
    </w:p>
    <w:p w14:paraId="279DB514" w14:textId="77777777" w:rsidR="00E2222D" w:rsidRDefault="00E64FA6" w:rsidP="00907F25">
      <w:pPr>
        <w:pStyle w:val="Textoindependiente"/>
        <w:tabs>
          <w:tab w:val="left" w:pos="851"/>
        </w:tabs>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t xml:space="preserve">De ahí que su argumento resulte </w:t>
      </w:r>
      <w:r w:rsidRPr="006E5D80">
        <w:rPr>
          <w:rFonts w:ascii="ITC Avant Garde" w:hAnsi="ITC Avant Garde" w:cs="Tahoma"/>
          <w:b/>
          <w:bCs/>
          <w:color w:val="000000"/>
          <w:u w:val="single"/>
          <w:shd w:val="clear" w:color="auto" w:fill="FFFFFF"/>
        </w:rPr>
        <w:t>infundado</w:t>
      </w:r>
      <w:r w:rsidRPr="006E5D80">
        <w:rPr>
          <w:rFonts w:ascii="ITC Avant Garde" w:hAnsi="ITC Avant Garde" w:cs="Tahoma"/>
          <w:bCs/>
          <w:color w:val="000000"/>
          <w:shd w:val="clear" w:color="auto" w:fill="FFFFFF"/>
        </w:rPr>
        <w:t xml:space="preserve">. </w:t>
      </w:r>
    </w:p>
    <w:p w14:paraId="598648A4" w14:textId="77777777" w:rsidR="00E2222D" w:rsidRDefault="00386290" w:rsidP="00907F25">
      <w:pPr>
        <w:pStyle w:val="Textoindependiente"/>
        <w:tabs>
          <w:tab w:val="left" w:pos="851"/>
        </w:tabs>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t xml:space="preserve">Ahora bien, en cuanto al hecho de que no existe precepto en el que se establezca que la vista de verificación pueda llevarse a cabo en forma parcial y continuada, debe señalarse que el artículo 67, fracción II de la </w:t>
      </w:r>
      <w:r w:rsidR="00A364C0" w:rsidRPr="006E5D80">
        <w:rPr>
          <w:rFonts w:ascii="ITC Avant Garde" w:hAnsi="ITC Avant Garde" w:cs="Tahoma"/>
          <w:b/>
          <w:bCs/>
          <w:color w:val="000000"/>
          <w:shd w:val="clear" w:color="auto" w:fill="FFFFFF"/>
        </w:rPr>
        <w:t>LFPA</w:t>
      </w:r>
      <w:r w:rsidRPr="006E5D80">
        <w:rPr>
          <w:rFonts w:ascii="ITC Avant Garde" w:hAnsi="ITC Avant Garde" w:cs="Tahoma"/>
          <w:bCs/>
          <w:color w:val="000000"/>
          <w:shd w:val="clear" w:color="auto" w:fill="FFFFFF"/>
        </w:rPr>
        <w:t xml:space="preserve"> establece que en el acta de verificación se asentará hora, día, mes y año en que se inicie y en que se concluya.</w:t>
      </w:r>
    </w:p>
    <w:p w14:paraId="2E2BDC82" w14:textId="77777777" w:rsidR="00E2222D" w:rsidRDefault="00386290" w:rsidP="00907F25">
      <w:pPr>
        <w:pStyle w:val="Textoindependiente"/>
        <w:tabs>
          <w:tab w:val="left" w:pos="851"/>
        </w:tabs>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t xml:space="preserve">Con lo anterior, es dable concluir que existen visitas de verificación que no se consuman en un solo momento sino que es necesario continuarla en los días siguientes, considerando la naturaleza de la misma, la complejidad del tema o simplemente </w:t>
      </w:r>
      <w:r w:rsidR="0089690E" w:rsidRPr="006E5D80">
        <w:rPr>
          <w:rFonts w:ascii="ITC Avant Garde" w:hAnsi="ITC Avant Garde" w:cs="Tahoma"/>
          <w:bCs/>
          <w:color w:val="000000"/>
          <w:shd w:val="clear" w:color="auto" w:fill="FFFFFF"/>
        </w:rPr>
        <w:t>garantizar el mínimo de invasión a la privacidad del visitado.</w:t>
      </w:r>
    </w:p>
    <w:p w14:paraId="03B8EF5C" w14:textId="77777777" w:rsidR="00E2222D" w:rsidRDefault="0089690E" w:rsidP="00907F25">
      <w:pPr>
        <w:pStyle w:val="Textoindependiente"/>
        <w:tabs>
          <w:tab w:val="left" w:pos="851"/>
        </w:tabs>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t>En ese sentido</w:t>
      </w:r>
      <w:r w:rsidR="00386290" w:rsidRPr="006E5D80">
        <w:rPr>
          <w:rFonts w:ascii="ITC Avant Garde" w:hAnsi="ITC Avant Garde" w:cs="Tahoma"/>
          <w:bCs/>
          <w:color w:val="000000"/>
          <w:shd w:val="clear" w:color="auto" w:fill="FFFFFF"/>
        </w:rPr>
        <w:t>, el Poder Judicial de la Federación ha reconocido que una visita no</w:t>
      </w:r>
      <w:r w:rsidR="0081490F" w:rsidRPr="006E5D80">
        <w:rPr>
          <w:rFonts w:ascii="ITC Avant Garde" w:hAnsi="ITC Avant Garde" w:cs="Tahoma"/>
          <w:bCs/>
          <w:color w:val="000000"/>
          <w:shd w:val="clear" w:color="auto" w:fill="FFFFFF"/>
        </w:rPr>
        <w:t xml:space="preserve"> necesariamente </w:t>
      </w:r>
      <w:r w:rsidR="00386290" w:rsidRPr="006E5D80">
        <w:rPr>
          <w:rFonts w:ascii="ITC Avant Garde" w:hAnsi="ITC Avant Garde" w:cs="Tahoma"/>
          <w:bCs/>
          <w:color w:val="000000"/>
          <w:shd w:val="clear" w:color="auto" w:fill="FFFFFF"/>
        </w:rPr>
        <w:t xml:space="preserve">empieza y termina el mismo día sino que </w:t>
      </w:r>
      <w:r w:rsidR="0081490F" w:rsidRPr="006E5D80">
        <w:rPr>
          <w:rFonts w:ascii="ITC Avant Garde" w:hAnsi="ITC Avant Garde" w:cs="Tahoma"/>
          <w:bCs/>
          <w:color w:val="000000"/>
          <w:shd w:val="clear" w:color="auto" w:fill="FFFFFF"/>
        </w:rPr>
        <w:t xml:space="preserve">existe la posibilidad de que la misma </w:t>
      </w:r>
      <w:r w:rsidR="00386290" w:rsidRPr="006E5D80">
        <w:rPr>
          <w:rFonts w:ascii="ITC Avant Garde" w:hAnsi="ITC Avant Garde" w:cs="Tahoma"/>
          <w:bCs/>
          <w:color w:val="000000"/>
          <w:shd w:val="clear" w:color="auto" w:fill="FFFFFF"/>
        </w:rPr>
        <w:t>se levant</w:t>
      </w:r>
      <w:r w:rsidR="0081490F" w:rsidRPr="006E5D80">
        <w:rPr>
          <w:rFonts w:ascii="ITC Avant Garde" w:hAnsi="ITC Avant Garde" w:cs="Tahoma"/>
          <w:bCs/>
          <w:color w:val="000000"/>
          <w:shd w:val="clear" w:color="auto" w:fill="FFFFFF"/>
        </w:rPr>
        <w:t>e</w:t>
      </w:r>
      <w:r w:rsidR="00386290" w:rsidRPr="006E5D80">
        <w:rPr>
          <w:rFonts w:ascii="ITC Avant Garde" w:hAnsi="ITC Avant Garde" w:cs="Tahoma"/>
          <w:bCs/>
          <w:color w:val="000000"/>
          <w:shd w:val="clear" w:color="auto" w:fill="FFFFFF"/>
        </w:rPr>
        <w:t xml:space="preserve"> en días sucesivos y que en realidad viene a constituir varias visitas sucesivas, o varias invasiones sucesivas a la privacidad del visitado</w:t>
      </w:r>
      <w:r w:rsidR="0081490F" w:rsidRPr="006E5D80">
        <w:rPr>
          <w:rFonts w:ascii="ITC Avant Garde" w:hAnsi="ITC Avant Garde" w:cs="Tahoma"/>
          <w:bCs/>
          <w:color w:val="000000"/>
          <w:shd w:val="clear" w:color="auto" w:fill="FFFFFF"/>
        </w:rPr>
        <w:t xml:space="preserve">; sin embargo, </w:t>
      </w:r>
      <w:r w:rsidR="00386290" w:rsidRPr="006E5D80">
        <w:rPr>
          <w:rFonts w:ascii="ITC Avant Garde" w:hAnsi="ITC Avant Garde" w:cs="Tahoma"/>
          <w:bCs/>
          <w:color w:val="000000"/>
          <w:shd w:val="clear" w:color="auto" w:fill="FFFFFF"/>
        </w:rPr>
        <w:t>al concluir cada una de ellas debe quedar levantada la parte relativa del acta</w:t>
      </w:r>
      <w:r w:rsidR="00F4326E" w:rsidRPr="006E5D80">
        <w:rPr>
          <w:rFonts w:ascii="ITC Avant Garde" w:hAnsi="ITC Avant Garde" w:cs="Tahoma"/>
          <w:bCs/>
          <w:color w:val="000000"/>
          <w:shd w:val="clear" w:color="auto" w:fill="FFFFFF"/>
        </w:rPr>
        <w:t xml:space="preserve"> formulada el día de su elaboración.</w:t>
      </w:r>
    </w:p>
    <w:p w14:paraId="2592969C" w14:textId="77777777" w:rsidR="00E2222D" w:rsidRDefault="0089690E" w:rsidP="00907F25">
      <w:pPr>
        <w:pStyle w:val="Textoindependiente"/>
        <w:tabs>
          <w:tab w:val="left" w:pos="851"/>
        </w:tabs>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t xml:space="preserve">Lo anterior, </w:t>
      </w:r>
      <w:r w:rsidR="00F4326E" w:rsidRPr="006E5D80">
        <w:rPr>
          <w:rFonts w:ascii="ITC Avant Garde" w:hAnsi="ITC Avant Garde" w:cs="Tahoma"/>
          <w:bCs/>
          <w:color w:val="000000"/>
          <w:shd w:val="clear" w:color="auto" w:fill="FFFFFF"/>
        </w:rPr>
        <w:t xml:space="preserve">tiene por objeto </w:t>
      </w:r>
      <w:r w:rsidRPr="006E5D80">
        <w:rPr>
          <w:rFonts w:ascii="ITC Avant Garde" w:hAnsi="ITC Avant Garde" w:cs="Tahoma"/>
          <w:bCs/>
          <w:color w:val="000000"/>
          <w:shd w:val="clear" w:color="auto" w:fill="FFFFFF"/>
        </w:rPr>
        <w:t>garantizar un mínimo de invasión a la privacidad del visitado</w:t>
      </w:r>
      <w:r w:rsidR="00F4326E" w:rsidRPr="006E5D80">
        <w:rPr>
          <w:rFonts w:ascii="ITC Avant Garde" w:hAnsi="ITC Avant Garde" w:cs="Tahoma"/>
          <w:bCs/>
          <w:color w:val="000000"/>
          <w:shd w:val="clear" w:color="auto" w:fill="FFFFFF"/>
        </w:rPr>
        <w:t xml:space="preserve"> así </w:t>
      </w:r>
      <w:r w:rsidRPr="006E5D80">
        <w:rPr>
          <w:rFonts w:ascii="ITC Avant Garde" w:hAnsi="ITC Avant Garde" w:cs="Tahoma"/>
          <w:bCs/>
          <w:color w:val="000000"/>
          <w:shd w:val="clear" w:color="auto" w:fill="FFFFFF"/>
        </w:rPr>
        <w:t>como para no dejarlo en estado de indefensión respecto de los hechos que se van encontrando y asentando en el acta respectiva.</w:t>
      </w:r>
    </w:p>
    <w:p w14:paraId="7A2B91BA" w14:textId="77777777" w:rsidR="00E2222D" w:rsidRDefault="0089690E" w:rsidP="00907F25">
      <w:pPr>
        <w:pStyle w:val="Textoindependiente"/>
        <w:tabs>
          <w:tab w:val="left" w:pos="851"/>
        </w:tabs>
        <w:spacing w:after="240" w:line="360" w:lineRule="auto"/>
        <w:jc w:val="both"/>
        <w:rPr>
          <w:rFonts w:ascii="ITC Avant Garde" w:hAnsi="ITC Avant Garde" w:cs="Tahoma"/>
          <w:bCs/>
          <w:color w:val="000000"/>
          <w:sz w:val="28"/>
          <w:shd w:val="clear" w:color="auto" w:fill="FFFFFF"/>
        </w:rPr>
      </w:pPr>
      <w:r w:rsidRPr="006E5D80">
        <w:rPr>
          <w:rFonts w:ascii="ITC Avant Garde" w:hAnsi="ITC Avant Garde" w:cs="Tahoma"/>
          <w:bCs/>
          <w:color w:val="000000"/>
          <w:shd w:val="clear" w:color="auto" w:fill="FFFFFF"/>
        </w:rPr>
        <w:t>El criterio anterior, se puede ver ilustrado en la siguiente tesis de aplicación por analogía:</w:t>
      </w:r>
    </w:p>
    <w:p w14:paraId="4BB08418" w14:textId="77777777" w:rsidR="00E2222D" w:rsidRDefault="00386290" w:rsidP="00907F25">
      <w:pPr>
        <w:pStyle w:val="Textoindependiente"/>
        <w:tabs>
          <w:tab w:val="left" w:pos="851"/>
        </w:tabs>
        <w:spacing w:after="240" w:line="360" w:lineRule="auto"/>
        <w:ind w:left="851" w:right="900"/>
        <w:jc w:val="both"/>
        <w:rPr>
          <w:rFonts w:ascii="ITC Avant Garde" w:hAnsi="ITC Avant Garde" w:cs="Tahoma"/>
          <w:bCs/>
          <w:color w:val="000000"/>
          <w:sz w:val="20"/>
          <w:szCs w:val="20"/>
          <w:shd w:val="clear" w:color="auto" w:fill="FFFFFF"/>
        </w:rPr>
      </w:pPr>
      <w:r w:rsidRPr="00531B1A">
        <w:rPr>
          <w:rFonts w:ascii="ITC Avant Garde" w:hAnsi="ITC Avant Garde" w:cs="Tahoma"/>
          <w:b/>
          <w:bCs/>
          <w:color w:val="000000"/>
          <w:sz w:val="20"/>
          <w:szCs w:val="20"/>
          <w:shd w:val="clear" w:color="auto" w:fill="FFFFFF"/>
        </w:rPr>
        <w:lastRenderedPageBreak/>
        <w:t>VISITAS DOMICILIARIAS PRACTICADAS EN VARIOS DIAS</w:t>
      </w:r>
      <w:r w:rsidRPr="00531B1A">
        <w:rPr>
          <w:rFonts w:ascii="ITC Avant Garde" w:hAnsi="ITC Avant Garde" w:cs="Tahoma"/>
          <w:bCs/>
          <w:color w:val="000000"/>
          <w:sz w:val="20"/>
          <w:szCs w:val="20"/>
          <w:shd w:val="clear" w:color="auto" w:fill="FFFFFF"/>
        </w:rPr>
        <w:t>.</w:t>
      </w:r>
      <w:r w:rsidR="0089690E" w:rsidRPr="00531B1A">
        <w:rPr>
          <w:rFonts w:ascii="ITC Avant Garde" w:hAnsi="ITC Avant Garde" w:cs="Tahoma"/>
          <w:bCs/>
          <w:color w:val="000000"/>
          <w:sz w:val="20"/>
          <w:szCs w:val="20"/>
          <w:shd w:val="clear" w:color="auto" w:fill="FFFFFF"/>
        </w:rPr>
        <w:t xml:space="preserve"> </w:t>
      </w:r>
      <w:r w:rsidRPr="00531B1A">
        <w:rPr>
          <w:rFonts w:ascii="ITC Avant Garde" w:hAnsi="ITC Avant Garde" w:cs="Tahoma"/>
          <w:bCs/>
          <w:color w:val="000000"/>
          <w:sz w:val="20"/>
          <w:szCs w:val="20"/>
          <w:shd w:val="clear" w:color="auto" w:fill="FFFFFF"/>
        </w:rPr>
        <w:t xml:space="preserve">Conforme al artículo 84, fracción V, del Código Fiscal, los visitadores harán constar en el acta los hechos y omisiones observados y "al concluir la visita, cerrarán el acta" haciendo constar los resultados en forma circunstanciada. Por otra parte, la fracción VII del precepto dice que con las mismas formalidades se levantarán las actas parciales o complementarias para hacer constar hechos concretos en el curso de la visita. De tales disposiciones </w:t>
      </w:r>
      <w:r w:rsidRPr="00531B1A">
        <w:rPr>
          <w:rFonts w:ascii="ITC Avant Garde" w:hAnsi="ITC Avant Garde" w:cs="Tahoma"/>
          <w:b/>
          <w:bCs/>
          <w:color w:val="000000"/>
          <w:sz w:val="20"/>
          <w:szCs w:val="20"/>
          <w:u w:val="single"/>
          <w:shd w:val="clear" w:color="auto" w:fill="FFFFFF"/>
        </w:rPr>
        <w:t>se desprende que legalmente, al iniciarse una visita, debe iniciarse también el acta relativa, la que se deberá ir levantando a medida que se desarrolla la visita, haciéndose constar lo que se vaya encontrando, y que al final de la visita se cerrará el acta que ya se había iniciado</w:t>
      </w:r>
      <w:r w:rsidRPr="00531B1A">
        <w:rPr>
          <w:rFonts w:ascii="ITC Avant Garde" w:hAnsi="ITC Avant Garde" w:cs="Tahoma"/>
          <w:bCs/>
          <w:color w:val="000000"/>
          <w:sz w:val="20"/>
          <w:szCs w:val="20"/>
          <w:shd w:val="clear" w:color="auto" w:fill="FFFFFF"/>
        </w:rPr>
        <w:t xml:space="preserve">. Pues si el acta debe cerrarse al concluir la visita, esa expresión implica lógicamente que el acta se abrió al iniciarla. Lo que, por otra parte, </w:t>
      </w:r>
      <w:r w:rsidRPr="00531B1A">
        <w:rPr>
          <w:rFonts w:ascii="ITC Avant Garde" w:hAnsi="ITC Avant Garde" w:cs="Tahoma"/>
          <w:b/>
          <w:bCs/>
          <w:color w:val="000000"/>
          <w:sz w:val="20"/>
          <w:szCs w:val="20"/>
          <w:u w:val="single"/>
          <w:shd w:val="clear" w:color="auto" w:fill="FFFFFF"/>
        </w:rPr>
        <w:t>es necesario tanto para garantizar un mínimo de invasión innecesaria a la privacidad del visitado, como para no dejarlo en estado de indefensión respecto de los hechos que se van encontrando y asentando en el acta</w:t>
      </w:r>
      <w:r w:rsidRPr="00531B1A">
        <w:rPr>
          <w:rFonts w:ascii="ITC Avant Garde" w:hAnsi="ITC Avant Garde" w:cs="Tahoma"/>
          <w:bCs/>
          <w:color w:val="000000"/>
          <w:sz w:val="20"/>
          <w:szCs w:val="20"/>
          <w:shd w:val="clear" w:color="auto" w:fill="FFFFFF"/>
        </w:rPr>
        <w:t xml:space="preserve">. Pues especialmente en </w:t>
      </w:r>
      <w:r w:rsidRPr="00531B1A">
        <w:rPr>
          <w:rFonts w:ascii="ITC Avant Garde" w:hAnsi="ITC Avant Garde" w:cs="Tahoma"/>
          <w:b/>
          <w:bCs/>
          <w:color w:val="000000"/>
          <w:sz w:val="20"/>
          <w:szCs w:val="20"/>
          <w:u w:val="single"/>
          <w:shd w:val="clear" w:color="auto" w:fill="FFFFFF"/>
        </w:rPr>
        <w:t>una visita que no empieza y termina el mismo día sino que se levanta en días sucesivos, y que en realidad viene a constituir varias visitas sucesivas, o varias invasiones sucesivas a la privacidad del visitado, al concluir cada una de ellas debe quedar levantada la parte relativa del acta</w:t>
      </w:r>
      <w:r w:rsidRPr="00531B1A">
        <w:rPr>
          <w:rFonts w:ascii="ITC Avant Garde" w:hAnsi="ITC Avant Garde" w:cs="Tahoma"/>
          <w:bCs/>
          <w:color w:val="000000"/>
          <w:sz w:val="20"/>
          <w:szCs w:val="20"/>
          <w:shd w:val="clear" w:color="auto" w:fill="FFFFFF"/>
        </w:rPr>
        <w:t xml:space="preserve">. Y si el artículo 16 constitucional dice, por lo demás, que en los cateos (cuyas formalidades se deben observar en las visitas administrativas) se levantará un acta al concluir la visita, esto no puede entenderse sino referido a cada acto de invasión de privacidad, o sea, </w:t>
      </w:r>
      <w:r w:rsidRPr="00531B1A">
        <w:rPr>
          <w:rFonts w:ascii="ITC Avant Garde" w:hAnsi="ITC Avant Garde" w:cs="Tahoma"/>
          <w:b/>
          <w:bCs/>
          <w:color w:val="000000"/>
          <w:sz w:val="20"/>
          <w:szCs w:val="20"/>
          <w:u w:val="single"/>
          <w:shd w:val="clear" w:color="auto" w:fill="FFFFFF"/>
        </w:rPr>
        <w:t>si la visita se prolonga varios días, a cada visita diaria, cuyos resultados deben irse asentando en el acta día a día</w:t>
      </w:r>
      <w:r w:rsidRPr="00531B1A">
        <w:rPr>
          <w:rFonts w:ascii="ITC Avant Garde" w:hAnsi="ITC Avant Garde" w:cs="Tahoma"/>
          <w:bCs/>
          <w:color w:val="000000"/>
          <w:sz w:val="20"/>
          <w:szCs w:val="20"/>
          <w:shd w:val="clear" w:color="auto" w:fill="FFFFFF"/>
        </w:rPr>
        <w:t xml:space="preserve">. Luego, en la visita parcial de cada día, en una auditoría que requiera varias, se deben asentar los hechos encontrados ese día, y deben firmar las personas que intervinieron ese día. Y al concluir la visita, se deberá cerrar el acta con las firmas de quienes intervinieron en la visita, con los testigos y el representante legal, sin que a estas últimas personas se les pueda impedir por los visitadores, presenciar todos y cada uno de los momentos de la visita, a fin de que puedan testificar y defender sus derechos, respectivamente. Y aunque la fracción VI del artículo 84 establezca que el visitado y los testigos </w:t>
      </w:r>
      <w:r w:rsidRPr="00531B1A">
        <w:rPr>
          <w:rFonts w:ascii="ITC Avant Garde" w:hAnsi="ITC Avant Garde" w:cs="Tahoma"/>
          <w:bCs/>
          <w:color w:val="000000"/>
          <w:sz w:val="20"/>
          <w:szCs w:val="20"/>
          <w:shd w:val="clear" w:color="auto" w:fill="FFFFFF"/>
        </w:rPr>
        <w:lastRenderedPageBreak/>
        <w:t xml:space="preserve">firmarán el acta al concluir, lo que será suficiente para su validez, esto no implica que quienes intervinieron en cada una de las actas parciales, cuando la visita no se realiza en forma continuada en un solo día, no deben firmar el acta parcial, con las mismas formalidades señaladas para el acta total de la visita. </w:t>
      </w:r>
      <w:r w:rsidRPr="00531B1A">
        <w:rPr>
          <w:rFonts w:ascii="ITC Avant Garde" w:hAnsi="ITC Avant Garde" w:cs="Tahoma"/>
          <w:b/>
          <w:bCs/>
          <w:color w:val="000000"/>
          <w:sz w:val="20"/>
          <w:szCs w:val="20"/>
          <w:u w:val="single"/>
          <w:shd w:val="clear" w:color="auto" w:fill="FFFFFF"/>
        </w:rPr>
        <w:t xml:space="preserve">Es decir, si la visita es continúa y se termina el mismo día, la regla es que al concluirla la firme el visitado y los testigos. Pero cuando la visita </w:t>
      </w:r>
      <w:r w:rsidR="0081490F" w:rsidRPr="00531B1A">
        <w:rPr>
          <w:rFonts w:ascii="ITC Avant Garde" w:hAnsi="ITC Avant Garde" w:cs="Tahoma"/>
          <w:b/>
          <w:bCs/>
          <w:color w:val="000000"/>
          <w:sz w:val="20"/>
          <w:szCs w:val="20"/>
          <w:u w:val="single"/>
          <w:shd w:val="clear" w:color="auto" w:fill="FFFFFF"/>
        </w:rPr>
        <w:t>e</w:t>
      </w:r>
      <w:r w:rsidRPr="00531B1A">
        <w:rPr>
          <w:rFonts w:ascii="ITC Avant Garde" w:hAnsi="ITC Avant Garde" w:cs="Tahoma"/>
          <w:b/>
          <w:bCs/>
          <w:color w:val="000000"/>
          <w:sz w:val="20"/>
          <w:szCs w:val="20"/>
          <w:u w:val="single"/>
          <w:shd w:val="clear" w:color="auto" w:fill="FFFFFF"/>
        </w:rPr>
        <w:t>s descontinúa y se practica en días diferentes, cada uno de esos días deberá levantarse un acta parcial o complementaria, con quienes en ella hayan intervenido</w:t>
      </w:r>
      <w:r w:rsidRPr="00531B1A">
        <w:rPr>
          <w:rFonts w:ascii="ITC Avant Garde" w:hAnsi="ITC Avant Garde" w:cs="Tahoma"/>
          <w:bCs/>
          <w:color w:val="000000"/>
          <w:sz w:val="20"/>
          <w:szCs w:val="20"/>
          <w:shd w:val="clear" w:color="auto" w:fill="FFFFFF"/>
        </w:rPr>
        <w:t>, sin impedir acceso a los testigos y el visitado, aunque sin que la ausencia de éste, o de los testigo</w:t>
      </w:r>
      <w:r w:rsidR="0081490F" w:rsidRPr="00531B1A">
        <w:rPr>
          <w:rFonts w:ascii="ITC Avant Garde" w:hAnsi="ITC Avant Garde" w:cs="Tahoma"/>
          <w:bCs/>
          <w:color w:val="000000"/>
          <w:sz w:val="20"/>
          <w:szCs w:val="20"/>
          <w:shd w:val="clear" w:color="auto" w:fill="FFFFFF"/>
        </w:rPr>
        <w:t>s</w:t>
      </w:r>
      <w:r w:rsidRPr="00531B1A">
        <w:rPr>
          <w:rFonts w:ascii="ITC Avant Garde" w:hAnsi="ITC Avant Garde" w:cs="Tahoma"/>
          <w:bCs/>
          <w:color w:val="000000"/>
          <w:sz w:val="20"/>
          <w:szCs w:val="20"/>
          <w:shd w:val="clear" w:color="auto" w:fill="FFFFFF"/>
        </w:rPr>
        <w:t xml:space="preserve"> que él haya designado, cuando sea imputable al propio visitado o a sus testigos, puedan motivar la nulidad de lo actuado, sino que simplemente se tendrá que asentar tal circunstancia en el acta parcial o complementaria. Y si lo testigos del visitado no comparecen algún día, ese día deberán ser suplidos por testigos designados por la autoridad si el visitado no ofrece otros, en términos de los preceptos que han venido comentando. Pues si las visitas no deben causar molestias innecesarias a los particulares, y en ellas se deben proteger sus intereses a fin de que las autoridades no actúen a su entero arbitrio, cuando se prolonguen varios días se deben prolongar varios días también las tutelas legales y constitucionales establecidas como formalidades que condicionan la validez de la visita. Sería absurdo e inútil que en una visita que durase varios días, bastara que sólo al principiar y al concluir estuviesen presentes y firmasen el representante de la empresa y los testigos, pues en esa situación todo lo que se hubiese actuado en medio quedaría al arbitrio absoluto de los visitadores, lo que es contrario tanto a la Constitución Federal como al Código Fiscal de la Federación, en los preceptos examinados.</w:t>
      </w:r>
    </w:p>
    <w:p w14:paraId="0931ACA7" w14:textId="74827431" w:rsidR="0089690E" w:rsidRPr="006E5D80" w:rsidRDefault="0089690E" w:rsidP="00907F25">
      <w:pPr>
        <w:pStyle w:val="Textoindependiente"/>
        <w:tabs>
          <w:tab w:val="left" w:pos="851"/>
        </w:tabs>
        <w:spacing w:after="240" w:line="360" w:lineRule="auto"/>
        <w:ind w:left="851" w:right="900"/>
        <w:jc w:val="both"/>
        <w:rPr>
          <w:rFonts w:ascii="ITC Avant Garde" w:hAnsi="ITC Avant Garde" w:cs="Tahoma"/>
          <w:bCs/>
          <w:color w:val="000000"/>
          <w:shd w:val="clear" w:color="auto" w:fill="FFFFFF"/>
        </w:rPr>
      </w:pPr>
      <w:r w:rsidRPr="00531B1A">
        <w:rPr>
          <w:rFonts w:ascii="ITC Avant Garde" w:hAnsi="ITC Avant Garde" w:cs="Tahoma"/>
          <w:bCs/>
          <w:color w:val="000000"/>
          <w:sz w:val="20"/>
          <w:szCs w:val="20"/>
          <w:shd w:val="clear" w:color="auto" w:fill="FFFFFF"/>
        </w:rPr>
        <w:t>Época: Séptima Época, Registro: 251069, Instancia: Tribunales Colegiados de Circuito, Tipo de Tesis: Aislada, Fuente: Semanario Judicial de la Federación, Volumen 145-150, Sexta Parte, Materia(s): Administrativa, Tesis: Página: 301</w:t>
      </w:r>
      <w:r w:rsidRPr="006E5D80">
        <w:rPr>
          <w:rFonts w:ascii="ITC Avant Garde" w:hAnsi="ITC Avant Garde" w:cs="Tahoma"/>
          <w:bCs/>
          <w:color w:val="000000"/>
          <w:sz w:val="18"/>
          <w:shd w:val="clear" w:color="auto" w:fill="FFFFFF"/>
        </w:rPr>
        <w:t xml:space="preserve"> </w:t>
      </w:r>
    </w:p>
    <w:p w14:paraId="1E6932B9" w14:textId="77777777" w:rsidR="00E2222D" w:rsidRDefault="00F4326E" w:rsidP="00907F25">
      <w:pPr>
        <w:pStyle w:val="Textoindependiente"/>
        <w:tabs>
          <w:tab w:val="left" w:pos="851"/>
        </w:tabs>
        <w:spacing w:after="240" w:line="360" w:lineRule="auto"/>
        <w:jc w:val="both"/>
        <w:rPr>
          <w:rFonts w:ascii="ITC Avant Garde" w:hAnsi="ITC Avant Garde" w:cs="Tahoma"/>
          <w:bCs/>
          <w:color w:val="000000"/>
          <w:shd w:val="clear" w:color="auto" w:fill="FFFFFF"/>
        </w:rPr>
      </w:pPr>
      <w:r w:rsidRPr="006E5D80">
        <w:rPr>
          <w:rFonts w:ascii="ITC Avant Garde" w:hAnsi="ITC Avant Garde" w:cs="Tahoma"/>
          <w:bCs/>
          <w:color w:val="000000"/>
          <w:shd w:val="clear" w:color="auto" w:fill="FFFFFF"/>
        </w:rPr>
        <w:t>Por tanto, si en el presente caso, se llevó a cabo un</w:t>
      </w:r>
      <w:r w:rsidR="00243A91" w:rsidRPr="006E5D80">
        <w:rPr>
          <w:rFonts w:ascii="ITC Avant Garde" w:hAnsi="ITC Avant Garde" w:cs="Tahoma"/>
          <w:bCs/>
          <w:color w:val="000000"/>
          <w:shd w:val="clear" w:color="auto" w:fill="FFFFFF"/>
        </w:rPr>
        <w:t>a</w:t>
      </w:r>
      <w:r w:rsidRPr="006E5D80">
        <w:rPr>
          <w:rFonts w:ascii="ITC Avant Garde" w:hAnsi="ITC Avant Garde" w:cs="Tahoma"/>
          <w:bCs/>
          <w:color w:val="000000"/>
          <w:shd w:val="clear" w:color="auto" w:fill="FFFFFF"/>
        </w:rPr>
        <w:t xml:space="preserve"> visita que tuvo por efecto realizarla en tres días diferentes</w:t>
      </w:r>
      <w:r w:rsidR="00243A91" w:rsidRPr="006E5D80">
        <w:rPr>
          <w:rFonts w:ascii="ITC Avant Garde" w:hAnsi="ITC Avant Garde" w:cs="Tahoma"/>
          <w:bCs/>
          <w:color w:val="000000"/>
          <w:shd w:val="clear" w:color="auto" w:fill="FFFFFF"/>
        </w:rPr>
        <w:t xml:space="preserve">, dada la naturaleza de la misma, </w:t>
      </w:r>
      <w:r w:rsidRPr="006E5D80">
        <w:rPr>
          <w:rFonts w:ascii="ITC Avant Garde" w:hAnsi="ITC Avant Garde" w:cs="Tahoma"/>
          <w:bCs/>
          <w:color w:val="000000"/>
          <w:shd w:val="clear" w:color="auto" w:fill="FFFFFF"/>
        </w:rPr>
        <w:t xml:space="preserve">es dable concluir que ello no </w:t>
      </w:r>
      <w:r w:rsidRPr="006E5D80">
        <w:rPr>
          <w:rFonts w:ascii="ITC Avant Garde" w:hAnsi="ITC Avant Garde" w:cs="Tahoma"/>
          <w:bCs/>
          <w:color w:val="000000"/>
          <w:shd w:val="clear" w:color="auto" w:fill="FFFFFF"/>
        </w:rPr>
        <w:lastRenderedPageBreak/>
        <w:t xml:space="preserve">afecta la legalidad de </w:t>
      </w:r>
      <w:r w:rsidR="00243A91" w:rsidRPr="006E5D80">
        <w:rPr>
          <w:rFonts w:ascii="ITC Avant Garde" w:hAnsi="ITC Avant Garde" w:cs="Tahoma"/>
          <w:bCs/>
          <w:color w:val="000000"/>
          <w:shd w:val="clear" w:color="auto" w:fill="FFFFFF"/>
        </w:rPr>
        <w:t>ésta</w:t>
      </w:r>
      <w:r w:rsidRPr="006E5D80">
        <w:rPr>
          <w:rFonts w:ascii="ITC Avant Garde" w:hAnsi="ITC Avant Garde" w:cs="Tahoma"/>
          <w:bCs/>
          <w:color w:val="000000"/>
          <w:shd w:val="clear" w:color="auto" w:fill="FFFFFF"/>
        </w:rPr>
        <w:t>,</w:t>
      </w:r>
      <w:r w:rsidR="0081490F" w:rsidRPr="006E5D80">
        <w:rPr>
          <w:rFonts w:ascii="ITC Avant Garde" w:hAnsi="ITC Avant Garde" w:cs="Tahoma"/>
          <w:bCs/>
          <w:color w:val="000000"/>
          <w:shd w:val="clear" w:color="auto" w:fill="FFFFFF"/>
        </w:rPr>
        <w:t xml:space="preserve"> puesto que como se ha señalado es posible que </w:t>
      </w:r>
      <w:r w:rsidR="00531B1A" w:rsidRPr="006E5D80">
        <w:rPr>
          <w:rFonts w:ascii="ITC Avant Garde" w:hAnsi="ITC Avant Garde" w:cs="Tahoma"/>
          <w:bCs/>
          <w:color w:val="000000"/>
          <w:shd w:val="clear" w:color="auto" w:fill="FFFFFF"/>
        </w:rPr>
        <w:t>la visita se prologue</w:t>
      </w:r>
      <w:r w:rsidR="0081490F" w:rsidRPr="006E5D80">
        <w:rPr>
          <w:rFonts w:ascii="ITC Avant Garde" w:hAnsi="ITC Avant Garde" w:cs="Tahoma"/>
          <w:bCs/>
          <w:color w:val="000000"/>
          <w:shd w:val="clear" w:color="auto" w:fill="FFFFFF"/>
        </w:rPr>
        <w:t xml:space="preserve"> por varios días.</w:t>
      </w:r>
    </w:p>
    <w:p w14:paraId="55151E91" w14:textId="77777777" w:rsidR="00E2222D" w:rsidRDefault="00243A91" w:rsidP="00907F25">
      <w:pPr>
        <w:pStyle w:val="Textoindependiente"/>
        <w:tabs>
          <w:tab w:val="left" w:pos="851"/>
        </w:tabs>
        <w:spacing w:after="240" w:line="360" w:lineRule="auto"/>
        <w:jc w:val="both"/>
        <w:rPr>
          <w:rFonts w:ascii="ITC Avant Garde" w:hAnsi="ITC Avant Garde" w:cs="Tahoma"/>
          <w:b/>
          <w:bCs/>
          <w:color w:val="000000"/>
          <w:shd w:val="clear" w:color="auto" w:fill="FFFFFF"/>
        </w:rPr>
      </w:pPr>
      <w:r w:rsidRPr="006E5D80">
        <w:rPr>
          <w:rFonts w:ascii="ITC Avant Garde" w:hAnsi="ITC Avant Garde" w:cs="Tahoma"/>
          <w:bCs/>
          <w:color w:val="000000"/>
          <w:shd w:val="clear" w:color="auto" w:fill="FFFFFF"/>
        </w:rPr>
        <w:t xml:space="preserve">Por tanto, su argumento también resulta </w:t>
      </w:r>
      <w:r w:rsidRPr="006E5D80">
        <w:rPr>
          <w:rFonts w:ascii="ITC Avant Garde" w:hAnsi="ITC Avant Garde" w:cs="Tahoma"/>
          <w:b/>
          <w:bCs/>
          <w:color w:val="000000"/>
          <w:u w:val="single"/>
          <w:shd w:val="clear" w:color="auto" w:fill="FFFFFF"/>
        </w:rPr>
        <w:t>infundado</w:t>
      </w:r>
      <w:r w:rsidRPr="006E5D80">
        <w:rPr>
          <w:rFonts w:ascii="ITC Avant Garde" w:hAnsi="ITC Avant Garde" w:cs="Tahoma"/>
          <w:b/>
          <w:bCs/>
          <w:color w:val="000000"/>
          <w:shd w:val="clear" w:color="auto" w:fill="FFFFFF"/>
        </w:rPr>
        <w:t>.</w:t>
      </w:r>
    </w:p>
    <w:p w14:paraId="627C47EE" w14:textId="77777777" w:rsidR="00E2222D" w:rsidRDefault="005C0836" w:rsidP="00907F25">
      <w:pPr>
        <w:pStyle w:val="Textoindependiente"/>
        <w:spacing w:after="240" w:line="360" w:lineRule="auto"/>
        <w:jc w:val="both"/>
        <w:rPr>
          <w:rFonts w:ascii="ITC Avant Garde" w:hAnsi="ITC Avant Garde"/>
        </w:rPr>
      </w:pPr>
      <w:r w:rsidRPr="006E5D80">
        <w:rPr>
          <w:rFonts w:ascii="ITC Avant Garde" w:hAnsi="ITC Avant Garde"/>
          <w:color w:val="000000"/>
          <w:lang w:eastAsia="es-MX"/>
        </w:rPr>
        <w:t xml:space="preserve">Aunado a lo anterior, no debe perderse de vista que </w:t>
      </w:r>
      <w:r w:rsidRPr="006E5D80">
        <w:rPr>
          <w:rFonts w:ascii="ITC Avant Garde" w:hAnsi="ITC Avant Garde"/>
          <w:shd w:val="clear" w:color="auto" w:fill="FFFFFF"/>
        </w:rPr>
        <w:t xml:space="preserve">las visitas de verificación </w:t>
      </w:r>
      <w:r w:rsidRPr="006E5D80">
        <w:rPr>
          <w:rFonts w:ascii="ITC Avant Garde" w:hAnsi="ITC Avant Garde"/>
        </w:rPr>
        <w:t xml:space="preserve">se encuentran limitadas por su objeto y en ese sentido para cumplir la duración de la misma </w:t>
      </w:r>
      <w:r w:rsidRPr="006E5D80">
        <w:rPr>
          <w:rFonts w:ascii="ITC Avant Garde" w:hAnsi="ITC Avant Garde"/>
          <w:color w:val="000000"/>
        </w:rPr>
        <w:t>atiende al cumplimiento de su objeto</w:t>
      </w:r>
      <w:r w:rsidRPr="006E5D80">
        <w:rPr>
          <w:rFonts w:ascii="ITC Avant Garde" w:hAnsi="ITC Avant Garde"/>
        </w:rPr>
        <w:t>, por lo que los verificadores sí pueden cerrar de manera parcial el acta durante el periodo de tiempo que les otorga la Ley para poder cumplir con el objeto de la misma.</w:t>
      </w:r>
    </w:p>
    <w:p w14:paraId="3E433824" w14:textId="77777777" w:rsidR="00E2222D" w:rsidRDefault="005C0836" w:rsidP="00907F25">
      <w:pPr>
        <w:pStyle w:val="Textoindependiente"/>
        <w:spacing w:after="240" w:line="360" w:lineRule="auto"/>
        <w:jc w:val="both"/>
        <w:rPr>
          <w:rFonts w:ascii="ITC Avant Garde" w:hAnsi="ITC Avant Garde"/>
          <w:lang w:eastAsia="es-MX"/>
        </w:rPr>
      </w:pPr>
      <w:r w:rsidRPr="006E5D80">
        <w:rPr>
          <w:rFonts w:ascii="ITC Avant Garde" w:hAnsi="ITC Avant Garde"/>
          <w:lang w:eastAsia="es-MX"/>
        </w:rPr>
        <w:t xml:space="preserve">En ese sentido, en términos del artículo 28 de la </w:t>
      </w:r>
      <w:r w:rsidR="009E132B" w:rsidRPr="006E5D80">
        <w:rPr>
          <w:rFonts w:ascii="ITC Avant Garde" w:hAnsi="ITC Avant Garde"/>
          <w:b/>
          <w:bCs/>
          <w:lang w:eastAsia="es-MX"/>
        </w:rPr>
        <w:t>LFPA</w:t>
      </w:r>
      <w:r w:rsidRPr="006E5D80">
        <w:rPr>
          <w:rFonts w:ascii="ITC Avant Garde" w:hAnsi="ITC Avant Garde"/>
          <w:lang w:eastAsia="es-MX"/>
        </w:rPr>
        <w:t>, las visitas de verificación se practican en días hábiles, a menos que se habiliten días por lo que para poder cumplir con lo ordenado por la autoridad competente, las visitas de verificación se cierran de manera parcial para que la diligencia se continúe hasta el cumplimiento de su objeto.</w:t>
      </w:r>
    </w:p>
    <w:p w14:paraId="72D87362" w14:textId="77777777" w:rsidR="00E2222D" w:rsidRDefault="005C0836" w:rsidP="00907F25">
      <w:pPr>
        <w:spacing w:after="240" w:line="360" w:lineRule="auto"/>
        <w:jc w:val="both"/>
        <w:rPr>
          <w:rFonts w:ascii="ITC Avant Garde" w:hAnsi="ITC Avant Garde"/>
        </w:rPr>
      </w:pPr>
      <w:r w:rsidRPr="006E5D80">
        <w:rPr>
          <w:rFonts w:ascii="ITC Avant Garde" w:hAnsi="ITC Avant Garde"/>
        </w:rPr>
        <w:t>Robustece lo anterior</w:t>
      </w:r>
      <w:r w:rsidR="0026182A" w:rsidRPr="006E5D80">
        <w:rPr>
          <w:rFonts w:ascii="ITC Avant Garde" w:hAnsi="ITC Avant Garde"/>
        </w:rPr>
        <w:t>, por analogía,</w:t>
      </w:r>
      <w:r w:rsidRPr="006E5D80">
        <w:rPr>
          <w:rFonts w:ascii="ITC Avant Garde" w:hAnsi="ITC Avant Garde"/>
        </w:rPr>
        <w:t xml:space="preserve"> la jurisprudencia emitida por la Suprema Corte de Justicia de la Nación de rubro y texto siguientes:</w:t>
      </w:r>
    </w:p>
    <w:p w14:paraId="54196516" w14:textId="77777777" w:rsidR="00E2222D" w:rsidRDefault="005C0836" w:rsidP="00907F25">
      <w:pPr>
        <w:spacing w:after="240" w:line="360" w:lineRule="auto"/>
        <w:ind w:left="851" w:right="900"/>
        <w:jc w:val="both"/>
        <w:rPr>
          <w:rFonts w:ascii="ITC Avant Garde" w:hAnsi="ITC Avant Garde"/>
          <w:iCs/>
          <w:color w:val="000000"/>
          <w:sz w:val="20"/>
          <w:szCs w:val="20"/>
        </w:rPr>
      </w:pPr>
      <w:r w:rsidRPr="00531B1A">
        <w:rPr>
          <w:rFonts w:ascii="ITC Avant Garde" w:hAnsi="ITC Avant Garde"/>
          <w:b/>
          <w:bCs/>
          <w:iCs/>
          <w:color w:val="000000"/>
          <w:sz w:val="20"/>
          <w:szCs w:val="20"/>
        </w:rPr>
        <w:t xml:space="preserve">“VISITAS DOMICILIARIAS. NO ES NECESARIO QUE LA IDENTIFICACIÓN DE LOS VISITADORES QUE CONSTE EN EL ACTA INICIAL, SE REITERE EN LAS POSTERIORES. </w:t>
      </w:r>
      <w:r w:rsidRPr="00531B1A">
        <w:rPr>
          <w:rFonts w:ascii="ITC Avant Garde" w:hAnsi="ITC Avant Garde"/>
          <w:iCs/>
          <w:color w:val="000000"/>
          <w:sz w:val="20"/>
          <w:szCs w:val="20"/>
        </w:rPr>
        <w:t xml:space="preserve">De acuerdo con la regla general establecida en la fracción III del artículo 44 del Código Fiscal de la Federación, la identificación de los funcionarios que intervengan en la práctica de una visita domiciliaria ordenada por la autoridad fiscal en ejercicio de sus facultades de comprobación debe realizarse, precisamente, al inicio de la visita y ante la persona con quien se entienda la diligencia, describiéndose con claridad, en el acta respectiva, el documento mediante el cual se identifiquen y, en su caso, debe asentarse la fecha de las credenciales, y el nombre y cargo de quien las expide, para precisar su vigencia y tener la seguridad de que esas personas efectivamente prestan sus servicios para la autoridad emisora de la orden de visita, así como indicar no sólo el órgano, sino su titular o bien, agregar copia fotostática certificada del documento que contenga esos datos, </w:t>
      </w:r>
      <w:r w:rsidRPr="00531B1A">
        <w:rPr>
          <w:rFonts w:ascii="ITC Avant Garde" w:hAnsi="ITC Avant Garde"/>
          <w:b/>
          <w:bCs/>
          <w:iCs/>
          <w:color w:val="000000"/>
          <w:sz w:val="20"/>
          <w:szCs w:val="20"/>
          <w:u w:val="single"/>
        </w:rPr>
        <w:t xml:space="preserve">sin que resulte </w:t>
      </w:r>
      <w:r w:rsidRPr="00531B1A">
        <w:rPr>
          <w:rFonts w:ascii="ITC Avant Garde" w:hAnsi="ITC Avant Garde"/>
          <w:b/>
          <w:bCs/>
          <w:iCs/>
          <w:color w:val="000000"/>
          <w:sz w:val="20"/>
          <w:szCs w:val="20"/>
          <w:u w:val="single"/>
        </w:rPr>
        <w:lastRenderedPageBreak/>
        <w:t>necesario que tal identificación se haga constar en cada una de las actas parciales que con posterioridad se elaboren,</w:t>
      </w:r>
      <w:r w:rsidRPr="00531B1A">
        <w:rPr>
          <w:rFonts w:ascii="ITC Avant Garde" w:hAnsi="ITC Avant Garde"/>
          <w:iCs/>
          <w:color w:val="000000"/>
          <w:sz w:val="20"/>
          <w:szCs w:val="20"/>
        </w:rPr>
        <w:t xml:space="preserve"> excepción hecha de los casos a que se refieren la fracción IV del propio numeral y la fracción II del artículo 43 del citado código, pues en estas hipótesis, la identificación de la autoridad sustituida y de los visitadores que se aumenten o sustituyan para la práctica de la visita debe realizarse precisamente al inicio de su intervención, haciendo constar esa circunstancia en el acta parcial que al efecto se elabore, sin que ello sea necesario cuando no se dé el referido aumento o sustitución, en cuyo caso debe entenderse que continuaron actuando los mismos funcionarios que iniciaron la visita y que ya se habían identificado frente al visitado y, por lo mismo, no sólo eran de su conocimiento sino que sabía el carácter con el que se habían ostentado y la prueba del mismo con la identificación respectiva.”</w:t>
      </w:r>
    </w:p>
    <w:p w14:paraId="7740441A" w14:textId="77777777" w:rsidR="00E2222D" w:rsidRDefault="005C0836" w:rsidP="00907F25">
      <w:pPr>
        <w:spacing w:after="240" w:line="360" w:lineRule="auto"/>
        <w:ind w:left="851" w:right="900"/>
        <w:jc w:val="both"/>
        <w:rPr>
          <w:rFonts w:ascii="ITC Avant Garde" w:hAnsi="ITC Avant Garde"/>
          <w:iCs/>
          <w:color w:val="000000"/>
          <w:sz w:val="20"/>
          <w:szCs w:val="20"/>
        </w:rPr>
      </w:pPr>
      <w:r w:rsidRPr="00531B1A">
        <w:rPr>
          <w:rFonts w:ascii="ITC Avant Garde" w:hAnsi="ITC Avant Garde"/>
          <w:iCs/>
          <w:color w:val="000000"/>
          <w:sz w:val="20"/>
          <w:szCs w:val="20"/>
        </w:rPr>
        <w:t>Contradicción de tesis 21/2000-SS. Entre las sustentadas por el Primer Tribunal Colegiado del Vigésimo Primer Circuito y el Tercer Tribunal Colegiado del Cuarto Circuito (ahora Tercer Tribunal Colegiado en Materias Administrativa y de Trabajo del Cuarto Circuito), con las sustentadas por el Segundo Tribunal Colegiado del Sexto Circuito (ahora Segundo Tribunal Colegiado en Materia Civil del Sexto Circuito) y el Segundo Tribunal Colegiado en Materia.</w:t>
      </w:r>
    </w:p>
    <w:p w14:paraId="3F1BE7A4" w14:textId="77777777" w:rsidR="00E2222D" w:rsidRDefault="005C0836" w:rsidP="00907F25">
      <w:pPr>
        <w:spacing w:after="240" w:line="360" w:lineRule="auto"/>
        <w:ind w:left="851" w:right="900"/>
        <w:jc w:val="both"/>
        <w:rPr>
          <w:rFonts w:ascii="ITC Avant Garde" w:hAnsi="ITC Avant Garde"/>
          <w:color w:val="000000"/>
          <w:sz w:val="20"/>
          <w:szCs w:val="20"/>
        </w:rPr>
      </w:pPr>
      <w:r w:rsidRPr="00531B1A">
        <w:rPr>
          <w:rFonts w:ascii="ITC Avant Garde" w:hAnsi="ITC Avant Garde"/>
          <w:color w:val="000000"/>
          <w:sz w:val="20"/>
          <w:szCs w:val="20"/>
        </w:rPr>
        <w:t>Época: Novena Época, Registro: 191252, Instancia: Segunda Sala, Tipo de Tesis: Jurisprudencia, Fuente: Semanario Judicial de la Federación y su Gaceta, Tomo XII, Septiembre de 2000, Materia(s): Administrativa, Tesis: 2a./J. 76/2000, Página: 141)</w:t>
      </w:r>
    </w:p>
    <w:p w14:paraId="06BB4283" w14:textId="77777777" w:rsidR="00E2222D" w:rsidRDefault="005C0836" w:rsidP="00907F25">
      <w:pPr>
        <w:spacing w:after="240" w:line="360" w:lineRule="auto"/>
        <w:jc w:val="both"/>
        <w:rPr>
          <w:rFonts w:ascii="ITC Avant Garde" w:hAnsi="ITC Avant Garde"/>
          <w:color w:val="000000"/>
        </w:rPr>
      </w:pPr>
      <w:r w:rsidRPr="006E5D80">
        <w:rPr>
          <w:rFonts w:ascii="ITC Avant Garde" w:hAnsi="ITC Avant Garde"/>
          <w:color w:val="000000"/>
        </w:rPr>
        <w:t>De lo señalado por la jurisprudencia claramente se puede advertir que su desarrollo y estudio parte de la base de actas parciales derivadas de una diligencia que se puede prolongar en el tiempo, en la que además pueden ser sustituidos los verificadores para que la continúen otros, de lo que se hace evidente la posibilidad de cerrar de manera parcial las actas para continuar posteriormente la visita, máxime que en todo momento se hizo del conocimiento del visitado cuando continuarían con el desahogo de la diligencia.</w:t>
      </w:r>
    </w:p>
    <w:p w14:paraId="074466D6" w14:textId="77777777" w:rsidR="00E2222D" w:rsidRDefault="005C0836" w:rsidP="00907F25">
      <w:pPr>
        <w:spacing w:after="240" w:line="360" w:lineRule="auto"/>
        <w:jc w:val="both"/>
        <w:rPr>
          <w:rFonts w:ascii="ITC Avant Garde" w:hAnsi="ITC Avant Garde"/>
          <w:color w:val="000000"/>
        </w:rPr>
      </w:pPr>
      <w:r w:rsidRPr="006E5D80">
        <w:rPr>
          <w:rFonts w:ascii="ITC Avant Garde" w:hAnsi="ITC Avant Garde"/>
          <w:color w:val="000000"/>
        </w:rPr>
        <w:lastRenderedPageBreak/>
        <w:t xml:space="preserve">Robustece lo anterior el hecho de que el artículo 32 de la </w:t>
      </w:r>
      <w:r w:rsidRPr="006E5D80">
        <w:rPr>
          <w:rFonts w:ascii="ITC Avant Garde" w:hAnsi="ITC Avant Garde"/>
          <w:b/>
          <w:bCs/>
          <w:color w:val="000000"/>
        </w:rPr>
        <w:t>LFPA</w:t>
      </w:r>
      <w:r w:rsidRPr="006E5D80">
        <w:rPr>
          <w:rFonts w:ascii="ITC Avant Garde" w:hAnsi="ITC Avant Garde"/>
          <w:color w:val="000000"/>
        </w:rPr>
        <w:t xml:space="preserve"> señala que las visitas pueden durar hasta diez días, circunstancia que de considerar como cierto lo argumentado por la quejosa conduciría a sostener que las visitas pueden prolongarse durante diez días ininterrumpidos y sin descanso por no existir la posibilidad de cerrarlas parcialmente para continuar su desahogo en otro momento.</w:t>
      </w:r>
    </w:p>
    <w:p w14:paraId="6F08CC76" w14:textId="77777777" w:rsidR="00E2222D" w:rsidRDefault="003E4218" w:rsidP="00907F25">
      <w:pPr>
        <w:pStyle w:val="Listavistosa-nfasis11"/>
        <w:numPr>
          <w:ilvl w:val="0"/>
          <w:numId w:val="30"/>
        </w:numPr>
        <w:spacing w:after="240" w:line="360" w:lineRule="auto"/>
        <w:ind w:left="567" w:hanging="567"/>
        <w:rPr>
          <w:rFonts w:ascii="ITC Avant Garde" w:hAnsi="ITC Avant Garde"/>
          <w:b/>
          <w:shd w:val="clear" w:color="auto" w:fill="FFFFFF"/>
        </w:rPr>
      </w:pPr>
      <w:r w:rsidRPr="003E4218">
        <w:rPr>
          <w:rFonts w:ascii="ITC Avant Garde" w:hAnsi="ITC Avant Garde"/>
          <w:b/>
          <w:shd w:val="clear" w:color="auto" w:fill="FFFFFF"/>
        </w:rPr>
        <w:t>Falta de actualización de la hipótesis.</w:t>
      </w:r>
    </w:p>
    <w:p w14:paraId="5F5235B9" w14:textId="77777777" w:rsidR="00E2222D" w:rsidRDefault="00507D4B" w:rsidP="00907F25">
      <w:pPr>
        <w:pStyle w:val="Listavistosa-nfasis11"/>
        <w:spacing w:after="240" w:line="360" w:lineRule="auto"/>
        <w:ind w:left="0"/>
        <w:jc w:val="both"/>
        <w:rPr>
          <w:rFonts w:ascii="ITC Avant Garde" w:hAnsi="ITC Avant Garde"/>
          <w:shd w:val="clear" w:color="auto" w:fill="FFFFFF"/>
        </w:rPr>
      </w:pPr>
      <w:r w:rsidRPr="005E43E3">
        <w:rPr>
          <w:rFonts w:ascii="ITC Avant Garde" w:hAnsi="ITC Avant Garde" w:cs="Tahoma"/>
          <w:bCs/>
          <w:color w:val="000000"/>
          <w:shd w:val="clear" w:color="auto" w:fill="FFFFFF"/>
        </w:rPr>
        <w:t>Por otro lado,</w:t>
      </w:r>
      <w:r w:rsidR="003E4218">
        <w:rPr>
          <w:rFonts w:ascii="ITC Avant Garde" w:hAnsi="ITC Avant Garde" w:cs="Tahoma"/>
          <w:bCs/>
          <w:color w:val="000000"/>
          <w:shd w:val="clear" w:color="auto" w:fill="FFFFFF"/>
        </w:rPr>
        <w:t xml:space="preserve"> en la tercera de sus manifestaciones </w:t>
      </w:r>
      <w:r w:rsidRPr="005E43E3">
        <w:rPr>
          <w:rFonts w:ascii="ITC Avant Garde" w:hAnsi="ITC Avant Garde" w:cs="Tahoma"/>
          <w:b/>
          <w:bCs/>
          <w:color w:val="000000"/>
          <w:shd w:val="clear" w:color="auto" w:fill="FFFFFF"/>
        </w:rPr>
        <w:t>MEGA CABLE</w:t>
      </w:r>
      <w:r w:rsidRPr="005E43E3">
        <w:rPr>
          <w:rFonts w:ascii="ITC Avant Garde" w:hAnsi="ITC Avant Garde" w:cs="Tahoma"/>
          <w:bCs/>
          <w:color w:val="000000"/>
          <w:shd w:val="clear" w:color="auto" w:fill="FFFFFF"/>
        </w:rPr>
        <w:t xml:space="preserve"> sostiene </w:t>
      </w:r>
      <w:r w:rsidRPr="005E43E3">
        <w:rPr>
          <w:rFonts w:ascii="ITC Avant Garde" w:hAnsi="ITC Avant Garde"/>
          <w:shd w:val="clear" w:color="auto" w:fill="FFFFFF"/>
        </w:rPr>
        <w:t>lo siguiente:</w:t>
      </w:r>
    </w:p>
    <w:p w14:paraId="12A97DC4" w14:textId="77777777" w:rsidR="00E2222D" w:rsidRDefault="00594FAF" w:rsidP="00907F25">
      <w:pPr>
        <w:spacing w:after="240" w:line="360" w:lineRule="auto"/>
        <w:ind w:left="567" w:right="567"/>
        <w:jc w:val="both"/>
        <w:rPr>
          <w:rFonts w:ascii="ITC Avant Garde" w:hAnsi="ITC Avant Garde"/>
          <w:i/>
          <w:shd w:val="clear" w:color="auto" w:fill="FFFFFF"/>
        </w:rPr>
      </w:pPr>
      <w:r>
        <w:rPr>
          <w:rFonts w:ascii="ITC Avant Garde" w:hAnsi="ITC Avant Garde"/>
          <w:i/>
          <w:shd w:val="clear" w:color="auto" w:fill="FFFFFF"/>
        </w:rPr>
        <w:t>Contrario a lo expuesto por el IFT mi representada no ha violado el artículo 12 de los “LINEAMIENTOS”</w:t>
      </w:r>
      <w:r w:rsidR="004D1914">
        <w:rPr>
          <w:rFonts w:ascii="ITC Avant Garde" w:hAnsi="ITC Avant Garde"/>
          <w:i/>
          <w:shd w:val="clear" w:color="auto" w:fill="FFFFFF"/>
        </w:rPr>
        <w:t>. Lo anterior, toda vez que:</w:t>
      </w:r>
    </w:p>
    <w:p w14:paraId="4606F665" w14:textId="77777777" w:rsidR="00E2222D" w:rsidRDefault="004D1914" w:rsidP="00907F25">
      <w:pPr>
        <w:pStyle w:val="Listavistosa-nfasis11"/>
        <w:numPr>
          <w:ilvl w:val="0"/>
          <w:numId w:val="33"/>
        </w:numPr>
        <w:spacing w:after="240" w:line="360" w:lineRule="auto"/>
        <w:ind w:right="567"/>
        <w:jc w:val="both"/>
        <w:rPr>
          <w:rFonts w:ascii="ITC Avant Garde" w:hAnsi="ITC Avant Garde"/>
          <w:i/>
          <w:shd w:val="clear" w:color="auto" w:fill="FFFFFF"/>
        </w:rPr>
      </w:pPr>
      <w:r>
        <w:rPr>
          <w:rFonts w:ascii="ITC Avant Garde" w:hAnsi="ITC Avant Garde"/>
          <w:i/>
          <w:shd w:val="clear" w:color="auto" w:fill="FFFFFF"/>
        </w:rPr>
        <w:t xml:space="preserve">Se pretende imputar a mi representada el incumplimiento al artículo 12 de los </w:t>
      </w:r>
      <w:r w:rsidRPr="00310D70">
        <w:rPr>
          <w:rFonts w:ascii="ITC Avant Garde" w:hAnsi="ITC Avant Garde"/>
          <w:i/>
          <w:shd w:val="clear" w:color="auto" w:fill="FFFFFF"/>
        </w:rPr>
        <w:t>“LINEAMIENTOS”</w:t>
      </w:r>
      <w:r w:rsidR="002E04DF">
        <w:rPr>
          <w:rFonts w:ascii="ITC Avant Garde" w:hAnsi="ITC Avant Garde"/>
          <w:i/>
          <w:shd w:val="clear" w:color="auto" w:fill="FFFFFF"/>
        </w:rPr>
        <w:t>, su modificación, el listado y sus actualizaciones toda vez que infringió la obligación de r</w:t>
      </w:r>
      <w:r w:rsidR="00E63798">
        <w:rPr>
          <w:rFonts w:ascii="ITC Avant Garde" w:hAnsi="ITC Avant Garde"/>
          <w:i/>
          <w:shd w:val="clear" w:color="auto" w:fill="FFFFFF"/>
        </w:rPr>
        <w:t>etransmitir la señal Once Niños, d</w:t>
      </w:r>
      <w:r w:rsidR="002E04DF" w:rsidRPr="00E63798">
        <w:rPr>
          <w:rFonts w:ascii="ITC Avant Garde" w:hAnsi="ITC Avant Garde"/>
          <w:i/>
          <w:shd w:val="clear" w:color="auto" w:fill="FFFFFF"/>
        </w:rPr>
        <w:t>icha imputación es contraría al artículo 3° fracción II de la LFPA toda vez que el acto debe ser materia del mismo, determinado o determinable y preciso en cuanto a tiempo y lugar.</w:t>
      </w:r>
    </w:p>
    <w:p w14:paraId="47A3043B" w14:textId="77777777" w:rsidR="00E2222D" w:rsidRDefault="00F51A2B" w:rsidP="00907F25">
      <w:pPr>
        <w:pStyle w:val="Listavistosa-nfasis11"/>
        <w:spacing w:after="240" w:line="360" w:lineRule="auto"/>
        <w:ind w:left="927" w:right="567"/>
        <w:jc w:val="both"/>
        <w:rPr>
          <w:rFonts w:ascii="ITC Avant Garde" w:hAnsi="ITC Avant Garde"/>
          <w:i/>
          <w:shd w:val="clear" w:color="auto" w:fill="FFFFFF"/>
        </w:rPr>
      </w:pPr>
      <w:r>
        <w:rPr>
          <w:rFonts w:ascii="ITC Avant Garde" w:hAnsi="ITC Avant Garde"/>
          <w:i/>
          <w:shd w:val="clear" w:color="auto" w:fill="FFFFFF"/>
        </w:rPr>
        <w:t xml:space="preserve">Lo anterior, toda vez que del oficio </w:t>
      </w:r>
      <w:r w:rsidR="00E63798">
        <w:rPr>
          <w:rFonts w:ascii="ITC Avant Garde" w:hAnsi="ITC Avant Garde"/>
          <w:i/>
          <w:shd w:val="clear" w:color="auto" w:fill="FFFFFF"/>
        </w:rPr>
        <w:t>E-IFT.UC.DG-SAN.II.0030/2016</w:t>
      </w:r>
      <w:r>
        <w:rPr>
          <w:rFonts w:ascii="ITC Avant Garde" w:hAnsi="ITC Avant Garde"/>
          <w:i/>
          <w:shd w:val="clear" w:color="auto" w:fill="FFFFFF"/>
        </w:rPr>
        <w:t xml:space="preserve"> no </w:t>
      </w:r>
      <w:r w:rsidR="00E63798">
        <w:rPr>
          <w:rFonts w:ascii="ITC Avant Garde" w:hAnsi="ITC Avant Garde"/>
          <w:i/>
          <w:shd w:val="clear" w:color="auto" w:fill="FFFFFF"/>
        </w:rPr>
        <w:t>establece</w:t>
      </w:r>
      <w:r>
        <w:rPr>
          <w:rFonts w:ascii="ITC Avant Garde" w:hAnsi="ITC Avant Garde"/>
          <w:i/>
          <w:shd w:val="clear" w:color="auto" w:fill="FFFFFF"/>
        </w:rPr>
        <w:t xml:space="preserve"> las circunstancias de modo, tiempo y lugar en la que se haya señalado el incumplimiento de mi representada.</w:t>
      </w:r>
    </w:p>
    <w:p w14:paraId="3D7BD3C2" w14:textId="77777777" w:rsidR="00E2222D" w:rsidRDefault="00F51A2B" w:rsidP="00907F25">
      <w:pPr>
        <w:pStyle w:val="Listavistosa-nfasis11"/>
        <w:numPr>
          <w:ilvl w:val="0"/>
          <w:numId w:val="33"/>
        </w:numPr>
        <w:spacing w:after="240" w:line="360" w:lineRule="auto"/>
        <w:ind w:right="567"/>
        <w:jc w:val="both"/>
        <w:rPr>
          <w:rFonts w:ascii="ITC Avant Garde" w:hAnsi="ITC Avant Garde"/>
          <w:i/>
          <w:shd w:val="clear" w:color="auto" w:fill="FFFFFF"/>
        </w:rPr>
      </w:pPr>
      <w:r w:rsidRPr="0017182D">
        <w:rPr>
          <w:rFonts w:ascii="ITC Avant Garde" w:hAnsi="ITC Avant Garde"/>
          <w:i/>
          <w:shd w:val="clear" w:color="auto" w:fill="FFFFFF"/>
        </w:rPr>
        <w:t xml:space="preserve">La Dirección General de Verificación pretende basar la imputación realizada sin tomar en cuenta que el área de cobertura del título de concesión </w:t>
      </w:r>
      <w:r w:rsidR="0017182D" w:rsidRPr="0017182D">
        <w:rPr>
          <w:rFonts w:ascii="ITC Avant Garde" w:hAnsi="ITC Avant Garde"/>
          <w:i/>
          <w:shd w:val="clear" w:color="auto" w:fill="FFFFFF"/>
        </w:rPr>
        <w:t>abarca diversas poblaciones de Querétaro</w:t>
      </w:r>
      <w:r w:rsidRPr="0017182D">
        <w:rPr>
          <w:rFonts w:ascii="ITC Avant Garde" w:hAnsi="ITC Avant Garde"/>
          <w:i/>
          <w:shd w:val="clear" w:color="auto" w:fill="FFFFFF"/>
        </w:rPr>
        <w:t xml:space="preserve">, </w:t>
      </w:r>
      <w:r w:rsidR="0017182D" w:rsidRPr="0017182D">
        <w:rPr>
          <w:rFonts w:ascii="ITC Avant Garde" w:hAnsi="ITC Avant Garde"/>
          <w:i/>
          <w:shd w:val="clear" w:color="auto" w:fill="FFFFFF"/>
        </w:rPr>
        <w:t>en las que</w:t>
      </w:r>
      <w:r w:rsidRPr="0017182D">
        <w:rPr>
          <w:rFonts w:ascii="ITC Avant Garde" w:hAnsi="ITC Avant Garde"/>
          <w:i/>
          <w:shd w:val="clear" w:color="auto" w:fill="FFFFFF"/>
        </w:rPr>
        <w:t xml:space="preserve"> el canal 11.2 Once Niños</w:t>
      </w:r>
      <w:r w:rsidR="0017182D" w:rsidRPr="0017182D">
        <w:rPr>
          <w:rFonts w:ascii="ITC Avant Garde" w:hAnsi="ITC Avant Garde"/>
          <w:i/>
          <w:shd w:val="clear" w:color="auto" w:fill="FFFFFF"/>
        </w:rPr>
        <w:t xml:space="preserve"> no es radiodifundido</w:t>
      </w:r>
      <w:r w:rsidR="0017182D">
        <w:rPr>
          <w:rFonts w:ascii="ITC Avant Garde" w:hAnsi="ITC Avant Garde"/>
          <w:i/>
          <w:shd w:val="clear" w:color="auto" w:fill="FFFFFF"/>
        </w:rPr>
        <w:t>, p</w:t>
      </w:r>
      <w:r w:rsidR="0017182D" w:rsidRPr="0017182D">
        <w:rPr>
          <w:rFonts w:ascii="ITC Avant Garde" w:hAnsi="ITC Avant Garde"/>
          <w:i/>
          <w:shd w:val="clear" w:color="auto" w:fill="FFFFFF"/>
        </w:rPr>
        <w:t>or lo que las manifestaciones de dichas autoridades son contrarias a los principios de eficacia, legalidad, publicidad y buena fe consagrados en</w:t>
      </w:r>
      <w:r w:rsidR="0017182D">
        <w:rPr>
          <w:rFonts w:ascii="ITC Avant Garde" w:hAnsi="ITC Avant Garde"/>
          <w:i/>
          <w:shd w:val="clear" w:color="auto" w:fill="FFFFFF"/>
        </w:rPr>
        <w:t xml:space="preserve"> e</w:t>
      </w:r>
      <w:r w:rsidR="0017182D" w:rsidRPr="0017182D">
        <w:rPr>
          <w:rFonts w:ascii="ITC Avant Garde" w:hAnsi="ITC Avant Garde"/>
          <w:i/>
          <w:shd w:val="clear" w:color="auto" w:fill="FFFFFF"/>
        </w:rPr>
        <w:t>l artículo 13 de la LFPA.</w:t>
      </w:r>
    </w:p>
    <w:p w14:paraId="522D0725" w14:textId="77777777" w:rsidR="00E2222D" w:rsidRDefault="006F30A3" w:rsidP="00907F25">
      <w:pPr>
        <w:spacing w:after="240" w:line="360" w:lineRule="auto"/>
        <w:ind w:left="927" w:right="567"/>
        <w:jc w:val="both"/>
        <w:rPr>
          <w:rFonts w:ascii="ITC Avant Garde" w:hAnsi="ITC Avant Garde"/>
          <w:i/>
          <w:shd w:val="clear" w:color="auto" w:fill="FFFFFF"/>
        </w:rPr>
      </w:pPr>
      <w:r>
        <w:rPr>
          <w:rFonts w:ascii="ITC Avant Garde" w:hAnsi="ITC Avant Garde"/>
          <w:i/>
          <w:shd w:val="clear" w:color="auto" w:fill="FFFFFF"/>
        </w:rPr>
        <w:lastRenderedPageBreak/>
        <w:t>La señal de canal multiprogramado 11.2 ONCE NIÑOS no se encuentra en el LISTADO de características técnicas de las señales radiodifundidas de las instituciones públicas federales.</w:t>
      </w:r>
    </w:p>
    <w:p w14:paraId="2BA82508" w14:textId="77777777" w:rsidR="00E2222D" w:rsidRDefault="007C1648" w:rsidP="00907F25">
      <w:pPr>
        <w:pStyle w:val="Listavistosa-nfasis11"/>
        <w:numPr>
          <w:ilvl w:val="0"/>
          <w:numId w:val="33"/>
        </w:numPr>
        <w:spacing w:after="240" w:line="360" w:lineRule="auto"/>
        <w:ind w:right="567"/>
        <w:jc w:val="both"/>
        <w:rPr>
          <w:rFonts w:ascii="ITC Avant Garde" w:hAnsi="ITC Avant Garde"/>
          <w:i/>
          <w:shd w:val="clear" w:color="auto" w:fill="FFFFFF"/>
        </w:rPr>
      </w:pPr>
      <w:r w:rsidRPr="006F30A3">
        <w:rPr>
          <w:rFonts w:ascii="ITC Avant Garde" w:hAnsi="ITC Avant Garde"/>
          <w:i/>
          <w:shd w:val="clear" w:color="auto" w:fill="FFFFFF"/>
        </w:rPr>
        <w:t>Mega Cable no tiene acceso a la señal ONCE NIÑOS emitida por el Instituto Politécnico Nacional</w:t>
      </w:r>
      <w:r w:rsidR="00796DD0" w:rsidRPr="006F30A3">
        <w:rPr>
          <w:rFonts w:ascii="ITC Avant Garde" w:hAnsi="ITC Avant Garde"/>
          <w:i/>
          <w:shd w:val="clear" w:color="auto" w:fill="FFFFFF"/>
        </w:rPr>
        <w:t xml:space="preserve">, </w:t>
      </w:r>
      <w:r w:rsidR="009D2538">
        <w:rPr>
          <w:rFonts w:ascii="ITC Avant Garde" w:hAnsi="ITC Avant Garde"/>
          <w:i/>
          <w:shd w:val="clear" w:color="auto" w:fill="FFFFFF"/>
        </w:rPr>
        <w:t xml:space="preserve">en su misma zona de cobertura, </w:t>
      </w:r>
      <w:r w:rsidR="00796DD0" w:rsidRPr="006F30A3">
        <w:rPr>
          <w:rFonts w:ascii="ITC Avant Garde" w:hAnsi="ITC Avant Garde"/>
          <w:i/>
          <w:shd w:val="clear" w:color="auto" w:fill="FFFFFF"/>
        </w:rPr>
        <w:t>al encontrarse el centro de recepción y control en la población de</w:t>
      </w:r>
      <w:r w:rsidR="006F30A3">
        <w:rPr>
          <w:rFonts w:ascii="ITC Avant Garde" w:hAnsi="ITC Avant Garde"/>
          <w:i/>
          <w:shd w:val="clear" w:color="auto" w:fill="FFFFFF"/>
        </w:rPr>
        <w:t xml:space="preserve"> Querétaro</w:t>
      </w:r>
      <w:r w:rsidR="009D2538">
        <w:rPr>
          <w:rFonts w:ascii="ITC Avant Garde" w:hAnsi="ITC Avant Garde"/>
          <w:i/>
          <w:shd w:val="clear" w:color="auto" w:fill="FFFFFF"/>
        </w:rPr>
        <w:t>.</w:t>
      </w:r>
    </w:p>
    <w:p w14:paraId="090329D7" w14:textId="77777777" w:rsidR="00E2222D" w:rsidRDefault="00796DD0" w:rsidP="00907F25">
      <w:pPr>
        <w:pStyle w:val="Listavistosa-nfasis11"/>
        <w:spacing w:after="240" w:line="360" w:lineRule="auto"/>
        <w:ind w:left="927" w:right="567"/>
        <w:jc w:val="both"/>
        <w:rPr>
          <w:rFonts w:ascii="ITC Avant Garde" w:hAnsi="ITC Avant Garde"/>
          <w:i/>
          <w:shd w:val="clear" w:color="auto" w:fill="FFFFFF"/>
        </w:rPr>
      </w:pPr>
      <w:r>
        <w:rPr>
          <w:rFonts w:ascii="ITC Avant Garde" w:hAnsi="ITC Avant Garde"/>
          <w:i/>
          <w:shd w:val="clear" w:color="auto" w:fill="FFFFFF"/>
        </w:rPr>
        <w:t xml:space="preserve">En el presente caso, la señal ONCE NIÑOS no se radiodifunde en la población de </w:t>
      </w:r>
      <w:r w:rsidR="006F30A3">
        <w:rPr>
          <w:rFonts w:ascii="ITC Avant Garde" w:hAnsi="ITC Avant Garde"/>
          <w:i/>
          <w:shd w:val="clear" w:color="auto" w:fill="FFFFFF"/>
        </w:rPr>
        <w:t xml:space="preserve">Santiago de Querétaro, Querétaro </w:t>
      </w:r>
      <w:r>
        <w:rPr>
          <w:rFonts w:ascii="ITC Avant Garde" w:hAnsi="ITC Avant Garde"/>
          <w:i/>
          <w:shd w:val="clear" w:color="auto" w:fill="FFFFFF"/>
        </w:rPr>
        <w:t>y en todo caso, dicha señal debe difundir en la zona de cobertura que comprenda dicha población</w:t>
      </w:r>
      <w:r w:rsidR="00557B84">
        <w:rPr>
          <w:rFonts w:ascii="ITC Avant Garde" w:hAnsi="ITC Avant Garde"/>
          <w:i/>
          <w:shd w:val="clear" w:color="auto" w:fill="FFFFFF"/>
        </w:rPr>
        <w:t xml:space="preserve"> para que sea recibida libremente por la población de la misma</w:t>
      </w:r>
      <w:r>
        <w:rPr>
          <w:rFonts w:ascii="ITC Avant Garde" w:hAnsi="ITC Avant Garde"/>
          <w:i/>
          <w:shd w:val="clear" w:color="auto" w:fill="FFFFFF"/>
        </w:rPr>
        <w:t>.</w:t>
      </w:r>
    </w:p>
    <w:p w14:paraId="25A0AF98" w14:textId="77777777" w:rsidR="00E2222D" w:rsidRDefault="00796DD0" w:rsidP="00907F25">
      <w:pPr>
        <w:pStyle w:val="Listavistosa-nfasis11"/>
        <w:numPr>
          <w:ilvl w:val="0"/>
          <w:numId w:val="33"/>
        </w:numPr>
        <w:spacing w:after="240" w:line="360" w:lineRule="auto"/>
        <w:ind w:right="567"/>
        <w:jc w:val="both"/>
        <w:rPr>
          <w:rFonts w:ascii="ITC Avant Garde" w:hAnsi="ITC Avant Garde"/>
          <w:i/>
          <w:shd w:val="clear" w:color="auto" w:fill="FFFFFF"/>
        </w:rPr>
      </w:pPr>
      <w:r>
        <w:rPr>
          <w:rFonts w:ascii="ITC Avant Garde" w:hAnsi="ITC Avant Garde"/>
          <w:i/>
          <w:shd w:val="clear" w:color="auto" w:fill="FFFFFF"/>
        </w:rPr>
        <w:t>No obstante lo anterior, debe señalarse que la señal 11 se encuentra integrado por el canal 11.1 como el 11.2, el cual es retransmitido por mi representada, tal y como se constató en la propia vista de verificación, de lo que se sigue que se ha dado cumplimiento a la obligación prevista en el artículo 12 de los LINEAMIENTOS.</w:t>
      </w:r>
    </w:p>
    <w:p w14:paraId="7D4BC03D" w14:textId="77777777" w:rsidR="00E2222D" w:rsidRDefault="00364745" w:rsidP="00907F25">
      <w:pPr>
        <w:spacing w:after="240" w:line="360" w:lineRule="auto"/>
        <w:jc w:val="both"/>
        <w:rPr>
          <w:rFonts w:ascii="ITC Avant Garde" w:hAnsi="ITC Avant Garde"/>
          <w:color w:val="000000"/>
        </w:rPr>
      </w:pPr>
      <w:r>
        <w:rPr>
          <w:rFonts w:ascii="ITC Avant Garde" w:hAnsi="ITC Avant Garde"/>
          <w:color w:val="000000"/>
        </w:rPr>
        <w:t xml:space="preserve">Dichos </w:t>
      </w:r>
      <w:r w:rsidR="00A77A47" w:rsidRPr="00364745">
        <w:rPr>
          <w:rFonts w:ascii="ITC Avant Garde" w:hAnsi="ITC Avant Garde"/>
          <w:color w:val="000000"/>
        </w:rPr>
        <w:t xml:space="preserve">argumentos </w:t>
      </w:r>
      <w:r>
        <w:rPr>
          <w:rFonts w:ascii="ITC Avant Garde" w:hAnsi="ITC Avant Garde"/>
          <w:color w:val="000000"/>
        </w:rPr>
        <w:t xml:space="preserve">en principio, </w:t>
      </w:r>
      <w:r w:rsidR="00A77A47" w:rsidRPr="00364745">
        <w:rPr>
          <w:rFonts w:ascii="ITC Avant Garde" w:hAnsi="ITC Avant Garde"/>
          <w:color w:val="000000"/>
        </w:rPr>
        <w:t>resulta</w:t>
      </w:r>
      <w:r w:rsidR="000905E3" w:rsidRPr="00364745">
        <w:rPr>
          <w:rFonts w:ascii="ITC Avant Garde" w:hAnsi="ITC Avant Garde"/>
          <w:color w:val="000000"/>
        </w:rPr>
        <w:t>n</w:t>
      </w:r>
      <w:r w:rsidR="00A77A47" w:rsidRPr="00364745">
        <w:rPr>
          <w:rFonts w:ascii="ITC Avant Garde" w:hAnsi="ITC Avant Garde"/>
          <w:color w:val="000000"/>
        </w:rPr>
        <w:t xml:space="preserve"> </w:t>
      </w:r>
      <w:r w:rsidR="00464D1D" w:rsidRPr="00364745">
        <w:rPr>
          <w:rFonts w:ascii="ITC Avant Garde" w:hAnsi="ITC Avant Garde"/>
          <w:b/>
          <w:color w:val="000000"/>
          <w:u w:val="single"/>
        </w:rPr>
        <w:t>in</w:t>
      </w:r>
      <w:r>
        <w:rPr>
          <w:rFonts w:ascii="ITC Avant Garde" w:hAnsi="ITC Avant Garde"/>
          <w:b/>
          <w:color w:val="000000"/>
          <w:u w:val="single"/>
        </w:rPr>
        <w:t>operantes</w:t>
      </w:r>
      <w:r w:rsidR="008F7735" w:rsidRPr="00364745">
        <w:rPr>
          <w:rFonts w:ascii="ITC Avant Garde" w:hAnsi="ITC Avant Garde"/>
          <w:b/>
          <w:color w:val="000000"/>
        </w:rPr>
        <w:t xml:space="preserve"> </w:t>
      </w:r>
      <w:r w:rsidR="00A77A47" w:rsidRPr="00364745">
        <w:rPr>
          <w:rFonts w:ascii="ITC Avant Garde" w:hAnsi="ITC Avant Garde"/>
          <w:color w:val="000000"/>
        </w:rPr>
        <w:t>en atención a las siguientes consideraciones:</w:t>
      </w:r>
    </w:p>
    <w:p w14:paraId="4A050688" w14:textId="77777777" w:rsidR="00E2222D" w:rsidRDefault="00464D1D" w:rsidP="00907F25">
      <w:pPr>
        <w:spacing w:after="240" w:line="360" w:lineRule="auto"/>
        <w:jc w:val="both"/>
        <w:rPr>
          <w:rFonts w:ascii="ITC Avant Garde" w:eastAsia="Times New Roman" w:hAnsi="ITC Avant Garde"/>
          <w:bCs/>
          <w:color w:val="000000"/>
          <w:lang w:val="es-ES_tradnl" w:eastAsia="es-MX"/>
        </w:rPr>
      </w:pPr>
      <w:r>
        <w:rPr>
          <w:rFonts w:ascii="ITC Avant Garde" w:eastAsia="Times New Roman" w:hAnsi="ITC Avant Garde"/>
          <w:b/>
          <w:bCs/>
          <w:color w:val="000000"/>
          <w:lang w:val="es-ES_tradnl" w:eastAsia="es-MX"/>
        </w:rPr>
        <w:t>MEGA CABLE</w:t>
      </w:r>
      <w:r>
        <w:rPr>
          <w:rFonts w:ascii="ITC Avant Garde" w:eastAsia="Times New Roman" w:hAnsi="ITC Avant Garde"/>
          <w:bCs/>
          <w:color w:val="000000"/>
          <w:lang w:val="es-ES_tradnl" w:eastAsia="es-MX"/>
        </w:rPr>
        <w:t xml:space="preserve"> únicamente se limita a señalar que el oficio de inicio de procedimiento administrativo de imposición de sanción carece</w:t>
      </w:r>
      <w:r w:rsidR="00E20900">
        <w:rPr>
          <w:rFonts w:ascii="ITC Avant Garde" w:eastAsia="Times New Roman" w:hAnsi="ITC Avant Garde"/>
          <w:bCs/>
          <w:color w:val="000000"/>
          <w:lang w:val="es-ES_tradnl" w:eastAsia="es-MX"/>
        </w:rPr>
        <w:t xml:space="preserve"> de</w:t>
      </w:r>
      <w:r>
        <w:rPr>
          <w:rFonts w:ascii="ITC Avant Garde" w:eastAsia="Times New Roman" w:hAnsi="ITC Avant Garde"/>
          <w:bCs/>
          <w:color w:val="000000"/>
          <w:lang w:val="es-ES_tradnl" w:eastAsia="es-MX"/>
        </w:rPr>
        <w:t xml:space="preserve"> las circunstancias de tiempo, </w:t>
      </w:r>
      <w:r w:rsidRPr="00364745">
        <w:rPr>
          <w:rFonts w:ascii="ITC Avant Garde" w:eastAsia="Times New Roman" w:hAnsi="ITC Avant Garde"/>
          <w:bCs/>
          <w:color w:val="000000"/>
          <w:lang w:val="es-ES_tradnl" w:eastAsia="es-MX"/>
        </w:rPr>
        <w:t xml:space="preserve">modo y lugar, </w:t>
      </w:r>
      <w:r w:rsidR="00364745">
        <w:rPr>
          <w:rFonts w:ascii="ITC Avant Garde" w:hAnsi="ITC Avant Garde"/>
          <w:shd w:val="clear" w:color="auto" w:fill="FFFFFF"/>
        </w:rPr>
        <w:t>con</w:t>
      </w:r>
      <w:r w:rsidRPr="00364745">
        <w:rPr>
          <w:rFonts w:ascii="ITC Avant Garde" w:hAnsi="ITC Avant Garde"/>
          <w:shd w:val="clear" w:color="auto" w:fill="FFFFFF"/>
        </w:rPr>
        <w:t xml:space="preserve"> la</w:t>
      </w:r>
      <w:r w:rsidR="00364745">
        <w:rPr>
          <w:rFonts w:ascii="ITC Avant Garde" w:hAnsi="ITC Avant Garde"/>
          <w:shd w:val="clear" w:color="auto" w:fill="FFFFFF"/>
        </w:rPr>
        <w:t>s</w:t>
      </w:r>
      <w:r w:rsidRPr="00364745">
        <w:rPr>
          <w:rFonts w:ascii="ITC Avant Garde" w:hAnsi="ITC Avant Garde"/>
          <w:shd w:val="clear" w:color="auto" w:fill="FFFFFF"/>
        </w:rPr>
        <w:t xml:space="preserve"> que se </w:t>
      </w:r>
      <w:r w:rsidR="00364745" w:rsidRPr="00364745">
        <w:rPr>
          <w:rFonts w:ascii="ITC Avant Garde" w:hAnsi="ITC Avant Garde"/>
          <w:shd w:val="clear" w:color="auto" w:fill="FFFFFF"/>
        </w:rPr>
        <w:t>hubiera</w:t>
      </w:r>
      <w:r w:rsidRPr="00364745">
        <w:rPr>
          <w:rFonts w:ascii="ITC Avant Garde" w:hAnsi="ITC Avant Garde"/>
          <w:shd w:val="clear" w:color="auto" w:fill="FFFFFF"/>
        </w:rPr>
        <w:t xml:space="preserve"> </w:t>
      </w:r>
      <w:r w:rsidR="00364745">
        <w:rPr>
          <w:rFonts w:ascii="ITC Avant Garde" w:hAnsi="ITC Avant Garde"/>
          <w:shd w:val="clear" w:color="auto" w:fill="FFFFFF"/>
        </w:rPr>
        <w:t>acreditado</w:t>
      </w:r>
      <w:r w:rsidRPr="00364745">
        <w:rPr>
          <w:rFonts w:ascii="ITC Avant Garde" w:hAnsi="ITC Avant Garde"/>
          <w:shd w:val="clear" w:color="auto" w:fill="FFFFFF"/>
        </w:rPr>
        <w:t xml:space="preserve"> el incumplimiento de dicha empresa, lo cual es contrario a lo </w:t>
      </w:r>
      <w:r w:rsidR="00364745" w:rsidRPr="00364745">
        <w:rPr>
          <w:rFonts w:ascii="ITC Avant Garde" w:hAnsi="ITC Avant Garde"/>
          <w:shd w:val="clear" w:color="auto" w:fill="FFFFFF"/>
        </w:rPr>
        <w:t>previsto por</w:t>
      </w:r>
      <w:r w:rsidRPr="00364745">
        <w:rPr>
          <w:rFonts w:ascii="ITC Avant Garde" w:hAnsi="ITC Avant Garde"/>
          <w:shd w:val="clear" w:color="auto" w:fill="FFFFFF"/>
        </w:rPr>
        <w:t xml:space="preserve"> el artículo 3, fracción II de la </w:t>
      </w:r>
      <w:r w:rsidRPr="00364745">
        <w:rPr>
          <w:rFonts w:ascii="ITC Avant Garde" w:hAnsi="ITC Avant Garde"/>
          <w:b/>
          <w:shd w:val="clear" w:color="auto" w:fill="FFFFFF"/>
        </w:rPr>
        <w:t>LFPA</w:t>
      </w:r>
      <w:r>
        <w:rPr>
          <w:rFonts w:ascii="ITC Avant Garde" w:eastAsia="Times New Roman" w:hAnsi="ITC Avant Garde"/>
          <w:bCs/>
          <w:color w:val="000000"/>
          <w:lang w:val="es-ES_tradnl" w:eastAsia="es-MX"/>
        </w:rPr>
        <w:t xml:space="preserve">, sin embargo no formula argumentación jurídica </w:t>
      </w:r>
      <w:r w:rsidR="00364745">
        <w:rPr>
          <w:rFonts w:ascii="ITC Avant Garde" w:eastAsia="Times New Roman" w:hAnsi="ITC Avant Garde"/>
          <w:bCs/>
          <w:color w:val="000000"/>
          <w:lang w:val="es-ES_tradnl" w:eastAsia="es-MX"/>
        </w:rPr>
        <w:t xml:space="preserve">alguna </w:t>
      </w:r>
      <w:r>
        <w:rPr>
          <w:rFonts w:ascii="ITC Avant Garde" w:eastAsia="Times New Roman" w:hAnsi="ITC Avant Garde"/>
          <w:bCs/>
          <w:color w:val="000000"/>
          <w:lang w:val="es-ES_tradnl" w:eastAsia="es-MX"/>
        </w:rPr>
        <w:t xml:space="preserve">para sustentar su dicho ya que no señala cual es el fundamento de que adolece o cuales son los motivos, razones o circunstancias que no se tomaron en cuenta para la emisión de la misma, limitándose únicamente a formular </w:t>
      </w:r>
      <w:r>
        <w:rPr>
          <w:rFonts w:ascii="ITC Avant Garde" w:eastAsia="Times New Roman" w:hAnsi="ITC Avant Garde"/>
          <w:bCs/>
          <w:color w:val="000000"/>
          <w:lang w:val="es-ES_tradnl" w:eastAsia="es-MX"/>
        </w:rPr>
        <w:lastRenderedPageBreak/>
        <w:t>manifestaciones unilaterales carentes de todo sustento probatorio de ahí que sus argumentos sean inoperantes.</w:t>
      </w:r>
    </w:p>
    <w:p w14:paraId="309E1AD4" w14:textId="77777777" w:rsidR="00E2222D" w:rsidRDefault="00464D1D" w:rsidP="00907F25">
      <w:pPr>
        <w:spacing w:after="240" w:line="360" w:lineRule="auto"/>
        <w:jc w:val="both"/>
        <w:rPr>
          <w:rFonts w:ascii="ITC Avant Garde" w:eastAsia="Times New Roman" w:hAnsi="ITC Avant Garde"/>
          <w:bCs/>
          <w:color w:val="000000"/>
          <w:lang w:val="es-ES_tradnl" w:eastAsia="es-MX"/>
        </w:rPr>
      </w:pPr>
      <w:r>
        <w:rPr>
          <w:rFonts w:ascii="ITC Avant Garde" w:eastAsia="Times New Roman" w:hAnsi="ITC Avant Garde"/>
          <w:bCs/>
          <w:color w:val="000000"/>
          <w:lang w:val="es-ES_tradnl" w:eastAsia="es-MX"/>
        </w:rPr>
        <w:t>Sirve de sustento al anterior razonamiento la jurisprudencia número 3a./J. 17/91 emitida por la Tercera Sala de la Suprema Corte de Justicia de la Nación, visible en el Semanario Judicial de la Federación, Tomo VII, Abril de 1991, Página 23, Materia Común, Octava Época, misma que señala:</w:t>
      </w:r>
    </w:p>
    <w:p w14:paraId="6522D39E" w14:textId="77777777" w:rsidR="00E2222D" w:rsidRDefault="00464D1D" w:rsidP="00907F25">
      <w:pPr>
        <w:spacing w:after="240" w:line="360" w:lineRule="auto"/>
        <w:ind w:left="851" w:right="900"/>
        <w:jc w:val="both"/>
        <w:rPr>
          <w:rFonts w:ascii="ITC Avant Garde" w:hAnsi="ITC Avant Garde"/>
          <w:shd w:val="clear" w:color="auto" w:fill="FFFFFF"/>
        </w:rPr>
      </w:pPr>
      <w:r w:rsidRPr="00531B1A">
        <w:rPr>
          <w:rFonts w:ascii="ITC Avant Garde" w:eastAsia="Times New Roman" w:hAnsi="ITC Avant Garde"/>
          <w:bCs/>
          <w:i/>
          <w:color w:val="000000"/>
          <w:sz w:val="20"/>
          <w:szCs w:val="20"/>
          <w:lang w:eastAsia="es-MX"/>
        </w:rPr>
        <w:t>“</w:t>
      </w:r>
      <w:r w:rsidRPr="00531B1A">
        <w:rPr>
          <w:rFonts w:ascii="ITC Avant Garde" w:eastAsia="Times New Roman" w:hAnsi="ITC Avant Garde"/>
          <w:b/>
          <w:bCs/>
          <w:i/>
          <w:color w:val="000000"/>
          <w:sz w:val="20"/>
          <w:szCs w:val="20"/>
          <w:lang w:eastAsia="es-MX"/>
        </w:rPr>
        <w:t>AGRAVIO INOPERANTE. LO ES SI SE ALEGA QUE NO SE EXAMINARON TODOS LOS CONCEPTOS DE VIOLACIÓN PERO SIN HACER ESPECIFICACIÓN ALGUNA.</w:t>
      </w:r>
      <w:r w:rsidRPr="00531B1A">
        <w:rPr>
          <w:rFonts w:ascii="ITC Avant Garde" w:eastAsia="Times New Roman" w:hAnsi="ITC Avant Garde"/>
          <w:bCs/>
          <w:i/>
          <w:color w:val="000000"/>
          <w:sz w:val="20"/>
          <w:szCs w:val="20"/>
          <w:lang w:eastAsia="es-MX"/>
        </w:rPr>
        <w:t xml:space="preserve"> Si en los agravios que se formulan en contra de una sentencia, se alega que se incurrió en la violación de que no se examinaron todos los conceptos que se formularon, pero no se especifica ninguno de los que se estiman omitidos, los agravios deben considerarse inoperantes.”</w:t>
      </w:r>
      <w:r w:rsidR="00364745" w:rsidRPr="00531B1A">
        <w:rPr>
          <w:rFonts w:ascii="ITC Avant Garde" w:hAnsi="ITC Avant Garde"/>
          <w:shd w:val="clear" w:color="auto" w:fill="FFFFFF"/>
        </w:rPr>
        <w:tab/>
      </w:r>
    </w:p>
    <w:p w14:paraId="704CB744" w14:textId="77777777" w:rsidR="00E2222D" w:rsidRDefault="00E86DDC" w:rsidP="00907F25">
      <w:pPr>
        <w:spacing w:after="240" w:line="360" w:lineRule="auto"/>
        <w:jc w:val="both"/>
        <w:rPr>
          <w:rFonts w:ascii="ITC Avant Garde" w:hAnsi="ITC Avant Garde"/>
          <w:b/>
          <w:shd w:val="clear" w:color="auto" w:fill="FFFFFF"/>
        </w:rPr>
      </w:pPr>
      <w:r>
        <w:rPr>
          <w:rFonts w:ascii="ITC Avant Garde" w:eastAsia="Times New Roman" w:hAnsi="ITC Avant Garde"/>
          <w:bCs/>
          <w:color w:val="000000"/>
          <w:lang w:val="es-ES_tradnl" w:eastAsia="es-MX"/>
        </w:rPr>
        <w:t xml:space="preserve">Sin embargo, con el ánimo de atender </w:t>
      </w:r>
      <w:r w:rsidR="00B05E91">
        <w:rPr>
          <w:rFonts w:ascii="ITC Avant Garde" w:eastAsia="Times New Roman" w:hAnsi="ITC Avant Garde"/>
          <w:bCs/>
          <w:color w:val="000000"/>
          <w:lang w:val="es-ES_tradnl" w:eastAsia="es-MX"/>
        </w:rPr>
        <w:t xml:space="preserve">el análisis exhaustivo de </w:t>
      </w:r>
      <w:r>
        <w:rPr>
          <w:rFonts w:ascii="ITC Avant Garde" w:eastAsia="Times New Roman" w:hAnsi="ITC Avant Garde"/>
          <w:bCs/>
          <w:color w:val="000000"/>
          <w:lang w:val="es-ES_tradnl" w:eastAsia="es-MX"/>
        </w:rPr>
        <w:t xml:space="preserve">las manifestaciones de </w:t>
      </w:r>
      <w:r>
        <w:rPr>
          <w:rFonts w:ascii="ITC Avant Garde" w:eastAsia="Times New Roman" w:hAnsi="ITC Avant Garde"/>
          <w:b/>
          <w:bCs/>
          <w:color w:val="000000"/>
          <w:lang w:val="es-ES_tradnl" w:eastAsia="es-MX"/>
        </w:rPr>
        <w:t xml:space="preserve">MEGA CABLE, </w:t>
      </w:r>
      <w:r w:rsidR="00364745">
        <w:rPr>
          <w:rFonts w:ascii="ITC Avant Garde" w:eastAsia="Times New Roman" w:hAnsi="ITC Avant Garde"/>
          <w:bCs/>
          <w:color w:val="000000"/>
          <w:lang w:val="es-ES_tradnl" w:eastAsia="es-MX"/>
        </w:rPr>
        <w:t>se reitera</w:t>
      </w:r>
      <w:r>
        <w:rPr>
          <w:rFonts w:ascii="ITC Avant Garde" w:eastAsia="Times New Roman" w:hAnsi="ITC Avant Garde"/>
          <w:bCs/>
          <w:color w:val="000000"/>
          <w:lang w:val="es-ES_tradnl" w:eastAsia="es-MX"/>
        </w:rPr>
        <w:t xml:space="preserve"> que el acuerdo de veintinueve de abril de </w:t>
      </w:r>
      <w:r w:rsidR="00C42315">
        <w:rPr>
          <w:rFonts w:ascii="ITC Avant Garde" w:eastAsia="Times New Roman" w:hAnsi="ITC Avant Garde"/>
          <w:bCs/>
          <w:color w:val="000000"/>
          <w:lang w:val="es-ES_tradnl" w:eastAsia="es-MX"/>
        </w:rPr>
        <w:t xml:space="preserve">dos mi dieciséis, </w:t>
      </w:r>
      <w:r>
        <w:rPr>
          <w:rFonts w:ascii="ITC Avant Garde" w:eastAsia="Times New Roman" w:hAnsi="ITC Avant Garde"/>
          <w:bCs/>
          <w:color w:val="000000"/>
          <w:lang w:val="es-ES_tradnl" w:eastAsia="es-MX"/>
        </w:rPr>
        <w:t xml:space="preserve">cumplió con todos los elementos legales a que se </w:t>
      </w:r>
      <w:r w:rsidRPr="004123B8">
        <w:rPr>
          <w:rFonts w:ascii="ITC Avant Garde" w:eastAsia="Times New Roman" w:hAnsi="ITC Avant Garde"/>
          <w:bCs/>
          <w:color w:val="000000"/>
          <w:lang w:val="es-ES_tradnl" w:eastAsia="es-MX"/>
        </w:rPr>
        <w:t xml:space="preserve">contrae el artículo 3 de la </w:t>
      </w:r>
      <w:r w:rsidRPr="004123B8">
        <w:rPr>
          <w:rFonts w:ascii="ITC Avant Garde" w:eastAsia="Times New Roman" w:hAnsi="ITC Avant Garde"/>
          <w:b/>
          <w:bCs/>
          <w:color w:val="000000"/>
          <w:lang w:val="es-ES_tradnl" w:eastAsia="es-MX"/>
        </w:rPr>
        <w:t xml:space="preserve">LFPA, </w:t>
      </w:r>
      <w:r w:rsidRPr="004123B8">
        <w:rPr>
          <w:rFonts w:ascii="ITC Avant Garde" w:eastAsia="Times New Roman" w:hAnsi="ITC Avant Garde"/>
          <w:bCs/>
          <w:color w:val="000000"/>
          <w:lang w:val="es-ES_tradnl" w:eastAsia="es-MX"/>
        </w:rPr>
        <w:t xml:space="preserve">en especial los señalados en la fracción II, ya que de la simple lectura que se haga al mismo se logra advertir </w:t>
      </w:r>
      <w:r w:rsidR="00607FF1" w:rsidRPr="004123B8">
        <w:rPr>
          <w:rFonts w:ascii="ITC Avant Garde" w:eastAsia="Times New Roman" w:hAnsi="ITC Avant Garde"/>
          <w:bCs/>
          <w:color w:val="000000"/>
          <w:lang w:val="es-ES_tradnl" w:eastAsia="es-MX"/>
        </w:rPr>
        <w:t xml:space="preserve">que </w:t>
      </w:r>
      <w:r w:rsidRPr="004123B8">
        <w:rPr>
          <w:rFonts w:ascii="ITC Avant Garde" w:eastAsia="Times New Roman" w:hAnsi="ITC Avant Garde"/>
          <w:bCs/>
          <w:color w:val="000000"/>
          <w:lang w:val="es-ES_tradnl" w:eastAsia="es-MX"/>
        </w:rPr>
        <w:t xml:space="preserve">fue emitido derivado de los presuntos incumplimientos detectados en el desarrollo de la visita de inspección-verificación ordinaria </w:t>
      </w:r>
      <w:r w:rsidRPr="004123B8">
        <w:rPr>
          <w:rFonts w:ascii="ITC Avant Garde" w:eastAsia="Times New Roman" w:hAnsi="ITC Avant Garde"/>
          <w:b/>
          <w:bCs/>
          <w:color w:val="000000"/>
          <w:lang w:val="es-ES_tradnl" w:eastAsia="es-MX"/>
        </w:rPr>
        <w:t>IFT/DF/DGV/1299/2015</w:t>
      </w:r>
      <w:r w:rsidR="0081688C" w:rsidRPr="004123B8">
        <w:rPr>
          <w:rFonts w:ascii="ITC Avant Garde" w:eastAsia="Times New Roman" w:hAnsi="ITC Avant Garde"/>
          <w:b/>
          <w:bCs/>
          <w:color w:val="000000"/>
          <w:lang w:val="es-ES_tradnl" w:eastAsia="es-MX"/>
        </w:rPr>
        <w:t xml:space="preserve">, </w:t>
      </w:r>
      <w:r w:rsidR="0081688C" w:rsidRPr="004123B8">
        <w:rPr>
          <w:rFonts w:ascii="ITC Avant Garde" w:eastAsia="Times New Roman" w:hAnsi="ITC Avant Garde"/>
          <w:bCs/>
          <w:color w:val="000000"/>
          <w:lang w:val="es-ES_tradnl" w:eastAsia="es-MX"/>
        </w:rPr>
        <w:t xml:space="preserve">la cual fue llevada a cabo en cumplimiento a </w:t>
      </w:r>
      <w:r w:rsidR="0081688C" w:rsidRPr="004123B8">
        <w:rPr>
          <w:rFonts w:ascii="ITC Avant Garde" w:hAnsi="ITC Avant Garde"/>
          <w:color w:val="000000"/>
        </w:rPr>
        <w:t>la orden de verificación</w:t>
      </w:r>
      <w:r w:rsidR="00F63C35" w:rsidRPr="004123B8">
        <w:rPr>
          <w:rFonts w:ascii="ITC Avant Garde" w:hAnsi="ITC Avant Garde"/>
          <w:color w:val="000000"/>
        </w:rPr>
        <w:t xml:space="preserve"> contenida en el oficio </w:t>
      </w:r>
      <w:r w:rsidR="0081688C" w:rsidRPr="004123B8">
        <w:rPr>
          <w:rFonts w:ascii="ITC Avant Garde" w:hAnsi="ITC Avant Garde"/>
          <w:color w:val="000000"/>
        </w:rPr>
        <w:t xml:space="preserve"> </w:t>
      </w:r>
      <w:r w:rsidR="0081688C" w:rsidRPr="004123B8">
        <w:rPr>
          <w:rFonts w:ascii="ITC Avant Garde" w:hAnsi="ITC Avant Garde"/>
          <w:b/>
          <w:shd w:val="clear" w:color="auto" w:fill="FFFFFF"/>
        </w:rPr>
        <w:t>IFT/225/UC/DG-VER/5395/2015.</w:t>
      </w:r>
    </w:p>
    <w:p w14:paraId="3B8B9B08" w14:textId="77777777" w:rsidR="00E2222D" w:rsidRDefault="0081688C" w:rsidP="00907F25">
      <w:pPr>
        <w:spacing w:after="240" w:line="360" w:lineRule="auto"/>
        <w:jc w:val="both"/>
        <w:rPr>
          <w:rFonts w:ascii="ITC Avant Garde" w:eastAsia="Times New Roman" w:hAnsi="ITC Avant Garde"/>
          <w:bCs/>
          <w:color w:val="000000"/>
          <w:lang w:val="es-ES_tradnl" w:eastAsia="es-MX"/>
        </w:rPr>
      </w:pPr>
      <w:r w:rsidRPr="004123B8">
        <w:rPr>
          <w:rFonts w:ascii="ITC Avant Garde" w:eastAsia="Times New Roman" w:hAnsi="ITC Avant Garde"/>
          <w:bCs/>
          <w:color w:val="000000"/>
          <w:lang w:val="es-ES_tradnl" w:eastAsia="es-MX"/>
        </w:rPr>
        <w:t xml:space="preserve">En tales circunstancias, </w:t>
      </w:r>
      <w:r w:rsidR="00B05E91" w:rsidRPr="004123B8">
        <w:rPr>
          <w:rFonts w:ascii="ITC Avant Garde" w:eastAsia="Times New Roman" w:hAnsi="ITC Avant Garde"/>
          <w:bCs/>
          <w:color w:val="000000"/>
          <w:lang w:val="es-ES_tradnl" w:eastAsia="es-MX"/>
        </w:rPr>
        <w:t>e</w:t>
      </w:r>
      <w:r w:rsidRPr="004123B8">
        <w:rPr>
          <w:rFonts w:ascii="ITC Avant Garde" w:eastAsia="Times New Roman" w:hAnsi="ITC Avant Garde"/>
          <w:bCs/>
          <w:color w:val="000000"/>
          <w:lang w:val="es-ES_tradnl" w:eastAsia="es-MX"/>
        </w:rPr>
        <w:t xml:space="preserve">s de considerar que el resultado de los hechos que se suscitaron en la visita de verificación, </w:t>
      </w:r>
      <w:r w:rsidR="00607FF1" w:rsidRPr="004123B8">
        <w:rPr>
          <w:rFonts w:ascii="ITC Avant Garde" w:eastAsia="Times New Roman" w:hAnsi="ITC Avant Garde"/>
          <w:bCs/>
          <w:color w:val="000000"/>
          <w:lang w:val="es-ES_tradnl" w:eastAsia="es-MX"/>
        </w:rPr>
        <w:t xml:space="preserve">fueron </w:t>
      </w:r>
      <w:r w:rsidRPr="004123B8">
        <w:rPr>
          <w:rFonts w:ascii="ITC Avant Garde" w:eastAsia="Times New Roman" w:hAnsi="ITC Avant Garde"/>
          <w:bCs/>
          <w:color w:val="000000"/>
          <w:lang w:val="es-ES_tradnl" w:eastAsia="es-MX"/>
        </w:rPr>
        <w:t>los que sirvieron de sustento para emitir el Dictamen y por consiguiente el citado acuerdo de inicio.</w:t>
      </w:r>
    </w:p>
    <w:p w14:paraId="7C4E1D99" w14:textId="77777777" w:rsidR="00E2222D" w:rsidRDefault="00F63C35" w:rsidP="00907F25">
      <w:pPr>
        <w:spacing w:after="240" w:line="360" w:lineRule="auto"/>
        <w:jc w:val="both"/>
        <w:rPr>
          <w:rFonts w:ascii="ITC Avant Garde" w:hAnsi="ITC Avant Garde"/>
          <w:shd w:val="clear" w:color="auto" w:fill="FFFFFF"/>
        </w:rPr>
      </w:pPr>
      <w:r w:rsidRPr="004123B8">
        <w:rPr>
          <w:rFonts w:ascii="ITC Avant Garde" w:hAnsi="ITC Avant Garde"/>
          <w:shd w:val="clear" w:color="auto" w:fill="FFFFFF"/>
        </w:rPr>
        <w:t xml:space="preserve">Al respeto sirve de sustento </w:t>
      </w:r>
      <w:r w:rsidR="00B621B1" w:rsidRPr="004123B8">
        <w:rPr>
          <w:rFonts w:ascii="ITC Avant Garde" w:hAnsi="ITC Avant Garde"/>
          <w:shd w:val="clear" w:color="auto" w:fill="FFFFFF"/>
        </w:rPr>
        <w:t>el criterio reflejado en la siguiente tesis:</w:t>
      </w:r>
    </w:p>
    <w:p w14:paraId="33D91221" w14:textId="77777777" w:rsidR="00E2222D" w:rsidRDefault="00B621B1" w:rsidP="00907F25">
      <w:pPr>
        <w:spacing w:after="240" w:line="360" w:lineRule="auto"/>
        <w:ind w:left="851" w:right="900"/>
        <w:jc w:val="both"/>
        <w:rPr>
          <w:rFonts w:ascii="ITC Avant Garde" w:hAnsi="ITC Avant Garde"/>
          <w:sz w:val="20"/>
          <w:szCs w:val="20"/>
          <w:shd w:val="clear" w:color="auto" w:fill="FFFFFF"/>
        </w:rPr>
      </w:pPr>
      <w:r w:rsidRPr="00531B1A">
        <w:rPr>
          <w:rFonts w:ascii="ITC Avant Garde" w:hAnsi="ITC Avant Garde"/>
          <w:b/>
          <w:sz w:val="20"/>
          <w:szCs w:val="20"/>
          <w:shd w:val="clear" w:color="auto" w:fill="FFFFFF"/>
        </w:rPr>
        <w:t xml:space="preserve">VERIFICACIÓN DE LA EXPLOTACIÓN, USO O APROVECHAMIENTO DE AGUAS NACIONALES. PARA QUE LA ORDEN RELATIVA CUMPLA CON EL REQUISITO PREVISTO EN EL ARTÍCULO 3, FRACCIÓN II, DE LA LEY FEDERAL DE </w:t>
      </w:r>
      <w:r w:rsidRPr="00531B1A">
        <w:rPr>
          <w:rFonts w:ascii="ITC Avant Garde" w:hAnsi="ITC Avant Garde"/>
          <w:b/>
          <w:sz w:val="20"/>
          <w:szCs w:val="20"/>
          <w:shd w:val="clear" w:color="auto" w:fill="FFFFFF"/>
        </w:rPr>
        <w:lastRenderedPageBreak/>
        <w:t xml:space="preserve">PROCEDIMIENTO ADMINISTRATIVO, NO ES JURÍDICAMENTE DABLE EXIGIR LA SATISFACCIÓN DE LOS RELATIVOS A LA MATERIA FISCAL. </w:t>
      </w:r>
      <w:r w:rsidRPr="00531B1A">
        <w:rPr>
          <w:rFonts w:ascii="ITC Avant Garde" w:hAnsi="ITC Avant Garde"/>
          <w:sz w:val="20"/>
          <w:szCs w:val="20"/>
          <w:shd w:val="clear" w:color="auto" w:fill="FFFFFF"/>
        </w:rPr>
        <w:t xml:space="preserve">La orden de verificación de la explotación, uso o aprovechamiento de aguas nacionales, cumple con el requisito previsto en el artículo 3, fracción II, de la Ley Federal de Procedimiento Administrativo, consistente en tener objeto determinado o determinable, preciso en cuanto a las circunstancias de tiempo y lugar y previsto legalmente, </w:t>
      </w:r>
      <w:r w:rsidRPr="00531B1A">
        <w:rPr>
          <w:rFonts w:ascii="ITC Avant Garde" w:hAnsi="ITC Avant Garde"/>
          <w:b/>
          <w:sz w:val="20"/>
          <w:szCs w:val="20"/>
          <w:u w:val="single"/>
          <w:shd w:val="clear" w:color="auto" w:fill="FFFFFF"/>
        </w:rPr>
        <w:t>al precisar que se realizará para revisar el cumplimiento de la Ley de Aguas Nacionales y su reglamento en el domicilio inspeccionado, a la fecha de notificación del mandato; sin que sea jurídicamente dable exigir la satisfacción de los requisitos relativos a la materia fiscal -como la precisión del alcance temporal de la revisión-, puesto que la autoridad desconoce si encontrará fuentes de abastecimiento y el estado que guardan para el aprovechamiento de aguas; si se generaron o no obligaciones a cargo del visitado y, con mayor razón, el periodo al que pudo estar sujeto, máxime que las facultades de comprobación fiscal difieren en su alcance y finalidad respecto de la aludida verificación</w:t>
      </w:r>
      <w:r w:rsidRPr="00531B1A">
        <w:rPr>
          <w:rFonts w:ascii="ITC Avant Garde" w:hAnsi="ITC Avant Garde"/>
          <w:sz w:val="20"/>
          <w:szCs w:val="20"/>
          <w:shd w:val="clear" w:color="auto" w:fill="FFFFFF"/>
        </w:rPr>
        <w:t>.</w:t>
      </w:r>
    </w:p>
    <w:p w14:paraId="7A47DA24" w14:textId="77777777" w:rsidR="00E2222D" w:rsidRDefault="00B621B1" w:rsidP="00907F25">
      <w:pPr>
        <w:spacing w:after="240" w:line="360" w:lineRule="auto"/>
        <w:ind w:left="851" w:right="900"/>
        <w:jc w:val="both"/>
        <w:rPr>
          <w:rFonts w:ascii="ITC Avant Garde" w:hAnsi="ITC Avant Garde"/>
          <w:sz w:val="20"/>
          <w:szCs w:val="20"/>
          <w:shd w:val="clear" w:color="auto" w:fill="FFFFFF"/>
        </w:rPr>
      </w:pPr>
      <w:r w:rsidRPr="00531B1A">
        <w:rPr>
          <w:rFonts w:ascii="ITC Avant Garde" w:hAnsi="ITC Avant Garde"/>
          <w:sz w:val="20"/>
          <w:szCs w:val="20"/>
          <w:shd w:val="clear" w:color="auto" w:fill="FFFFFF"/>
        </w:rPr>
        <w:t xml:space="preserve">Época: Décima Época, Registro: 2003802, Instancia: Tribunales Colegiados de Circuito, Tipo de Tesis: Aislada, Fuente: Semanario Judicial de la Federación y su Gaceta, Libro XX, Mayo de 2013, Tomo 3, Materia(s): Administrativa, Tesis: III.2o.A.34 A (10a.), Página: 2158 </w:t>
      </w:r>
    </w:p>
    <w:p w14:paraId="604B9509" w14:textId="77777777" w:rsidR="00E2222D" w:rsidRDefault="00B621B1" w:rsidP="00907F25">
      <w:pPr>
        <w:spacing w:after="240" w:line="360" w:lineRule="auto"/>
        <w:jc w:val="both"/>
        <w:rPr>
          <w:rFonts w:ascii="ITC Avant Garde" w:hAnsi="ITC Avant Garde"/>
          <w:color w:val="000000"/>
        </w:rPr>
      </w:pPr>
      <w:r w:rsidRPr="004123B8">
        <w:rPr>
          <w:rFonts w:ascii="ITC Avant Garde" w:hAnsi="ITC Avant Garde"/>
          <w:color w:val="000000"/>
        </w:rPr>
        <w:t xml:space="preserve">De acuerdo a lo anterior, la orden de visita debe contener: i) la normatividad a verificar, ii) el domicilio dónde </w:t>
      </w:r>
      <w:r w:rsidR="000515A0" w:rsidRPr="004123B8">
        <w:rPr>
          <w:rFonts w:ascii="ITC Avant Garde" w:hAnsi="ITC Avant Garde"/>
          <w:color w:val="000000"/>
        </w:rPr>
        <w:t xml:space="preserve">tendrá </w:t>
      </w:r>
      <w:r w:rsidRPr="004123B8">
        <w:rPr>
          <w:rFonts w:ascii="ITC Avant Garde" w:hAnsi="ITC Avant Garde"/>
          <w:color w:val="000000"/>
        </w:rPr>
        <w:t>que desarrollarse la visita, y iii) la fecha en la que se iniciaría la visita.</w:t>
      </w:r>
    </w:p>
    <w:p w14:paraId="75540EF1" w14:textId="77777777" w:rsidR="0083511C" w:rsidRDefault="00B621B1" w:rsidP="00907F25">
      <w:pPr>
        <w:spacing w:after="240" w:line="360" w:lineRule="auto"/>
        <w:jc w:val="both"/>
        <w:rPr>
          <w:rFonts w:ascii="ITC Avant Garde" w:hAnsi="ITC Avant Garde"/>
          <w:b/>
          <w:shd w:val="clear" w:color="auto" w:fill="FFFFFF"/>
        </w:rPr>
        <w:sectPr w:rsidR="0083511C" w:rsidSect="00802C6F">
          <w:headerReference w:type="default" r:id="rId41"/>
          <w:pgSz w:w="12240" w:h="15840"/>
          <w:pgMar w:top="2126" w:right="1325" w:bottom="1701" w:left="1701" w:header="709" w:footer="962" w:gutter="0"/>
          <w:cols w:space="708"/>
          <w:docGrid w:linePitch="360"/>
        </w:sectPr>
      </w:pPr>
      <w:r w:rsidRPr="004123B8">
        <w:rPr>
          <w:rFonts w:ascii="ITC Avant Garde" w:hAnsi="ITC Avant Garde"/>
          <w:color w:val="000000"/>
        </w:rPr>
        <w:t xml:space="preserve">Así las cosas, para efectos del presente </w:t>
      </w:r>
      <w:r w:rsidR="001E197B" w:rsidRPr="004123B8">
        <w:rPr>
          <w:rFonts w:ascii="ITC Avant Garde" w:hAnsi="ITC Avant Garde"/>
          <w:color w:val="000000"/>
        </w:rPr>
        <w:t xml:space="preserve">asunto, </w:t>
      </w:r>
      <w:r w:rsidR="00F63C35" w:rsidRPr="004123B8">
        <w:rPr>
          <w:rFonts w:ascii="ITC Avant Garde" w:hAnsi="ITC Avant Garde"/>
          <w:color w:val="000000"/>
        </w:rPr>
        <w:t xml:space="preserve">conviene </w:t>
      </w:r>
      <w:r w:rsidR="001E197B" w:rsidRPr="004123B8">
        <w:rPr>
          <w:rFonts w:ascii="ITC Avant Garde" w:hAnsi="ITC Avant Garde"/>
          <w:color w:val="000000"/>
        </w:rPr>
        <w:t xml:space="preserve">analizar </w:t>
      </w:r>
      <w:r w:rsidRPr="004123B8">
        <w:rPr>
          <w:rFonts w:ascii="ITC Avant Garde" w:hAnsi="ITC Avant Garde"/>
          <w:color w:val="000000"/>
        </w:rPr>
        <w:t xml:space="preserve">si dichos elementos se encuentran </w:t>
      </w:r>
      <w:r w:rsidR="001E197B" w:rsidRPr="004123B8">
        <w:rPr>
          <w:rFonts w:ascii="ITC Avant Garde" w:hAnsi="ITC Avant Garde"/>
          <w:color w:val="000000"/>
        </w:rPr>
        <w:t xml:space="preserve">contemplados </w:t>
      </w:r>
      <w:r w:rsidRPr="004123B8">
        <w:rPr>
          <w:rFonts w:ascii="ITC Avant Garde" w:hAnsi="ITC Avant Garde"/>
          <w:color w:val="000000"/>
        </w:rPr>
        <w:t>en</w:t>
      </w:r>
      <w:r w:rsidR="00F8693A" w:rsidRPr="004123B8">
        <w:rPr>
          <w:rFonts w:ascii="ITC Avant Garde" w:hAnsi="ITC Avant Garde"/>
          <w:color w:val="000000"/>
        </w:rPr>
        <w:t xml:space="preserve"> el </w:t>
      </w:r>
      <w:r w:rsidR="00F63C35" w:rsidRPr="004123B8">
        <w:rPr>
          <w:rFonts w:ascii="ITC Avant Garde" w:hAnsi="ITC Avant Garde"/>
          <w:color w:val="000000"/>
        </w:rPr>
        <w:t xml:space="preserve">acuerdo por el que se </w:t>
      </w:r>
      <w:r w:rsidR="00F8693A" w:rsidRPr="004123B8">
        <w:rPr>
          <w:rFonts w:ascii="ITC Avant Garde" w:hAnsi="ITC Avant Garde"/>
          <w:color w:val="000000"/>
        </w:rPr>
        <w:t>inici</w:t>
      </w:r>
      <w:r w:rsidR="00F63C35" w:rsidRPr="004123B8">
        <w:rPr>
          <w:rFonts w:ascii="ITC Avant Garde" w:hAnsi="ITC Avant Garde"/>
          <w:color w:val="000000"/>
        </w:rPr>
        <w:t>ó</w:t>
      </w:r>
      <w:r w:rsidR="00F8693A" w:rsidRPr="004123B8">
        <w:rPr>
          <w:rFonts w:ascii="ITC Avant Garde" w:hAnsi="ITC Avant Garde"/>
          <w:color w:val="000000"/>
        </w:rPr>
        <w:t xml:space="preserve"> </w:t>
      </w:r>
      <w:r w:rsidR="00F63C35" w:rsidRPr="004123B8">
        <w:rPr>
          <w:rFonts w:ascii="ITC Avant Garde" w:hAnsi="ITC Avant Garde"/>
          <w:color w:val="000000"/>
        </w:rPr>
        <w:t>el</w:t>
      </w:r>
      <w:r w:rsidR="00F8693A" w:rsidRPr="004123B8">
        <w:rPr>
          <w:rFonts w:ascii="ITC Avant Garde" w:hAnsi="ITC Avant Garde"/>
          <w:color w:val="000000"/>
        </w:rPr>
        <w:t xml:space="preserve"> procedimiento administrativo de imposición de sanción de veintinueve de abril de dos mil dieciséis, </w:t>
      </w:r>
      <w:r w:rsidR="004C48BC" w:rsidRPr="004123B8">
        <w:rPr>
          <w:rFonts w:ascii="ITC Avant Garde" w:hAnsi="ITC Avant Garde"/>
          <w:shd w:val="clear" w:color="auto" w:fill="FFFFFF"/>
        </w:rPr>
        <w:t>respecto de los</w:t>
      </w:r>
      <w:r w:rsidR="004C48BC" w:rsidRPr="004123B8">
        <w:rPr>
          <w:rFonts w:ascii="ITC Avant Garde" w:hAnsi="ITC Avant Garde"/>
          <w:b/>
          <w:shd w:val="clear" w:color="auto" w:fill="FFFFFF"/>
        </w:rPr>
        <w:t xml:space="preserve"> </w:t>
      </w:r>
      <w:r w:rsidR="004C48BC" w:rsidRPr="004123B8">
        <w:rPr>
          <w:rFonts w:ascii="ITC Avant Garde" w:eastAsia="Times New Roman" w:hAnsi="ITC Avant Garde"/>
          <w:bCs/>
          <w:color w:val="000000"/>
          <w:lang w:val="es-ES_tradnl" w:eastAsia="es-MX"/>
        </w:rPr>
        <w:t xml:space="preserve">hechos que se hicieron constar en la visita de inspección-verificación ordinaria </w:t>
      </w:r>
      <w:r w:rsidR="004C48BC" w:rsidRPr="004123B8">
        <w:rPr>
          <w:rFonts w:ascii="ITC Avant Garde" w:eastAsia="Times New Roman" w:hAnsi="ITC Avant Garde"/>
          <w:b/>
          <w:bCs/>
          <w:color w:val="000000"/>
          <w:lang w:val="es-ES_tradnl" w:eastAsia="es-MX"/>
        </w:rPr>
        <w:t>IFT/DF/DGV/1299/2015</w:t>
      </w:r>
      <w:r w:rsidR="00F8693A" w:rsidRPr="004123B8">
        <w:rPr>
          <w:rFonts w:ascii="ITC Avant Garde" w:hAnsi="ITC Avant Garde"/>
          <w:b/>
          <w:shd w:val="clear" w:color="auto" w:fill="FFFFFF"/>
        </w:rPr>
        <w:t>,</w:t>
      </w:r>
      <w:r w:rsidRPr="004123B8">
        <w:rPr>
          <w:rFonts w:ascii="ITC Avant Garde" w:hAnsi="ITC Avant Garde"/>
          <w:shd w:val="clear" w:color="auto" w:fill="FFFFFF"/>
        </w:rPr>
        <w:t xml:space="preserve"> </w:t>
      </w:r>
      <w:r w:rsidR="00F63C35" w:rsidRPr="004123B8">
        <w:rPr>
          <w:rFonts w:ascii="ITC Avant Garde" w:hAnsi="ITC Avant Garde"/>
          <w:shd w:val="clear" w:color="auto" w:fill="FFFFFF"/>
        </w:rPr>
        <w:t xml:space="preserve">en relación con </w:t>
      </w:r>
      <w:r w:rsidRPr="004123B8">
        <w:rPr>
          <w:rFonts w:ascii="ITC Avant Garde" w:hAnsi="ITC Avant Garde"/>
          <w:shd w:val="clear" w:color="auto" w:fill="FFFFFF"/>
        </w:rPr>
        <w:t xml:space="preserve">los elementos a que se refiere el artículo 3, fracción II, de la </w:t>
      </w:r>
      <w:r w:rsidR="000905E3" w:rsidRPr="004123B8">
        <w:rPr>
          <w:rFonts w:ascii="ITC Avant Garde" w:hAnsi="ITC Avant Garde"/>
          <w:b/>
          <w:shd w:val="clear" w:color="auto" w:fill="FFFFFF"/>
        </w:rPr>
        <w:t>LFPA</w:t>
      </w:r>
      <w:r w:rsidRPr="004123B8">
        <w:rPr>
          <w:rFonts w:ascii="ITC Avant Garde" w:hAnsi="ITC Avant Garde"/>
          <w:b/>
          <w:shd w:val="clear" w:color="auto" w:fill="FFFFFF"/>
        </w:rPr>
        <w:t>.</w:t>
      </w:r>
    </w:p>
    <w:p w14:paraId="6E187CFE" w14:textId="632E7D96" w:rsidR="00E2222D" w:rsidRDefault="00B621B1" w:rsidP="00907F25">
      <w:pPr>
        <w:spacing w:after="240" w:line="360" w:lineRule="auto"/>
        <w:jc w:val="both"/>
        <w:rPr>
          <w:rFonts w:ascii="ITC Avant Garde" w:hAnsi="ITC Avant Garde"/>
          <w:shd w:val="clear" w:color="auto" w:fill="FFFFFF"/>
        </w:rPr>
      </w:pPr>
      <w:r w:rsidRPr="004123B8">
        <w:rPr>
          <w:rFonts w:ascii="ITC Avant Garde" w:hAnsi="ITC Avant Garde"/>
          <w:shd w:val="clear" w:color="auto" w:fill="FFFFFF"/>
        </w:rPr>
        <w:lastRenderedPageBreak/>
        <w:t xml:space="preserve">En ese sentido, la orden de verificación </w:t>
      </w:r>
      <w:r w:rsidRPr="004123B8">
        <w:rPr>
          <w:rFonts w:ascii="ITC Avant Garde" w:hAnsi="ITC Avant Garde"/>
          <w:b/>
          <w:shd w:val="clear" w:color="auto" w:fill="FFFFFF"/>
        </w:rPr>
        <w:t>IFT/225/UC/DG-VER/</w:t>
      </w:r>
      <w:r w:rsidR="00F8693A" w:rsidRPr="004123B8">
        <w:rPr>
          <w:rFonts w:ascii="ITC Avant Garde" w:hAnsi="ITC Avant Garde"/>
          <w:b/>
          <w:shd w:val="clear" w:color="auto" w:fill="FFFFFF"/>
        </w:rPr>
        <w:t>5395</w:t>
      </w:r>
      <w:r w:rsidRPr="004123B8">
        <w:rPr>
          <w:rFonts w:ascii="ITC Avant Garde" w:hAnsi="ITC Avant Garde"/>
          <w:b/>
          <w:shd w:val="clear" w:color="auto" w:fill="FFFFFF"/>
        </w:rPr>
        <w:t>/2015</w:t>
      </w:r>
      <w:r w:rsidRPr="004123B8">
        <w:rPr>
          <w:rFonts w:ascii="ITC Avant Garde" w:hAnsi="ITC Avant Garde"/>
          <w:shd w:val="clear" w:color="auto" w:fill="FFFFFF"/>
        </w:rPr>
        <w:t xml:space="preserve"> establece en las partes que interesa lo siguiente:</w:t>
      </w:r>
    </w:p>
    <w:p w14:paraId="18E8709F" w14:textId="2395130B" w:rsidR="00E2222D" w:rsidRDefault="005E0869" w:rsidP="00907F25">
      <w:pPr>
        <w:pStyle w:val="Listavistosa-nfasis11"/>
        <w:numPr>
          <w:ilvl w:val="0"/>
          <w:numId w:val="35"/>
        </w:numPr>
        <w:spacing w:after="240" w:line="360" w:lineRule="auto"/>
        <w:ind w:left="567" w:hanging="567"/>
        <w:jc w:val="both"/>
        <w:rPr>
          <w:rFonts w:ascii="ITC Avant Garde" w:hAnsi="ITC Avant Garde"/>
          <w:shd w:val="clear" w:color="auto" w:fill="FFFFFF"/>
        </w:rPr>
      </w:pPr>
      <w:r w:rsidRPr="004123B8">
        <w:rPr>
          <w:rFonts w:ascii="ITC Avant Garde" w:hAnsi="ITC Avant Garde"/>
          <w:b/>
          <w:shd w:val="clear" w:color="auto" w:fill="FFFFFF"/>
        </w:rPr>
        <w:t>En cuanto a la normatividad a verificar (determinado o determinable)</w:t>
      </w:r>
      <w:r w:rsidRPr="004123B8">
        <w:rPr>
          <w:rFonts w:ascii="ITC Avant Garde" w:hAnsi="ITC Avant Garde"/>
          <w:shd w:val="clear" w:color="auto" w:fill="FFFFFF"/>
        </w:rPr>
        <w:t xml:space="preserve"> se señaló que el objeto de la misma era verificar y constatar que la visitada dé y haya dado cumplimiento a las condiciones 2.1, </w:t>
      </w:r>
      <w:r w:rsidR="0020796D" w:rsidRPr="004123B8">
        <w:rPr>
          <w:rFonts w:ascii="ITC Avant Garde" w:hAnsi="ITC Avant Garde"/>
          <w:shd w:val="clear" w:color="auto" w:fill="FFFFFF"/>
        </w:rPr>
        <w:t>4</w:t>
      </w:r>
      <w:r w:rsidRPr="004123B8">
        <w:rPr>
          <w:rFonts w:ascii="ITC Avant Garde" w:hAnsi="ITC Avant Garde"/>
          <w:shd w:val="clear" w:color="auto" w:fill="FFFFFF"/>
        </w:rPr>
        <w:t>.6</w:t>
      </w:r>
      <w:r w:rsidR="0020796D" w:rsidRPr="004123B8">
        <w:rPr>
          <w:rFonts w:ascii="ITC Avant Garde" w:hAnsi="ITC Avant Garde"/>
          <w:shd w:val="clear" w:color="auto" w:fill="FFFFFF"/>
        </w:rPr>
        <w:t>. y</w:t>
      </w:r>
      <w:r w:rsidRPr="004123B8">
        <w:rPr>
          <w:rFonts w:ascii="ITC Avant Garde" w:hAnsi="ITC Avant Garde"/>
          <w:shd w:val="clear" w:color="auto" w:fill="FFFFFF"/>
        </w:rPr>
        <w:t xml:space="preserve"> A.</w:t>
      </w:r>
      <w:r w:rsidR="0020796D" w:rsidRPr="004123B8">
        <w:rPr>
          <w:rFonts w:ascii="ITC Avant Garde" w:hAnsi="ITC Avant Garde"/>
          <w:shd w:val="clear" w:color="auto" w:fill="FFFFFF"/>
        </w:rPr>
        <w:t>7</w:t>
      </w:r>
      <w:r w:rsidRPr="004123B8">
        <w:rPr>
          <w:rFonts w:ascii="ITC Avant Garde" w:hAnsi="ITC Avant Garde"/>
          <w:shd w:val="clear" w:color="auto" w:fill="FFFFFF"/>
        </w:rPr>
        <w:t xml:space="preserve">. de su Título de Concesión y que cumpla con los artículos 5, 11 y </w:t>
      </w:r>
      <w:r w:rsidR="0020796D" w:rsidRPr="004123B8">
        <w:rPr>
          <w:rFonts w:ascii="ITC Avant Garde" w:hAnsi="ITC Avant Garde"/>
        </w:rPr>
        <w:t xml:space="preserve">12 de los </w:t>
      </w:r>
      <w:r w:rsidR="0020796D" w:rsidRPr="004123B8">
        <w:rPr>
          <w:rFonts w:ascii="ITC Avant Garde" w:hAnsi="ITC Avant Garde"/>
          <w:b/>
        </w:rPr>
        <w:t xml:space="preserve">LINEAMIENTOS, </w:t>
      </w:r>
      <w:r w:rsidR="0020796D" w:rsidRPr="004123B8">
        <w:rPr>
          <w:rFonts w:ascii="ITC Avant Garde" w:hAnsi="ITC Avant Garde"/>
        </w:rPr>
        <w:t xml:space="preserve">sus respectivas modificaciones contenidas en el </w:t>
      </w:r>
      <w:r w:rsidR="0020796D" w:rsidRPr="004123B8">
        <w:rPr>
          <w:rFonts w:ascii="ITC Avant Garde" w:hAnsi="ITC Avant Garde"/>
          <w:b/>
        </w:rPr>
        <w:t xml:space="preserve">ACUERDO MODIFICATORIO; </w:t>
      </w:r>
      <w:r w:rsidR="0020796D" w:rsidRPr="004123B8">
        <w:rPr>
          <w:rFonts w:ascii="ITC Avant Garde" w:hAnsi="ITC Avant Garde"/>
        </w:rPr>
        <w:t xml:space="preserve">el </w:t>
      </w:r>
      <w:r w:rsidR="0020796D" w:rsidRPr="004123B8">
        <w:rPr>
          <w:rFonts w:ascii="ITC Avant Garde" w:hAnsi="ITC Avant Garde"/>
          <w:b/>
        </w:rPr>
        <w:t xml:space="preserve">LISTADO </w:t>
      </w:r>
      <w:r w:rsidR="0020796D" w:rsidRPr="004123B8">
        <w:rPr>
          <w:rFonts w:ascii="ITC Avant Garde" w:hAnsi="ITC Avant Garde"/>
        </w:rPr>
        <w:t xml:space="preserve">y sus correspondientes </w:t>
      </w:r>
      <w:r w:rsidR="0020796D" w:rsidRPr="004123B8">
        <w:rPr>
          <w:rFonts w:ascii="ITC Avant Garde" w:hAnsi="ITC Avant Garde"/>
          <w:b/>
        </w:rPr>
        <w:t>ACTUALIZACIONES.</w:t>
      </w:r>
    </w:p>
    <w:p w14:paraId="1CE28D58" w14:textId="6CB2979D" w:rsidR="00E2222D" w:rsidRDefault="005E0869" w:rsidP="00907F25">
      <w:pPr>
        <w:pStyle w:val="Listavistosa-nfasis11"/>
        <w:numPr>
          <w:ilvl w:val="0"/>
          <w:numId w:val="35"/>
        </w:numPr>
        <w:spacing w:after="240" w:line="360" w:lineRule="auto"/>
        <w:ind w:left="567" w:hanging="567"/>
        <w:jc w:val="both"/>
        <w:rPr>
          <w:rFonts w:ascii="ITC Avant Garde" w:hAnsi="ITC Avant Garde"/>
          <w:shd w:val="clear" w:color="auto" w:fill="FFFFFF"/>
        </w:rPr>
      </w:pPr>
      <w:r w:rsidRPr="004123B8">
        <w:rPr>
          <w:rFonts w:ascii="ITC Avant Garde" w:hAnsi="ITC Avant Garde"/>
          <w:b/>
          <w:shd w:val="clear" w:color="auto" w:fill="FFFFFF"/>
        </w:rPr>
        <w:t xml:space="preserve">El domicilio a verificar, </w:t>
      </w:r>
      <w:r w:rsidRPr="004123B8">
        <w:rPr>
          <w:rFonts w:ascii="ITC Avant Garde" w:hAnsi="ITC Avant Garde"/>
          <w:shd w:val="clear" w:color="auto" w:fill="FFFFFF"/>
        </w:rPr>
        <w:t>fue</w:t>
      </w:r>
      <w:r w:rsidR="001E197B" w:rsidRPr="004123B8">
        <w:rPr>
          <w:rFonts w:ascii="ITC Avant Garde" w:hAnsi="ITC Avant Garde"/>
          <w:shd w:val="clear" w:color="auto" w:fill="FFFFFF"/>
        </w:rPr>
        <w:t>ron</w:t>
      </w:r>
      <w:r w:rsidRPr="004123B8">
        <w:rPr>
          <w:rFonts w:ascii="ITC Avant Garde" w:hAnsi="ITC Avant Garde"/>
          <w:shd w:val="clear" w:color="auto" w:fill="FFFFFF"/>
        </w:rPr>
        <w:t xml:space="preserve"> los señalados </w:t>
      </w:r>
      <w:r w:rsidR="009E1623" w:rsidRPr="004123B8">
        <w:rPr>
          <w:rFonts w:ascii="ITC Avant Garde" w:hAnsi="ITC Avant Garde"/>
          <w:shd w:val="clear" w:color="auto" w:fill="FFFFFF"/>
        </w:rPr>
        <w:t xml:space="preserve">en </w:t>
      </w:r>
      <w:r w:rsidRPr="004123B8">
        <w:rPr>
          <w:rFonts w:ascii="ITC Avant Garde" w:eastAsia="Times New Roman" w:hAnsi="ITC Avant Garde"/>
          <w:bCs/>
          <w:color w:val="000000"/>
          <w:lang w:eastAsia="es-MX"/>
        </w:rPr>
        <w:t>Boulevard de los Virreyes Número 145, Segundo Piso, Colonia Lomas de Chapultepec, Código Postal</w:t>
      </w:r>
      <w:r w:rsidRPr="004123B8" w:rsidDel="00A215A2">
        <w:rPr>
          <w:rFonts w:ascii="ITC Avant Garde" w:eastAsia="Times New Roman" w:hAnsi="ITC Avant Garde"/>
          <w:bCs/>
          <w:color w:val="000000"/>
          <w:lang w:eastAsia="es-MX"/>
        </w:rPr>
        <w:t xml:space="preserve"> </w:t>
      </w:r>
      <w:r w:rsidRPr="004123B8">
        <w:rPr>
          <w:rFonts w:ascii="ITC Avant Garde" w:eastAsia="Times New Roman" w:hAnsi="ITC Avant Garde"/>
          <w:bCs/>
          <w:color w:val="000000"/>
          <w:lang w:eastAsia="es-MX"/>
        </w:rPr>
        <w:t>11000, México, Distrito Federal (actualmente Ciudad de México) y</w:t>
      </w:r>
      <w:r w:rsidR="009E1623" w:rsidRPr="004123B8">
        <w:rPr>
          <w:rFonts w:ascii="ITC Avant Garde" w:eastAsia="Times New Roman" w:hAnsi="ITC Avant Garde"/>
          <w:bCs/>
          <w:color w:val="000000"/>
          <w:lang w:eastAsia="es-MX"/>
        </w:rPr>
        <w:t xml:space="preserve"> el ubicado en</w:t>
      </w:r>
      <w:r w:rsidRPr="004123B8">
        <w:rPr>
          <w:rFonts w:ascii="ITC Avant Garde" w:eastAsia="Times New Roman" w:hAnsi="ITC Avant Garde"/>
          <w:bCs/>
          <w:color w:val="000000"/>
          <w:lang w:eastAsia="es-MX"/>
        </w:rPr>
        <w:t xml:space="preserve"> </w:t>
      </w:r>
      <w:r w:rsidR="0020796D" w:rsidRPr="004123B8">
        <w:rPr>
          <w:rFonts w:ascii="ITC Avant Garde" w:eastAsia="Times New Roman" w:hAnsi="ITC Avant Garde"/>
          <w:bCs/>
          <w:color w:val="000000"/>
          <w:lang w:eastAsia="es-MX"/>
        </w:rPr>
        <w:t>Avenida 5 de Febrero, Número 1311, Colonia Nuevo Carrillo Puerto, Código Postal 76138, Santiago de Querétaro, Querétaro</w:t>
      </w:r>
      <w:r w:rsidRPr="004123B8">
        <w:rPr>
          <w:rFonts w:ascii="ITC Avant Garde" w:eastAsia="Times New Roman" w:hAnsi="ITC Avant Garde"/>
          <w:bCs/>
          <w:color w:val="000000"/>
          <w:lang w:eastAsia="es-MX"/>
        </w:rPr>
        <w:t>.</w:t>
      </w:r>
    </w:p>
    <w:p w14:paraId="6EB26D44" w14:textId="3F34EFB9" w:rsidR="00E2222D" w:rsidRDefault="005E0869" w:rsidP="00907F25">
      <w:pPr>
        <w:pStyle w:val="Listavistosa-nfasis11"/>
        <w:numPr>
          <w:ilvl w:val="0"/>
          <w:numId w:val="35"/>
        </w:numPr>
        <w:spacing w:after="240" w:line="360" w:lineRule="auto"/>
        <w:ind w:left="567" w:hanging="567"/>
        <w:jc w:val="both"/>
        <w:rPr>
          <w:rFonts w:ascii="ITC Avant Garde" w:hAnsi="ITC Avant Garde"/>
          <w:b/>
          <w:shd w:val="clear" w:color="auto" w:fill="FFFFFF"/>
        </w:rPr>
      </w:pPr>
      <w:r w:rsidRPr="004123B8">
        <w:rPr>
          <w:rFonts w:ascii="ITC Avant Garde" w:hAnsi="ITC Avant Garde"/>
          <w:b/>
          <w:shd w:val="clear" w:color="auto" w:fill="FFFFFF"/>
        </w:rPr>
        <w:t>La fecha en la que se iniciaría la visita</w:t>
      </w:r>
      <w:r w:rsidRPr="004123B8">
        <w:rPr>
          <w:rFonts w:ascii="ITC Avant Garde" w:hAnsi="ITC Avant Garde"/>
          <w:shd w:val="clear" w:color="auto" w:fill="FFFFFF"/>
        </w:rPr>
        <w:t xml:space="preserve">, al respecto se advierte que la orden de verificación en cuestión fue recibida el </w:t>
      </w:r>
      <w:r w:rsidR="0020796D" w:rsidRPr="004123B8">
        <w:rPr>
          <w:rFonts w:ascii="ITC Avant Garde" w:hAnsi="ITC Avant Garde"/>
          <w:shd w:val="clear" w:color="auto" w:fill="FFFFFF"/>
        </w:rPr>
        <w:t>siete de diciembre</w:t>
      </w:r>
      <w:r w:rsidRPr="004123B8">
        <w:rPr>
          <w:rFonts w:ascii="ITC Avant Garde" w:hAnsi="ITC Avant Garde"/>
          <w:shd w:val="clear" w:color="auto" w:fill="FFFFFF"/>
        </w:rPr>
        <w:t xml:space="preserve"> de dos mil quince por la C. </w:t>
      </w:r>
      <w:r w:rsidR="000F358F">
        <w:rPr>
          <w:rFonts w:ascii="ITC Avant Garde" w:hAnsi="ITC Avant Garde"/>
          <w:b/>
          <w:bCs/>
          <w:color w:val="0000FF"/>
        </w:rPr>
        <w:t>“CONFIDENCIAL POR LEY”</w:t>
      </w:r>
      <w:r w:rsidRPr="004123B8">
        <w:rPr>
          <w:rFonts w:ascii="ITC Avant Garde" w:hAnsi="ITC Avant Garde"/>
          <w:shd w:val="clear" w:color="auto" w:fill="FFFFFF"/>
        </w:rPr>
        <w:t xml:space="preserve">, previo citatorio del día </w:t>
      </w:r>
      <w:r w:rsidR="0020796D" w:rsidRPr="004123B8">
        <w:rPr>
          <w:rFonts w:ascii="ITC Avant Garde" w:hAnsi="ITC Avant Garde"/>
          <w:shd w:val="clear" w:color="auto" w:fill="FFFFFF"/>
        </w:rPr>
        <w:t>cuatro</w:t>
      </w:r>
      <w:r w:rsidRPr="004123B8">
        <w:rPr>
          <w:rFonts w:ascii="ITC Avant Garde" w:hAnsi="ITC Avant Garde"/>
          <w:shd w:val="clear" w:color="auto" w:fill="FFFFFF"/>
        </w:rPr>
        <w:t xml:space="preserve"> de ese mes y año.</w:t>
      </w:r>
    </w:p>
    <w:p w14:paraId="566FF31A" w14:textId="77777777" w:rsidR="00E2222D" w:rsidRDefault="005E0869" w:rsidP="00907F25">
      <w:pPr>
        <w:pStyle w:val="Listavistosa-nfasis11"/>
        <w:numPr>
          <w:ilvl w:val="0"/>
          <w:numId w:val="35"/>
        </w:numPr>
        <w:spacing w:after="240" w:line="360" w:lineRule="auto"/>
        <w:jc w:val="both"/>
        <w:rPr>
          <w:rFonts w:ascii="ITC Avant Garde" w:hAnsi="ITC Avant Garde"/>
          <w:b/>
          <w:shd w:val="clear" w:color="auto" w:fill="FFFFFF"/>
        </w:rPr>
      </w:pPr>
      <w:r w:rsidRPr="004123B8">
        <w:rPr>
          <w:rFonts w:ascii="ITC Avant Garde" w:hAnsi="ITC Avant Garde"/>
          <w:b/>
          <w:shd w:val="clear" w:color="auto" w:fill="FFFFFF"/>
        </w:rPr>
        <w:t>En cuanto a las circunstancias de tiempo y lugar</w:t>
      </w:r>
      <w:r w:rsidRPr="004123B8">
        <w:rPr>
          <w:rFonts w:ascii="ITC Avant Garde" w:hAnsi="ITC Avant Garde"/>
          <w:shd w:val="clear" w:color="auto" w:fill="FFFFFF"/>
        </w:rPr>
        <w:t xml:space="preserve">, se advierte que la visita tendría por objeto verificar el cumplimiento de </w:t>
      </w:r>
      <w:r w:rsidR="001E197B" w:rsidRPr="004123B8">
        <w:rPr>
          <w:rFonts w:ascii="ITC Avant Garde" w:hAnsi="ITC Avant Garde"/>
          <w:shd w:val="clear" w:color="auto" w:fill="FFFFFF"/>
        </w:rPr>
        <w:t xml:space="preserve">diversas </w:t>
      </w:r>
      <w:r w:rsidRPr="004123B8">
        <w:rPr>
          <w:rFonts w:ascii="ITC Avant Garde" w:hAnsi="ITC Avant Garde"/>
          <w:shd w:val="clear" w:color="auto" w:fill="FFFFFF"/>
        </w:rPr>
        <w:t xml:space="preserve">obligaciones </w:t>
      </w:r>
      <w:r w:rsidR="001E197B" w:rsidRPr="004123B8">
        <w:rPr>
          <w:rFonts w:ascii="ITC Avant Garde" w:hAnsi="ITC Avant Garde"/>
          <w:shd w:val="clear" w:color="auto" w:fill="FFFFFF"/>
        </w:rPr>
        <w:t xml:space="preserve">del concesionario </w:t>
      </w:r>
      <w:r w:rsidR="0048408C" w:rsidRPr="004123B8">
        <w:rPr>
          <w:rFonts w:ascii="ITC Avant Garde" w:hAnsi="ITC Avant Garde"/>
          <w:shd w:val="clear" w:color="auto" w:fill="FFFFFF"/>
        </w:rPr>
        <w:t xml:space="preserve">en </w:t>
      </w:r>
      <w:r w:rsidR="005F5DBC" w:rsidRPr="004123B8">
        <w:rPr>
          <w:rFonts w:ascii="ITC Avant Garde" w:hAnsi="ITC Avant Garde"/>
        </w:rPr>
        <w:t>e</w:t>
      </w:r>
      <w:r w:rsidR="00A13B90">
        <w:rPr>
          <w:rFonts w:ascii="ITC Avant Garde" w:hAnsi="ITC Avant Garde"/>
        </w:rPr>
        <w:t>l Estado de</w:t>
      </w:r>
      <w:r w:rsidR="005F5DBC" w:rsidRPr="004123B8">
        <w:rPr>
          <w:rFonts w:ascii="ITC Avant Garde" w:hAnsi="ITC Avant Garde"/>
        </w:rPr>
        <w:t xml:space="preserve"> Querétaro</w:t>
      </w:r>
      <w:r w:rsidR="0048408C" w:rsidRPr="004123B8">
        <w:rPr>
          <w:rFonts w:ascii="ITC Avant Garde" w:hAnsi="ITC Avant Garde"/>
          <w:shd w:val="clear" w:color="auto" w:fill="FFFFFF"/>
        </w:rPr>
        <w:t>.</w:t>
      </w:r>
      <w:r w:rsidR="001E197B" w:rsidRPr="004123B8">
        <w:rPr>
          <w:rFonts w:ascii="ITC Avant Garde" w:hAnsi="ITC Avant Garde"/>
          <w:shd w:val="clear" w:color="auto" w:fill="FFFFFF"/>
        </w:rPr>
        <w:t xml:space="preserve"> Cabe señalar que la visita se ordenó realizarla en la Ciudad de México y en la </w:t>
      </w:r>
      <w:r w:rsidR="005D7622">
        <w:rPr>
          <w:rFonts w:ascii="ITC Avant Garde" w:hAnsi="ITC Avant Garde"/>
          <w:shd w:val="clear" w:color="auto" w:fill="FFFFFF"/>
        </w:rPr>
        <w:t>población</w:t>
      </w:r>
      <w:r w:rsidR="005D7622" w:rsidRPr="004123B8">
        <w:rPr>
          <w:rFonts w:ascii="ITC Avant Garde" w:hAnsi="ITC Avant Garde"/>
          <w:shd w:val="clear" w:color="auto" w:fill="FFFFFF"/>
        </w:rPr>
        <w:t xml:space="preserve"> </w:t>
      </w:r>
      <w:r w:rsidR="001E197B" w:rsidRPr="004123B8">
        <w:rPr>
          <w:rFonts w:ascii="ITC Avant Garde" w:hAnsi="ITC Avant Garde"/>
          <w:shd w:val="clear" w:color="auto" w:fill="FFFFFF"/>
        </w:rPr>
        <w:t xml:space="preserve">de </w:t>
      </w:r>
      <w:r w:rsidR="005F5DBC" w:rsidRPr="004123B8">
        <w:rPr>
          <w:rFonts w:ascii="ITC Avant Garde" w:hAnsi="ITC Avant Garde"/>
          <w:shd w:val="clear" w:color="auto" w:fill="FFFFFF"/>
        </w:rPr>
        <w:t>Santiago de Querétaro, Querétaro</w:t>
      </w:r>
      <w:r w:rsidR="001E197B" w:rsidRPr="004123B8">
        <w:rPr>
          <w:rFonts w:ascii="ITC Avant Garde" w:hAnsi="ITC Avant Garde"/>
          <w:shd w:val="clear" w:color="auto" w:fill="FFFFFF"/>
        </w:rPr>
        <w:t>, que es dónde se ubica el centro de recepción y control de la concesionaria.</w:t>
      </w:r>
    </w:p>
    <w:p w14:paraId="3D0D991E" w14:textId="77777777" w:rsidR="00E2222D" w:rsidRDefault="0048408C" w:rsidP="00907F25">
      <w:pPr>
        <w:pStyle w:val="Listavistosa-nfasis11"/>
        <w:spacing w:after="240" w:line="360" w:lineRule="auto"/>
        <w:ind w:left="567"/>
        <w:jc w:val="both"/>
        <w:rPr>
          <w:rFonts w:ascii="ITC Avant Garde" w:hAnsi="ITC Avant Garde"/>
          <w:shd w:val="clear" w:color="auto" w:fill="FFFFFF"/>
        </w:rPr>
      </w:pPr>
      <w:r w:rsidRPr="004123B8">
        <w:rPr>
          <w:rFonts w:ascii="ITC Avant Garde" w:hAnsi="ITC Avant Garde"/>
          <w:shd w:val="clear" w:color="auto" w:fill="FFFFFF"/>
        </w:rPr>
        <w:t xml:space="preserve">Dicha comisión, fue otorgada en términos de los artículos 30 y 62 de la </w:t>
      </w:r>
      <w:r w:rsidR="005F5DBC" w:rsidRPr="004123B8">
        <w:rPr>
          <w:rFonts w:ascii="ITC Avant Garde" w:hAnsi="ITC Avant Garde"/>
          <w:b/>
          <w:shd w:val="clear" w:color="auto" w:fill="FFFFFF"/>
        </w:rPr>
        <w:t>LFPA</w:t>
      </w:r>
      <w:r w:rsidRPr="004123B8">
        <w:rPr>
          <w:rFonts w:ascii="ITC Avant Garde" w:hAnsi="ITC Avant Garde"/>
          <w:b/>
          <w:shd w:val="clear" w:color="auto" w:fill="FFFFFF"/>
        </w:rPr>
        <w:t xml:space="preserve"> </w:t>
      </w:r>
      <w:r w:rsidRPr="004123B8">
        <w:rPr>
          <w:rFonts w:ascii="ITC Avant Garde" w:hAnsi="ITC Avant Garde"/>
          <w:shd w:val="clear" w:color="auto" w:fill="FFFFFF"/>
        </w:rPr>
        <w:t>dónde se habilitó a los verificadores comisionados para que la diligencia ordenada se continuara inclusive en días y horas inhábiles.</w:t>
      </w:r>
    </w:p>
    <w:p w14:paraId="063CC6B0" w14:textId="77777777" w:rsidR="0083511C" w:rsidRDefault="0048408C" w:rsidP="00907F25">
      <w:pPr>
        <w:spacing w:after="240" w:line="360" w:lineRule="auto"/>
        <w:jc w:val="both"/>
        <w:rPr>
          <w:rFonts w:ascii="ITC Avant Garde" w:hAnsi="ITC Avant Garde"/>
          <w:shd w:val="clear" w:color="auto" w:fill="FFFFFF"/>
        </w:rPr>
        <w:sectPr w:rsidR="0083511C" w:rsidSect="00802C6F">
          <w:headerReference w:type="default" r:id="rId42"/>
          <w:pgSz w:w="12240" w:h="15840"/>
          <w:pgMar w:top="2126" w:right="1325" w:bottom="1701" w:left="1701" w:header="709" w:footer="962" w:gutter="0"/>
          <w:cols w:space="708"/>
          <w:docGrid w:linePitch="360"/>
        </w:sectPr>
      </w:pPr>
      <w:r w:rsidRPr="004123B8">
        <w:rPr>
          <w:rFonts w:ascii="ITC Avant Garde" w:hAnsi="ITC Avant Garde"/>
          <w:shd w:val="clear" w:color="auto" w:fill="FFFFFF"/>
        </w:rPr>
        <w:t xml:space="preserve">Asimismo, se apercibió a la visitada en términos del artículo 296, fracción I de la </w:t>
      </w:r>
      <w:r w:rsidR="00250345">
        <w:rPr>
          <w:rFonts w:ascii="ITC Avant Garde" w:hAnsi="ITC Avant Garde"/>
          <w:b/>
          <w:shd w:val="clear" w:color="auto" w:fill="FFFFFF"/>
        </w:rPr>
        <w:t>LFTR</w:t>
      </w:r>
      <w:r w:rsidRPr="004123B8">
        <w:rPr>
          <w:rFonts w:ascii="ITC Avant Garde" w:hAnsi="ITC Avant Garde"/>
          <w:b/>
          <w:shd w:val="clear" w:color="auto" w:fill="FFFFFF"/>
        </w:rPr>
        <w:t xml:space="preserve"> </w:t>
      </w:r>
      <w:r w:rsidRPr="004123B8">
        <w:rPr>
          <w:rFonts w:ascii="ITC Avant Garde" w:hAnsi="ITC Avant Garde"/>
          <w:shd w:val="clear" w:color="auto" w:fill="FFFFFF"/>
        </w:rPr>
        <w:t xml:space="preserve">con multa de 100 a 200 días de salario mínimo vigente en el Distrito Federal y multa adicional de acuerdo en lo previsto en la fracción II de ese numeral por cada día que </w:t>
      </w:r>
    </w:p>
    <w:p w14:paraId="20B5C50A" w14:textId="69CA055E" w:rsidR="00E2222D" w:rsidRDefault="0048408C" w:rsidP="00907F25">
      <w:pPr>
        <w:spacing w:after="240" w:line="360" w:lineRule="auto"/>
        <w:jc w:val="both"/>
        <w:rPr>
          <w:rFonts w:ascii="ITC Avant Garde" w:hAnsi="ITC Avant Garde"/>
          <w:shd w:val="clear" w:color="auto" w:fill="FFFFFF"/>
        </w:rPr>
      </w:pPr>
      <w:r w:rsidRPr="004123B8">
        <w:rPr>
          <w:rFonts w:ascii="ITC Avant Garde" w:hAnsi="ITC Avant Garde"/>
          <w:shd w:val="clear" w:color="auto" w:fill="FFFFFF"/>
        </w:rPr>
        <w:lastRenderedPageBreak/>
        <w:t>no permitiera el acceso a sus instalaciones y no se otorgaran las facilidades necesarias para llevar a cabo la verificación respectiva.</w:t>
      </w:r>
    </w:p>
    <w:p w14:paraId="66C35A0A" w14:textId="77777777" w:rsidR="00E2222D" w:rsidRDefault="0048408C" w:rsidP="00907F25">
      <w:pPr>
        <w:spacing w:after="240" w:line="360" w:lineRule="auto"/>
        <w:jc w:val="both"/>
        <w:rPr>
          <w:rFonts w:ascii="ITC Avant Garde" w:hAnsi="ITC Avant Garde"/>
          <w:shd w:val="clear" w:color="auto" w:fill="FFFFFF"/>
        </w:rPr>
      </w:pPr>
      <w:r w:rsidRPr="004123B8">
        <w:rPr>
          <w:rFonts w:ascii="ITC Avant Garde" w:hAnsi="ITC Avant Garde"/>
          <w:shd w:val="clear" w:color="auto" w:fill="FFFFFF"/>
        </w:rPr>
        <w:t xml:space="preserve">En </w:t>
      </w:r>
      <w:r w:rsidR="004C48BC" w:rsidRPr="004123B8">
        <w:rPr>
          <w:rFonts w:ascii="ITC Avant Garde" w:hAnsi="ITC Avant Garde"/>
          <w:shd w:val="clear" w:color="auto" w:fill="FFFFFF"/>
        </w:rPr>
        <w:t>tal virtud</w:t>
      </w:r>
      <w:r w:rsidRPr="004123B8">
        <w:rPr>
          <w:rFonts w:ascii="ITC Avant Garde" w:hAnsi="ITC Avant Garde"/>
          <w:shd w:val="clear" w:color="auto" w:fill="FFFFFF"/>
        </w:rPr>
        <w:t xml:space="preserve">, </w:t>
      </w:r>
      <w:r w:rsidR="004C48BC" w:rsidRPr="004123B8">
        <w:rPr>
          <w:rFonts w:ascii="ITC Avant Garde" w:hAnsi="ITC Avant Garde"/>
          <w:shd w:val="clear" w:color="auto" w:fill="FFFFFF"/>
        </w:rPr>
        <w:t>toda vez que dichas consideraciones fueron mencionadas el acuerdo de inicio de procedimiento sancionatorio de veintinueve de abril de dos mil dieciséis</w:t>
      </w:r>
      <w:r w:rsidR="001E197B" w:rsidRPr="004123B8">
        <w:rPr>
          <w:rFonts w:ascii="ITC Avant Garde" w:hAnsi="ITC Avant Garde"/>
          <w:shd w:val="clear" w:color="auto" w:fill="FFFFFF"/>
        </w:rPr>
        <w:t>,</w:t>
      </w:r>
      <w:r w:rsidRPr="004123B8">
        <w:rPr>
          <w:rFonts w:ascii="ITC Avant Garde" w:hAnsi="ITC Avant Garde"/>
          <w:shd w:val="clear" w:color="auto" w:fill="FFFFFF"/>
        </w:rPr>
        <w:t xml:space="preserve"> </w:t>
      </w:r>
      <w:r w:rsidR="004C48BC" w:rsidRPr="004123B8">
        <w:rPr>
          <w:rFonts w:ascii="ITC Avant Garde" w:hAnsi="ITC Avant Garde"/>
          <w:shd w:val="clear" w:color="auto" w:fill="FFFFFF"/>
        </w:rPr>
        <w:t xml:space="preserve">es dable concluir que </w:t>
      </w:r>
      <w:r w:rsidRPr="004123B8">
        <w:rPr>
          <w:rFonts w:ascii="ITC Avant Garde" w:hAnsi="ITC Avant Garde"/>
          <w:shd w:val="clear" w:color="auto" w:fill="FFFFFF"/>
        </w:rPr>
        <w:t xml:space="preserve">contrario de lo señalado por </w:t>
      </w:r>
      <w:r w:rsidR="005F5DBC" w:rsidRPr="004123B8">
        <w:rPr>
          <w:rFonts w:ascii="ITC Avant Garde" w:hAnsi="ITC Avant Garde"/>
          <w:b/>
          <w:shd w:val="clear" w:color="auto" w:fill="FFFFFF"/>
        </w:rPr>
        <w:t>MEGA CABLE</w:t>
      </w:r>
      <w:r w:rsidR="001E197B" w:rsidRPr="004123B8">
        <w:rPr>
          <w:rFonts w:ascii="ITC Avant Garde" w:hAnsi="ITC Avant Garde"/>
          <w:b/>
          <w:shd w:val="clear" w:color="auto" w:fill="FFFFFF"/>
        </w:rPr>
        <w:t>,</w:t>
      </w:r>
      <w:r w:rsidRPr="004123B8">
        <w:rPr>
          <w:rFonts w:ascii="ITC Avant Garde" w:hAnsi="ITC Avant Garde"/>
          <w:shd w:val="clear" w:color="auto" w:fill="FFFFFF"/>
        </w:rPr>
        <w:t xml:space="preserve"> </w:t>
      </w:r>
      <w:r w:rsidR="008F7735" w:rsidRPr="004123B8">
        <w:rPr>
          <w:rFonts w:ascii="ITC Avant Garde" w:hAnsi="ITC Avant Garde"/>
          <w:shd w:val="clear" w:color="auto" w:fill="FFFFFF"/>
        </w:rPr>
        <w:t xml:space="preserve">el mismo </w:t>
      </w:r>
      <w:r w:rsidRPr="004123B8">
        <w:rPr>
          <w:rFonts w:ascii="ITC Avant Garde" w:hAnsi="ITC Avant Garde"/>
          <w:shd w:val="clear" w:color="auto" w:fill="FFFFFF"/>
        </w:rPr>
        <w:t xml:space="preserve">si cumplió con los requisitos a que se refiere el artículo 3, fracción II, de la </w:t>
      </w:r>
      <w:r w:rsidR="003204CE" w:rsidRPr="004123B8">
        <w:rPr>
          <w:rFonts w:ascii="ITC Avant Garde" w:hAnsi="ITC Avant Garde"/>
          <w:b/>
          <w:shd w:val="clear" w:color="auto" w:fill="FFFFFF"/>
        </w:rPr>
        <w:t>LFPA</w:t>
      </w:r>
      <w:r w:rsidRPr="004123B8">
        <w:rPr>
          <w:rFonts w:ascii="ITC Avant Garde" w:hAnsi="ITC Avant Garde"/>
          <w:shd w:val="clear" w:color="auto" w:fill="FFFFFF"/>
        </w:rPr>
        <w:t xml:space="preserve">, así como con lo señalado por el Poder Judicial de la Federación en la tesis antes </w:t>
      </w:r>
      <w:r w:rsidR="005F3318" w:rsidRPr="004123B8">
        <w:rPr>
          <w:rFonts w:ascii="ITC Avant Garde" w:hAnsi="ITC Avant Garde"/>
          <w:shd w:val="clear" w:color="auto" w:fill="FFFFFF"/>
        </w:rPr>
        <w:t>citada</w:t>
      </w:r>
      <w:r w:rsidR="00B05E91" w:rsidRPr="004123B8">
        <w:rPr>
          <w:rFonts w:ascii="ITC Avant Garde" w:hAnsi="ITC Avant Garde"/>
          <w:shd w:val="clear" w:color="auto" w:fill="FFFFFF"/>
        </w:rPr>
        <w:t>.</w:t>
      </w:r>
    </w:p>
    <w:p w14:paraId="24107C93" w14:textId="77777777" w:rsidR="00E2222D" w:rsidRDefault="004C48BC" w:rsidP="00907F25">
      <w:pPr>
        <w:spacing w:after="240" w:line="360" w:lineRule="auto"/>
        <w:jc w:val="both"/>
        <w:rPr>
          <w:rFonts w:ascii="ITC Avant Garde" w:hAnsi="ITC Avant Garde"/>
          <w:shd w:val="clear" w:color="auto" w:fill="FFFFFF"/>
        </w:rPr>
      </w:pPr>
      <w:r w:rsidRPr="004123B8">
        <w:rPr>
          <w:rFonts w:ascii="ITC Avant Garde" w:hAnsi="ITC Avant Garde"/>
          <w:shd w:val="clear" w:color="auto" w:fill="FFFFFF"/>
        </w:rPr>
        <w:t xml:space="preserve">Por lo anterior, </w:t>
      </w:r>
      <w:r w:rsidR="00B05E91" w:rsidRPr="004123B8">
        <w:rPr>
          <w:rFonts w:ascii="ITC Avant Garde" w:hAnsi="ITC Avant Garde"/>
          <w:shd w:val="clear" w:color="auto" w:fill="FFFFFF"/>
        </w:rPr>
        <w:t xml:space="preserve">reiterando </w:t>
      </w:r>
      <w:r w:rsidR="008F7735" w:rsidRPr="004123B8">
        <w:rPr>
          <w:rFonts w:ascii="ITC Avant Garde" w:hAnsi="ITC Avant Garde"/>
          <w:shd w:val="clear" w:color="auto" w:fill="FFFFFF"/>
        </w:rPr>
        <w:t>que</w:t>
      </w:r>
      <w:r w:rsidR="008F7735" w:rsidRPr="004123B8">
        <w:rPr>
          <w:rFonts w:ascii="ITC Avant Garde" w:hAnsi="ITC Avant Garde"/>
          <w:color w:val="000000"/>
        </w:rPr>
        <w:t xml:space="preserve"> el acuerdo de inicio de procedimiento sancionatorio es la resolución final del procedimiento de verificación el cual se deriv</w:t>
      </w:r>
      <w:r w:rsidR="00B05E91" w:rsidRPr="004123B8">
        <w:rPr>
          <w:rFonts w:ascii="ITC Avant Garde" w:hAnsi="ITC Avant Garde"/>
          <w:color w:val="000000"/>
        </w:rPr>
        <w:t>ó</w:t>
      </w:r>
      <w:r w:rsidR="008F7735" w:rsidRPr="004123B8">
        <w:rPr>
          <w:rFonts w:ascii="ITC Avant Garde" w:hAnsi="ITC Avant Garde"/>
          <w:color w:val="000000"/>
        </w:rPr>
        <w:t xml:space="preserve"> de la orden de verificación </w:t>
      </w:r>
      <w:r w:rsidR="008F7735" w:rsidRPr="004123B8">
        <w:rPr>
          <w:rFonts w:ascii="ITC Avant Garde" w:hAnsi="ITC Avant Garde"/>
          <w:b/>
          <w:shd w:val="clear" w:color="auto" w:fill="FFFFFF"/>
        </w:rPr>
        <w:t>IFT/225/UC/DG-VER/5395/2015</w:t>
      </w:r>
      <w:r w:rsidRPr="004123B8">
        <w:rPr>
          <w:rFonts w:ascii="ITC Avant Garde" w:hAnsi="ITC Avant Garde"/>
          <w:shd w:val="clear" w:color="auto" w:fill="FFFFFF"/>
        </w:rPr>
        <w:t xml:space="preserve">, </w:t>
      </w:r>
      <w:r w:rsidR="008F7735" w:rsidRPr="004123B8">
        <w:rPr>
          <w:rFonts w:ascii="ITC Avant Garde" w:hAnsi="ITC Avant Garde"/>
          <w:shd w:val="clear" w:color="auto" w:fill="FFFFFF"/>
        </w:rPr>
        <w:t xml:space="preserve">es claro que </w:t>
      </w:r>
      <w:r w:rsidR="0048408C" w:rsidRPr="004123B8">
        <w:rPr>
          <w:rFonts w:ascii="ITC Avant Garde" w:hAnsi="ITC Avant Garde"/>
          <w:shd w:val="clear" w:color="auto" w:fill="FFFFFF"/>
        </w:rPr>
        <w:t>s</w:t>
      </w:r>
      <w:r w:rsidR="00E20900">
        <w:rPr>
          <w:rFonts w:ascii="ITC Avant Garde" w:hAnsi="ITC Avant Garde"/>
          <w:shd w:val="clear" w:color="auto" w:fill="FFFFFF"/>
        </w:rPr>
        <w:t>í</w:t>
      </w:r>
      <w:r w:rsidR="0048408C" w:rsidRPr="004123B8">
        <w:rPr>
          <w:rFonts w:ascii="ITC Avant Garde" w:hAnsi="ITC Avant Garde"/>
          <w:shd w:val="clear" w:color="auto" w:fill="FFFFFF"/>
        </w:rPr>
        <w:t xml:space="preserve"> </w:t>
      </w:r>
      <w:r w:rsidRPr="004123B8">
        <w:rPr>
          <w:rFonts w:ascii="ITC Avant Garde" w:hAnsi="ITC Avant Garde"/>
          <w:shd w:val="clear" w:color="auto" w:fill="FFFFFF"/>
        </w:rPr>
        <w:t xml:space="preserve">se </w:t>
      </w:r>
      <w:r w:rsidR="0048408C" w:rsidRPr="004123B8">
        <w:rPr>
          <w:rFonts w:ascii="ITC Avant Garde" w:hAnsi="ITC Avant Garde"/>
          <w:shd w:val="clear" w:color="auto" w:fill="FFFFFF"/>
        </w:rPr>
        <w:t>proporcion</w:t>
      </w:r>
      <w:r w:rsidRPr="004123B8">
        <w:rPr>
          <w:rFonts w:ascii="ITC Avant Garde" w:hAnsi="ITC Avant Garde"/>
          <w:shd w:val="clear" w:color="auto" w:fill="FFFFFF"/>
        </w:rPr>
        <w:t>aron</w:t>
      </w:r>
      <w:r w:rsidR="0048408C" w:rsidRPr="004123B8">
        <w:rPr>
          <w:rFonts w:ascii="ITC Avant Garde" w:hAnsi="ITC Avant Garde"/>
          <w:shd w:val="clear" w:color="auto" w:fill="FFFFFF"/>
        </w:rPr>
        <w:t xml:space="preserve"> los elementos suficientes que permitían al visitado conocer el objeto de la misma, el lugar dónde habría que realizarse, las zonas de cobertura a verificar y las circunstancias de tiempo y lugar en la cual habría que desarrollarse la visita, de lo que se sigue que no existe violación alguna en la que se le haya dejado en estado de indefensión o inseguridad jurídica en atención a que los requisitos de Ley fueron satisfechos en su totalidad y los cuales fueron del conocimiento de la visita</w:t>
      </w:r>
      <w:r w:rsidR="005F3318" w:rsidRPr="004123B8">
        <w:rPr>
          <w:rFonts w:ascii="ITC Avant Garde" w:hAnsi="ITC Avant Garde"/>
          <w:shd w:val="clear" w:color="auto" w:fill="FFFFFF"/>
        </w:rPr>
        <w:t>da</w:t>
      </w:r>
      <w:r w:rsidR="0048408C" w:rsidRPr="004123B8">
        <w:rPr>
          <w:rFonts w:ascii="ITC Avant Garde" w:hAnsi="ITC Avant Garde"/>
          <w:shd w:val="clear" w:color="auto" w:fill="FFFFFF"/>
        </w:rPr>
        <w:t xml:space="preserve"> en todo momento, de lo que se sigue que su argumento hasta aquí resulta </w:t>
      </w:r>
      <w:r w:rsidR="0048408C" w:rsidRPr="004123B8">
        <w:rPr>
          <w:rFonts w:ascii="ITC Avant Garde" w:hAnsi="ITC Avant Garde"/>
          <w:b/>
          <w:u w:val="single"/>
          <w:shd w:val="clear" w:color="auto" w:fill="FFFFFF"/>
        </w:rPr>
        <w:t>infundado</w:t>
      </w:r>
      <w:r w:rsidR="0048408C" w:rsidRPr="004123B8">
        <w:rPr>
          <w:rFonts w:ascii="ITC Avant Garde" w:hAnsi="ITC Avant Garde"/>
          <w:shd w:val="clear" w:color="auto" w:fill="FFFFFF"/>
        </w:rPr>
        <w:t>.</w:t>
      </w:r>
    </w:p>
    <w:p w14:paraId="1F63F1B9" w14:textId="77777777" w:rsidR="00E2222D" w:rsidRDefault="004123B8" w:rsidP="00907F25">
      <w:pPr>
        <w:spacing w:after="240" w:line="360" w:lineRule="auto"/>
        <w:jc w:val="both"/>
        <w:rPr>
          <w:rFonts w:ascii="ITC Avant Garde" w:hAnsi="ITC Avant Garde"/>
          <w:shd w:val="clear" w:color="auto" w:fill="FFFFFF"/>
        </w:rPr>
      </w:pPr>
      <w:r>
        <w:rPr>
          <w:rFonts w:ascii="ITC Avant Garde" w:hAnsi="ITC Avant Garde"/>
          <w:color w:val="000000"/>
        </w:rPr>
        <w:t xml:space="preserve">Aunado a lo anterior, </w:t>
      </w:r>
      <w:r>
        <w:rPr>
          <w:rFonts w:ascii="ITC Avant Garde" w:hAnsi="ITC Avant Garde"/>
          <w:shd w:val="clear" w:color="auto" w:fill="FFFFFF"/>
        </w:rPr>
        <w:t>en el citado</w:t>
      </w:r>
      <w:r w:rsidRPr="004123B8">
        <w:rPr>
          <w:rFonts w:ascii="ITC Avant Garde" w:hAnsi="ITC Avant Garde"/>
          <w:shd w:val="clear" w:color="auto" w:fill="FFFFFF"/>
        </w:rPr>
        <w:t xml:space="preserve"> acuerdo de inicio de procedimiento sancionatorio de veintinueve de abril de </w:t>
      </w:r>
      <w:r w:rsidR="00C42315" w:rsidRPr="004123B8">
        <w:rPr>
          <w:rFonts w:ascii="ITC Avant Garde" w:hAnsi="ITC Avant Garde"/>
          <w:shd w:val="clear" w:color="auto" w:fill="FFFFFF"/>
        </w:rPr>
        <w:t>dos mil dieciséis</w:t>
      </w:r>
      <w:r w:rsidRPr="004123B8">
        <w:rPr>
          <w:rFonts w:ascii="ITC Avant Garde" w:hAnsi="ITC Avant Garde"/>
          <w:shd w:val="clear" w:color="auto" w:fill="FFFFFF"/>
        </w:rPr>
        <w:t xml:space="preserve">, </w:t>
      </w:r>
      <w:r>
        <w:rPr>
          <w:rFonts w:ascii="ITC Avant Garde" w:hAnsi="ITC Avant Garde"/>
          <w:shd w:val="clear" w:color="auto" w:fill="FFFFFF"/>
        </w:rPr>
        <w:t>también se señalaron de manera pormenorizada todas aquellas circunstancias de tiempo modo y lugar que fueron asentadas en las actas de verificación respectivas, de las cuales se desprende la imputación que fue formulada, por lo que en tal sentido resulta de igual forma infundado sostener que se le dejó en estado de indefensión.</w:t>
      </w:r>
    </w:p>
    <w:p w14:paraId="37C4AEEB" w14:textId="77777777" w:rsidR="00E2222D" w:rsidRDefault="004123B8" w:rsidP="00907F25">
      <w:pPr>
        <w:spacing w:after="240" w:line="360" w:lineRule="auto"/>
        <w:jc w:val="both"/>
        <w:rPr>
          <w:rFonts w:ascii="ITC Avant Garde" w:hAnsi="ITC Avant Garde"/>
          <w:shd w:val="clear" w:color="auto" w:fill="FFFFFF"/>
        </w:rPr>
      </w:pPr>
      <w:r>
        <w:rPr>
          <w:rFonts w:ascii="ITC Avant Garde" w:hAnsi="ITC Avant Garde"/>
          <w:shd w:val="clear" w:color="auto" w:fill="FFFFFF"/>
        </w:rPr>
        <w:t>Así es, en el citado acuerdo de inicio se señaló expresamente lo siguiente:</w:t>
      </w:r>
    </w:p>
    <w:p w14:paraId="6B9DCF30" w14:textId="77777777" w:rsidR="00E2222D" w:rsidRDefault="004123B8" w:rsidP="00907F25">
      <w:pPr>
        <w:spacing w:after="240" w:line="360" w:lineRule="auto"/>
        <w:jc w:val="both"/>
        <w:rPr>
          <w:rFonts w:ascii="ITC Avant Garde" w:hAnsi="ITC Avant Garde"/>
          <w:sz w:val="20"/>
          <w:szCs w:val="20"/>
          <w:shd w:val="clear" w:color="auto" w:fill="FFFFFF"/>
        </w:rPr>
      </w:pPr>
      <w:r w:rsidRPr="004123B8">
        <w:rPr>
          <w:rFonts w:ascii="ITC Avant Garde" w:hAnsi="ITC Avant Garde"/>
          <w:sz w:val="20"/>
          <w:szCs w:val="20"/>
          <w:shd w:val="clear" w:color="auto" w:fill="FFFFFF"/>
        </w:rPr>
        <w:t>“…</w:t>
      </w:r>
    </w:p>
    <w:p w14:paraId="5EA4A58E" w14:textId="77777777" w:rsidR="00E2222D" w:rsidRDefault="004123B8" w:rsidP="00907F25">
      <w:pPr>
        <w:pStyle w:val="Prrafodelista"/>
        <w:numPr>
          <w:ilvl w:val="0"/>
          <w:numId w:val="41"/>
        </w:numPr>
        <w:spacing w:after="240" w:line="360" w:lineRule="auto"/>
        <w:jc w:val="both"/>
        <w:rPr>
          <w:rFonts w:ascii="ITC Avant Garde" w:hAnsi="ITC Avant Garde"/>
          <w:sz w:val="20"/>
          <w:szCs w:val="20"/>
        </w:rPr>
      </w:pPr>
      <w:r w:rsidRPr="004123B8">
        <w:rPr>
          <w:rFonts w:ascii="ITC Avant Garde" w:hAnsi="ITC Avant Garde" w:cs="Tahoma"/>
          <w:sz w:val="20"/>
          <w:szCs w:val="20"/>
        </w:rPr>
        <w:lastRenderedPageBreak/>
        <w:t xml:space="preserve">Dentro de la visita de inspección-verificación ordinaria </w:t>
      </w:r>
      <w:r w:rsidRPr="004123B8">
        <w:rPr>
          <w:rFonts w:ascii="ITC Avant Garde" w:hAnsi="ITC Avant Garde" w:cs="Tahoma"/>
          <w:b/>
          <w:sz w:val="20"/>
          <w:szCs w:val="20"/>
        </w:rPr>
        <w:t>No. IFT/DF/DGV/1299/2015,</w:t>
      </w:r>
      <w:r w:rsidRPr="004123B8">
        <w:rPr>
          <w:rFonts w:ascii="ITC Avant Garde" w:hAnsi="ITC Avant Garde" w:cs="Tahoma"/>
          <w:sz w:val="20"/>
          <w:szCs w:val="20"/>
        </w:rPr>
        <w:t xml:space="preserve"> </w:t>
      </w:r>
      <w:r w:rsidRPr="004123B8">
        <w:rPr>
          <w:rFonts w:ascii="ITC Avant Garde" w:eastAsia="Times New Roman" w:hAnsi="ITC Avant Garde"/>
          <w:b/>
          <w:bCs/>
          <w:sz w:val="20"/>
          <w:szCs w:val="20"/>
          <w:lang w:eastAsia="es-MX"/>
        </w:rPr>
        <w:t>LOS</w:t>
      </w:r>
      <w:r w:rsidRPr="004123B8">
        <w:rPr>
          <w:rFonts w:ascii="ITC Avant Garde" w:eastAsia="Times New Roman" w:hAnsi="ITC Avant Garde"/>
          <w:bCs/>
          <w:sz w:val="20"/>
          <w:szCs w:val="20"/>
          <w:lang w:eastAsia="es-MX"/>
        </w:rPr>
        <w:t xml:space="preserve"> </w:t>
      </w:r>
      <w:r w:rsidRPr="004123B8">
        <w:rPr>
          <w:rFonts w:ascii="ITC Avant Garde" w:eastAsia="Times New Roman" w:hAnsi="ITC Avant Garde"/>
          <w:b/>
          <w:bCs/>
          <w:sz w:val="20"/>
          <w:szCs w:val="20"/>
          <w:lang w:eastAsia="es-MX"/>
        </w:rPr>
        <w:t>VERIFICADORES</w:t>
      </w:r>
      <w:r w:rsidRPr="004123B8">
        <w:rPr>
          <w:rFonts w:ascii="ITC Avant Garde" w:hAnsi="ITC Avant Garde" w:cs="Tahoma"/>
          <w:sz w:val="20"/>
          <w:szCs w:val="20"/>
        </w:rPr>
        <w:t>, solicitaron a</w:t>
      </w:r>
      <w:r w:rsidRPr="004123B8">
        <w:rPr>
          <w:rFonts w:ascii="ITC Avant Garde" w:hAnsi="ITC Avant Garde"/>
          <w:b/>
          <w:sz w:val="20"/>
          <w:szCs w:val="20"/>
        </w:rPr>
        <w:t xml:space="preserve"> MEGA CABLE, </w:t>
      </w:r>
      <w:r w:rsidRPr="004123B8">
        <w:rPr>
          <w:rFonts w:ascii="ITC Avant Garde" w:hAnsi="ITC Avant Garde" w:cs="Tahoma"/>
          <w:sz w:val="20"/>
          <w:szCs w:val="20"/>
        </w:rPr>
        <w:t>lo siguiente:</w:t>
      </w:r>
    </w:p>
    <w:p w14:paraId="7EF89758" w14:textId="77777777" w:rsidR="00E2222D" w:rsidRDefault="004123B8" w:rsidP="00907F25">
      <w:pPr>
        <w:pStyle w:val="Prrafodelista"/>
        <w:numPr>
          <w:ilvl w:val="0"/>
          <w:numId w:val="39"/>
        </w:numPr>
        <w:spacing w:after="240" w:line="360" w:lineRule="auto"/>
        <w:jc w:val="both"/>
        <w:rPr>
          <w:rFonts w:ascii="ITC Avant Garde" w:hAnsi="ITC Avant Garde"/>
          <w:sz w:val="20"/>
          <w:szCs w:val="20"/>
        </w:rPr>
      </w:pPr>
      <w:r w:rsidRPr="004123B8">
        <w:rPr>
          <w:rFonts w:ascii="ITC Avant Garde" w:hAnsi="ITC Avant Garde"/>
          <w:sz w:val="20"/>
          <w:szCs w:val="20"/>
        </w:rPr>
        <w:t xml:space="preserve">En relación con la obligación de los concesionarios de televisión restringida de retransmitir todas las Señales Radiodifundidas de Instituciones Públicas Federales de manera gratuita y no discriminatoria, de forma íntegra y sin modificaciones, incluyendo aquella realizada a través de multiprogramación,  establecida en el </w:t>
      </w:r>
      <w:r w:rsidRPr="004123B8">
        <w:rPr>
          <w:rFonts w:ascii="ITC Avant Garde" w:hAnsi="ITC Avant Garde"/>
          <w:b/>
          <w:sz w:val="20"/>
          <w:szCs w:val="20"/>
        </w:rPr>
        <w:t>Artículo 12</w:t>
      </w:r>
      <w:r w:rsidRPr="004123B8">
        <w:rPr>
          <w:rFonts w:ascii="ITC Avant Garde" w:hAnsi="ITC Avant Garde"/>
          <w:sz w:val="20"/>
          <w:szCs w:val="20"/>
        </w:rPr>
        <w:t xml:space="preserve"> de los </w:t>
      </w:r>
      <w:r w:rsidRPr="004123B8">
        <w:rPr>
          <w:rFonts w:ascii="ITC Avant Garde" w:hAnsi="ITC Avant Garde"/>
          <w:b/>
          <w:sz w:val="20"/>
          <w:szCs w:val="20"/>
        </w:rPr>
        <w:t xml:space="preserve">LINEAMIENTOS, </w:t>
      </w:r>
      <w:r w:rsidRPr="004123B8">
        <w:rPr>
          <w:rFonts w:ascii="ITC Avant Garde" w:hAnsi="ITC Avant Garde"/>
          <w:sz w:val="20"/>
          <w:szCs w:val="20"/>
        </w:rPr>
        <w:t xml:space="preserve">sus respectivas modificaciones contenidas en el </w:t>
      </w:r>
      <w:r w:rsidRPr="004123B8">
        <w:rPr>
          <w:rFonts w:ascii="ITC Avant Garde" w:hAnsi="ITC Avant Garde"/>
          <w:b/>
          <w:sz w:val="20"/>
          <w:szCs w:val="20"/>
        </w:rPr>
        <w:t xml:space="preserve">ACUERDO MODIFICATORIO; </w:t>
      </w:r>
      <w:r w:rsidRPr="004123B8">
        <w:rPr>
          <w:rFonts w:ascii="ITC Avant Garde" w:hAnsi="ITC Avant Garde"/>
          <w:sz w:val="20"/>
          <w:szCs w:val="20"/>
        </w:rPr>
        <w:t xml:space="preserve">el </w:t>
      </w:r>
      <w:r w:rsidRPr="004123B8">
        <w:rPr>
          <w:rFonts w:ascii="ITC Avant Garde" w:hAnsi="ITC Avant Garde"/>
          <w:b/>
          <w:sz w:val="20"/>
          <w:szCs w:val="20"/>
        </w:rPr>
        <w:t xml:space="preserve">LISTADO </w:t>
      </w:r>
      <w:r w:rsidRPr="004123B8">
        <w:rPr>
          <w:rFonts w:ascii="ITC Avant Garde" w:hAnsi="ITC Avant Garde"/>
          <w:sz w:val="20"/>
          <w:szCs w:val="20"/>
        </w:rPr>
        <w:t xml:space="preserve">y sus correspondientes </w:t>
      </w:r>
      <w:r w:rsidRPr="004123B8">
        <w:rPr>
          <w:rFonts w:ascii="ITC Avant Garde" w:hAnsi="ITC Avant Garde"/>
          <w:b/>
          <w:sz w:val="20"/>
          <w:szCs w:val="20"/>
        </w:rPr>
        <w:t xml:space="preserve">ACTUALIZACIONES, </w:t>
      </w:r>
      <w:r w:rsidRPr="004123B8">
        <w:rPr>
          <w:rFonts w:ascii="ITC Avant Garde" w:hAnsi="ITC Avant Garde"/>
          <w:sz w:val="20"/>
          <w:szCs w:val="20"/>
        </w:rPr>
        <w:t xml:space="preserve">se solicitó a </w:t>
      </w:r>
      <w:r w:rsidRPr="004123B8">
        <w:rPr>
          <w:rFonts w:ascii="ITC Avant Garde" w:hAnsi="ITC Avant Garde"/>
          <w:b/>
          <w:sz w:val="20"/>
          <w:szCs w:val="20"/>
        </w:rPr>
        <w:t>MEGA CABLE</w:t>
      </w:r>
      <w:r w:rsidRPr="004123B8">
        <w:rPr>
          <w:rFonts w:ascii="ITC Avant Garde" w:hAnsi="ITC Avant Garde"/>
          <w:sz w:val="20"/>
          <w:szCs w:val="20"/>
        </w:rPr>
        <w:t xml:space="preserve"> lo siguiente:</w:t>
      </w:r>
    </w:p>
    <w:p w14:paraId="3899E625" w14:textId="77777777" w:rsidR="00E2222D" w:rsidRDefault="004123B8" w:rsidP="00907F25">
      <w:pPr>
        <w:pStyle w:val="Prrafodelista"/>
        <w:numPr>
          <w:ilvl w:val="0"/>
          <w:numId w:val="40"/>
        </w:numPr>
        <w:spacing w:after="240" w:line="360" w:lineRule="auto"/>
        <w:jc w:val="both"/>
        <w:rPr>
          <w:rFonts w:ascii="ITC Avant Garde" w:hAnsi="ITC Avant Garde"/>
          <w:sz w:val="20"/>
          <w:szCs w:val="20"/>
        </w:rPr>
      </w:pPr>
      <w:r w:rsidRPr="004123B8">
        <w:rPr>
          <w:rFonts w:ascii="ITC Avant Garde" w:hAnsi="ITC Avant Garde"/>
          <w:sz w:val="20"/>
          <w:szCs w:val="20"/>
        </w:rPr>
        <w:t>Conectar una pantalla para mostrar señales radiodifundidas digitales y analógicas, a una antena analógica con capacidad de recepción de frecuencias en las bandas VHF y UHF, a fin de corroborar las señales radiodifundidas de cualquier concesionario de televisión radiodifundida dentro de la misma zona de cobertura geográfica, manifestando lo siguiente:</w:t>
      </w:r>
    </w:p>
    <w:p w14:paraId="55878168" w14:textId="77777777" w:rsidR="00E2222D" w:rsidRDefault="004123B8" w:rsidP="00907F25">
      <w:pPr>
        <w:pStyle w:val="Prrafodelista"/>
        <w:spacing w:after="240" w:line="360" w:lineRule="auto"/>
        <w:ind w:left="2160"/>
        <w:jc w:val="both"/>
        <w:rPr>
          <w:rFonts w:ascii="ITC Avant Garde" w:hAnsi="ITC Avant Garde"/>
          <w:sz w:val="20"/>
          <w:szCs w:val="20"/>
        </w:rPr>
      </w:pPr>
      <w:r w:rsidRPr="004123B8">
        <w:rPr>
          <w:rFonts w:ascii="ITC Avant Garde" w:hAnsi="ITC Avant Garde"/>
          <w:i/>
          <w:sz w:val="20"/>
          <w:szCs w:val="20"/>
          <w:u w:val="single"/>
        </w:rPr>
        <w:t>“En este momento conectamos una pantalla digital marca PHILIPS de 32 pulgadas modelo 32PFL2508/F8 con resolución de 1080i (1920X1080 pixeles) que tiene la capacidad de mostrar señales digitales con calidad SD y HD, así como las señales analógicas con calidad NTSC, con la finalidad de corroborar las señales radiodifundidas de cualquier concesionario de televisión radiodifundida dentro de la misma zona de cobertura geográfica. La pantalla se encuentra conectada a una antena aérea instalada en la azotea, antena tipo yagi de varios elementos marca steren para exteriores VHF (recepción de 88-230 MHz) y UHF (recepción 470 a 900 MHz) compatible para recibir señales radiodifundidas digitales y analógicas, orientada hacia el cerro del ‘Cimatorio’ donde se encuentran las estaciones terrenas transmisoras…”.</w:t>
      </w:r>
      <w:r w:rsidRPr="004123B8">
        <w:rPr>
          <w:rFonts w:ascii="ITC Avant Garde" w:hAnsi="ITC Avant Garde"/>
          <w:sz w:val="20"/>
          <w:szCs w:val="20"/>
        </w:rPr>
        <w:t xml:space="preserve"> </w:t>
      </w:r>
    </w:p>
    <w:p w14:paraId="1C77C53E" w14:textId="77777777" w:rsidR="00E2222D" w:rsidRDefault="004123B8" w:rsidP="00907F25">
      <w:pPr>
        <w:spacing w:after="240" w:line="360" w:lineRule="auto"/>
        <w:ind w:left="2127"/>
        <w:jc w:val="both"/>
        <w:rPr>
          <w:rFonts w:ascii="ITC Avant Garde" w:hAnsi="ITC Avant Garde"/>
          <w:sz w:val="20"/>
          <w:szCs w:val="20"/>
        </w:rPr>
      </w:pPr>
      <w:r w:rsidRPr="004123B8">
        <w:rPr>
          <w:rFonts w:ascii="ITC Avant Garde" w:hAnsi="ITC Avant Garde"/>
          <w:sz w:val="20"/>
          <w:szCs w:val="20"/>
        </w:rPr>
        <w:t xml:space="preserve">Derivado de lo anterior </w:t>
      </w:r>
      <w:r w:rsidRPr="004123B8">
        <w:rPr>
          <w:rFonts w:ascii="ITC Avant Garde" w:eastAsia="Times New Roman" w:hAnsi="ITC Avant Garde"/>
          <w:b/>
          <w:bCs/>
          <w:sz w:val="20"/>
          <w:szCs w:val="20"/>
          <w:lang w:eastAsia="es-MX"/>
        </w:rPr>
        <w:t>LOS</w:t>
      </w:r>
      <w:r w:rsidRPr="004123B8">
        <w:rPr>
          <w:rFonts w:ascii="ITC Avant Garde" w:eastAsia="Times New Roman" w:hAnsi="ITC Avant Garde"/>
          <w:bCs/>
          <w:sz w:val="20"/>
          <w:szCs w:val="20"/>
          <w:lang w:eastAsia="es-MX"/>
        </w:rPr>
        <w:t xml:space="preserve"> </w:t>
      </w:r>
      <w:r w:rsidRPr="004123B8">
        <w:rPr>
          <w:rFonts w:ascii="ITC Avant Garde" w:eastAsia="Times New Roman" w:hAnsi="ITC Avant Garde"/>
          <w:b/>
          <w:bCs/>
          <w:sz w:val="20"/>
          <w:szCs w:val="20"/>
          <w:lang w:eastAsia="es-MX"/>
        </w:rPr>
        <w:t xml:space="preserve">VERIFICADORES </w:t>
      </w:r>
      <w:r w:rsidRPr="004123B8">
        <w:rPr>
          <w:rFonts w:ascii="ITC Avant Garde" w:hAnsi="ITC Avant Garde"/>
          <w:sz w:val="20"/>
          <w:szCs w:val="20"/>
        </w:rPr>
        <w:t xml:space="preserve">asentaron en la tabla identificada como </w:t>
      </w:r>
      <w:r w:rsidRPr="004123B8">
        <w:rPr>
          <w:rFonts w:ascii="ITC Avant Garde" w:hAnsi="ITC Avant Garde"/>
          <w:b/>
          <w:sz w:val="20"/>
          <w:szCs w:val="20"/>
        </w:rPr>
        <w:t xml:space="preserve">“TABLA 1”, </w:t>
      </w:r>
      <w:r w:rsidRPr="004123B8">
        <w:rPr>
          <w:rFonts w:ascii="ITC Avant Garde" w:hAnsi="ITC Avant Garde"/>
          <w:sz w:val="20"/>
          <w:szCs w:val="20"/>
        </w:rPr>
        <w:t xml:space="preserve">la información de las señales radiodifundidas que se sintonizaron en la pantalla conectada (Tabla que se encuentra en las páginas 9 y 10 del Dictamen por el que se propuso el </w:t>
      </w:r>
      <w:r w:rsidRPr="004123B8">
        <w:rPr>
          <w:rFonts w:ascii="ITC Avant Garde" w:hAnsi="ITC Avant Garde"/>
          <w:sz w:val="20"/>
          <w:szCs w:val="20"/>
        </w:rPr>
        <w:lastRenderedPageBreak/>
        <w:t>inicio del presente procedimiento el cual se inserta en páginas subsecuentes).</w:t>
      </w:r>
    </w:p>
    <w:p w14:paraId="7971EB10" w14:textId="77777777" w:rsidR="00E2222D" w:rsidRDefault="004123B8" w:rsidP="00907F25">
      <w:pPr>
        <w:pStyle w:val="Prrafodelista"/>
        <w:numPr>
          <w:ilvl w:val="0"/>
          <w:numId w:val="40"/>
        </w:numPr>
        <w:spacing w:after="240" w:line="360" w:lineRule="auto"/>
        <w:jc w:val="both"/>
        <w:rPr>
          <w:rFonts w:ascii="ITC Avant Garde" w:hAnsi="ITC Avant Garde"/>
          <w:sz w:val="20"/>
          <w:szCs w:val="20"/>
        </w:rPr>
      </w:pPr>
      <w:r w:rsidRPr="004123B8">
        <w:rPr>
          <w:rFonts w:ascii="ITC Avant Garde" w:hAnsi="ITC Avant Garde"/>
          <w:sz w:val="20"/>
          <w:szCs w:val="20"/>
        </w:rPr>
        <w:t xml:space="preserve">Indicara y demostrara que retransmite las señales radiodifundidas asentadas en la </w:t>
      </w:r>
      <w:r w:rsidRPr="004123B8">
        <w:rPr>
          <w:rFonts w:ascii="ITC Avant Garde" w:hAnsi="ITC Avant Garde"/>
          <w:b/>
          <w:sz w:val="20"/>
          <w:szCs w:val="20"/>
        </w:rPr>
        <w:t>“TABLA 1”,</w:t>
      </w:r>
      <w:r w:rsidRPr="004123B8">
        <w:rPr>
          <w:rFonts w:ascii="ITC Avant Garde" w:hAnsi="ITC Avant Garde"/>
          <w:sz w:val="20"/>
          <w:szCs w:val="20"/>
        </w:rPr>
        <w:t xml:space="preserve"> así como que manifestara a través de que medio obtenía dichas señales y cuál es la definición de imagen y sonido con las que se retransmiten a sus suscriptores y usuarios, manifestando lo siguiente: </w:t>
      </w:r>
    </w:p>
    <w:p w14:paraId="011C0ED4" w14:textId="77777777" w:rsidR="00E2222D" w:rsidRDefault="004123B8" w:rsidP="00907F25">
      <w:pPr>
        <w:pStyle w:val="Prrafodelista"/>
        <w:spacing w:after="240" w:line="360" w:lineRule="auto"/>
        <w:ind w:left="2160"/>
        <w:jc w:val="both"/>
        <w:rPr>
          <w:rFonts w:ascii="ITC Avant Garde" w:hAnsi="ITC Avant Garde"/>
          <w:sz w:val="20"/>
          <w:szCs w:val="20"/>
        </w:rPr>
      </w:pPr>
      <w:r w:rsidRPr="004123B8">
        <w:rPr>
          <w:rFonts w:ascii="ITC Avant Garde" w:hAnsi="ITC Avant Garde"/>
          <w:i/>
          <w:sz w:val="20"/>
          <w:szCs w:val="20"/>
          <w:u w:val="single"/>
        </w:rPr>
        <w:t>“LA VISITADA sí retransmite las señales indicadas en la ‘TABLA 1’. Todas las señales radiodifundidas que retransmite LA VISITADA son captadas del aire a través de las dos antenas aéreas multicanal, instaladas en la azotea del inmueble donde se actúa, son recibidas de manera gratuita. Las señales radiodifundidas que se reciben de forma analógica (indicadas en la ‘TABLA 1’) no son inyectadas al sistema de TV por cable, solo se inyectan las de definición digital. La definición de las señales radiodifundidas retransmitidas depende del paquete contratado por el suscriptor, actualmente solo el paquete SUPERDIGITAL retransmite las señales radiodifundidas en definiciones HD (Alta Definición) y SD (Definición Estándar), el resto de los paquetes retransmite las señales radiodifundidas solo en SD (Definición Estándar); es decir solo los suscriptores que cuentan con el paquete SUPERDIGITAL reciben con definición HD las señales radiodifundidas. Para corroborar mi dicho, en éstos momentos procedemos a conectar una pantalla a uno de nuestros decodificadores que es capaz de mostrar las señales entregadas en los 3 paquetes ofertados; y procedemos a sintonizar cada uno de los canales correspondientes a las señales radiodifundidas de la ‘TABLA 1’. Les solicito para corroborar mi dicho, que tomen fotografías de dicha pantalla que muestra las señales radiodifundidas retransmitidas en la red de televisión por cable.</w:t>
      </w:r>
      <w:r w:rsidRPr="004123B8">
        <w:rPr>
          <w:rFonts w:ascii="ITC Avant Garde" w:hAnsi="ITC Avant Garde"/>
          <w:sz w:val="20"/>
          <w:szCs w:val="20"/>
        </w:rPr>
        <w:t xml:space="preserve">”. </w:t>
      </w:r>
    </w:p>
    <w:p w14:paraId="19608160" w14:textId="77777777" w:rsidR="00E2222D" w:rsidRDefault="004123B8" w:rsidP="00907F25">
      <w:pPr>
        <w:pStyle w:val="Prrafodelista"/>
        <w:spacing w:after="240" w:line="360" w:lineRule="auto"/>
        <w:ind w:left="2160"/>
        <w:jc w:val="both"/>
        <w:rPr>
          <w:rFonts w:ascii="ITC Avant Garde" w:hAnsi="ITC Avant Garde"/>
          <w:sz w:val="20"/>
          <w:szCs w:val="20"/>
        </w:rPr>
      </w:pPr>
      <w:r w:rsidRPr="004123B8">
        <w:rPr>
          <w:rFonts w:ascii="ITC Avant Garde" w:hAnsi="ITC Avant Garde"/>
          <w:sz w:val="20"/>
          <w:szCs w:val="20"/>
        </w:rPr>
        <w:t xml:space="preserve">Así mismo, los verificadores asentaron en la </w:t>
      </w:r>
      <w:r w:rsidRPr="004123B8">
        <w:rPr>
          <w:rFonts w:ascii="ITC Avant Garde" w:hAnsi="ITC Avant Garde"/>
          <w:b/>
          <w:sz w:val="20"/>
          <w:szCs w:val="20"/>
        </w:rPr>
        <w:t>“TABLA 2”</w:t>
      </w:r>
      <w:r w:rsidRPr="004123B8">
        <w:rPr>
          <w:rFonts w:ascii="ITC Avant Garde" w:hAnsi="ITC Avant Garde"/>
          <w:sz w:val="20"/>
          <w:szCs w:val="20"/>
        </w:rPr>
        <w:t xml:space="preserve"> (la cual consta de la foja 11 a la 13 del Dictamen), los canales mostrados en la pantalla conectada al decodificador de la red de televisión por cable de la visitada.</w:t>
      </w:r>
    </w:p>
    <w:p w14:paraId="6524BAB2" w14:textId="77777777" w:rsidR="00E2222D" w:rsidRDefault="004123B8" w:rsidP="00907F25">
      <w:pPr>
        <w:pStyle w:val="Prrafodelista"/>
        <w:numPr>
          <w:ilvl w:val="0"/>
          <w:numId w:val="40"/>
        </w:numPr>
        <w:spacing w:after="240" w:line="360" w:lineRule="auto"/>
        <w:jc w:val="both"/>
        <w:rPr>
          <w:rFonts w:ascii="ITC Avant Garde" w:hAnsi="ITC Avant Garde"/>
          <w:sz w:val="20"/>
          <w:szCs w:val="20"/>
          <w:u w:val="single"/>
        </w:rPr>
      </w:pPr>
      <w:r w:rsidRPr="004123B8">
        <w:rPr>
          <w:rFonts w:ascii="ITC Avant Garde" w:hAnsi="ITC Avant Garde"/>
          <w:sz w:val="20"/>
          <w:szCs w:val="20"/>
        </w:rPr>
        <w:lastRenderedPageBreak/>
        <w:t>Indicara y demostrara si la visitada retransmite las señales radiodifundidas de las Instituciones Públicas Federales y dijera cuál es la definición de la imagen y sonido que entrega a sus suscriptores y usuarios para estas señales, manifestando lo siguiente:</w:t>
      </w:r>
    </w:p>
    <w:p w14:paraId="2721250D" w14:textId="77777777" w:rsidR="00E2222D" w:rsidRDefault="004123B8" w:rsidP="00907F25">
      <w:pPr>
        <w:pStyle w:val="Prrafodelista"/>
        <w:spacing w:after="240" w:line="360" w:lineRule="auto"/>
        <w:ind w:left="2160"/>
        <w:jc w:val="both"/>
        <w:rPr>
          <w:rFonts w:ascii="ITC Avant Garde" w:hAnsi="ITC Avant Garde"/>
          <w:i/>
          <w:sz w:val="20"/>
          <w:szCs w:val="20"/>
          <w:u w:val="single"/>
        </w:rPr>
      </w:pPr>
      <w:r w:rsidRPr="004123B8">
        <w:rPr>
          <w:rFonts w:ascii="ITC Avant Garde" w:hAnsi="ITC Avant Garde"/>
          <w:i/>
          <w:sz w:val="20"/>
          <w:szCs w:val="20"/>
          <w:u w:val="single"/>
        </w:rPr>
        <w:t>“</w:t>
      </w:r>
      <w:r w:rsidRPr="004123B8">
        <w:rPr>
          <w:rFonts w:ascii="ITC Avant Garde" w:hAnsi="ITC Avant Garde"/>
          <w:b/>
          <w:i/>
          <w:sz w:val="20"/>
          <w:szCs w:val="20"/>
          <w:u w:val="single"/>
        </w:rPr>
        <w:t>Actualmente LA VISITADA no retransmite la señal multiprogramada 11.2 ‘Once niños’ del IPN,</w:t>
      </w:r>
      <w:r w:rsidRPr="004123B8">
        <w:rPr>
          <w:rFonts w:ascii="ITC Avant Garde" w:hAnsi="ITC Avant Garde"/>
          <w:i/>
          <w:sz w:val="20"/>
          <w:szCs w:val="20"/>
          <w:u w:val="single"/>
        </w:rPr>
        <w:t xml:space="preserve"> el resto de las Instituciones Públicas Federales si están siendo retransmitidas a los suscriptores y usuarios; siendo recibidas a través del aire, es decir se toman a través de las señales radiodifundidas disponibles indicadas en la ‘tabla 1’; dichas señales se reciben con calidad SD a los suscriptores y usuarios, en todos los paquetes que LA VISITADA oferta. Para corroborar mi dicho, les solicito tomar las fotografías de dichos canales en la pantalla conectada a la red de TV por cable. </w:t>
      </w:r>
      <w:r w:rsidRPr="004123B8">
        <w:rPr>
          <w:rFonts w:ascii="ITC Avant Garde" w:hAnsi="ITC Avant Garde"/>
          <w:b/>
          <w:i/>
          <w:sz w:val="20"/>
          <w:szCs w:val="20"/>
          <w:u w:val="single"/>
        </w:rPr>
        <w:t>Reitero que sólo la señal de multiprogramada 11.2 ‘once niños’ del IPN, no está siendo retransmitida por LA VISITADA para sus suscriptores y usuarios;</w:t>
      </w:r>
      <w:r w:rsidRPr="004123B8">
        <w:rPr>
          <w:rFonts w:ascii="ITC Avant Garde" w:hAnsi="ITC Avant Garde"/>
          <w:i/>
          <w:sz w:val="20"/>
          <w:szCs w:val="20"/>
          <w:u w:val="single"/>
        </w:rPr>
        <w:t xml:space="preserve"> cabe mencionar que esta señal no se encuentra disponible de forma radiodifundida, lo cual se debe corroborar con la información de la  “TABLA 1”.</w:t>
      </w:r>
    </w:p>
    <w:p w14:paraId="60DB424E" w14:textId="3B8DC389" w:rsidR="004123B8" w:rsidRPr="004123B8" w:rsidRDefault="004123B8" w:rsidP="00907F25">
      <w:pPr>
        <w:pStyle w:val="Prrafodelista"/>
        <w:spacing w:after="240" w:line="360" w:lineRule="auto"/>
        <w:ind w:left="2160"/>
        <w:jc w:val="both"/>
        <w:rPr>
          <w:rFonts w:ascii="ITC Avant Garde" w:hAnsi="ITC Avant Garde"/>
          <w:sz w:val="20"/>
          <w:szCs w:val="20"/>
        </w:rPr>
      </w:pPr>
      <w:r w:rsidRPr="004123B8">
        <w:rPr>
          <w:rFonts w:ascii="ITC Avant Garde" w:eastAsia="Times New Roman" w:hAnsi="ITC Avant Garde"/>
          <w:b/>
          <w:bCs/>
          <w:sz w:val="20"/>
          <w:szCs w:val="20"/>
          <w:lang w:eastAsia="es-MX"/>
        </w:rPr>
        <w:t>LOS</w:t>
      </w:r>
      <w:r w:rsidRPr="004123B8">
        <w:rPr>
          <w:rFonts w:ascii="ITC Avant Garde" w:eastAsia="Times New Roman" w:hAnsi="ITC Avant Garde"/>
          <w:bCs/>
          <w:sz w:val="20"/>
          <w:szCs w:val="20"/>
          <w:lang w:eastAsia="es-MX"/>
        </w:rPr>
        <w:t xml:space="preserve"> </w:t>
      </w:r>
      <w:r w:rsidRPr="004123B8">
        <w:rPr>
          <w:rFonts w:ascii="ITC Avant Garde" w:eastAsia="Times New Roman" w:hAnsi="ITC Avant Garde"/>
          <w:b/>
          <w:bCs/>
          <w:sz w:val="20"/>
          <w:szCs w:val="20"/>
          <w:lang w:eastAsia="es-MX"/>
        </w:rPr>
        <w:t>VERIFICADORES</w:t>
      </w:r>
      <w:r w:rsidRPr="004123B8">
        <w:rPr>
          <w:rFonts w:ascii="ITC Avant Garde" w:hAnsi="ITC Avant Garde"/>
          <w:sz w:val="20"/>
          <w:szCs w:val="20"/>
        </w:rPr>
        <w:t xml:space="preserve"> asentaron en la tabla identificada como </w:t>
      </w:r>
      <w:r w:rsidRPr="004123B8">
        <w:rPr>
          <w:rFonts w:ascii="ITC Avant Garde" w:hAnsi="ITC Avant Garde"/>
          <w:b/>
          <w:sz w:val="20"/>
          <w:szCs w:val="20"/>
        </w:rPr>
        <w:t xml:space="preserve">“TABLA 4”, </w:t>
      </w:r>
      <w:r w:rsidRPr="004123B8">
        <w:rPr>
          <w:rFonts w:ascii="ITC Avant Garde" w:hAnsi="ITC Avant Garde"/>
          <w:sz w:val="20"/>
          <w:szCs w:val="20"/>
        </w:rPr>
        <w:t>el resultado de la verificación realizada a las señales radiodifundidas de las Instituciones Públicas Federales, de la que se advierte que la señal del canal 11.2 Once Niños, no estaba siendo retransmitida por la visitada. (Tabla inserta en las páginas 17 y 18 del Dictamen por el que se propone el inicio de procedimiento).</w:t>
      </w:r>
      <w:r w:rsidRPr="004123B8">
        <w:rPr>
          <w:rFonts w:ascii="ITC Avant Garde" w:hAnsi="ITC Avant Garde"/>
          <w:sz w:val="20"/>
          <w:szCs w:val="20"/>
        </w:rPr>
        <w:tab/>
      </w:r>
      <w:r w:rsidRPr="004123B8">
        <w:rPr>
          <w:rFonts w:ascii="ITC Avant Garde" w:hAnsi="ITC Avant Garde"/>
          <w:sz w:val="20"/>
          <w:szCs w:val="20"/>
        </w:rPr>
        <w:tab/>
      </w:r>
    </w:p>
    <w:p w14:paraId="6B13B229" w14:textId="77777777" w:rsidR="00E2222D" w:rsidRDefault="004123B8" w:rsidP="00907F25">
      <w:pPr>
        <w:pStyle w:val="Prrafodelista"/>
        <w:spacing w:after="240" w:line="360" w:lineRule="auto"/>
        <w:ind w:left="2127"/>
        <w:jc w:val="both"/>
        <w:rPr>
          <w:rFonts w:ascii="ITC Avant Garde" w:hAnsi="ITC Avant Garde"/>
          <w:sz w:val="20"/>
          <w:szCs w:val="20"/>
        </w:rPr>
      </w:pPr>
      <w:r w:rsidRPr="004123B8">
        <w:rPr>
          <w:rFonts w:ascii="ITC Avant Garde" w:hAnsi="ITC Avant Garde"/>
          <w:b/>
          <w:sz w:val="20"/>
          <w:szCs w:val="20"/>
          <w:u w:val="single"/>
        </w:rPr>
        <w:t>Continuando con la diligencia el once de diciembre de dos mil quince y con la finalidad de constatar y verificar la retransmisión de señales de Instituciones Públicas Federales de manera continua y</w:t>
      </w:r>
      <w:r w:rsidRPr="004123B8">
        <w:rPr>
          <w:rFonts w:ascii="ITC Avant Garde" w:hAnsi="ITC Avant Garde"/>
          <w:sz w:val="20"/>
          <w:szCs w:val="20"/>
        </w:rPr>
        <w:t xml:space="preserve"> con apego a las disposiciones legales aplicables tras la terminación de transmisiones analógicas en las áreas de cobertura, se solicitó a </w:t>
      </w:r>
      <w:r w:rsidRPr="004123B8">
        <w:rPr>
          <w:rFonts w:ascii="ITC Avant Garde" w:hAnsi="ITC Avant Garde"/>
          <w:b/>
          <w:sz w:val="20"/>
          <w:szCs w:val="20"/>
        </w:rPr>
        <w:t>MEGA CABLE</w:t>
      </w:r>
      <w:r w:rsidRPr="004123B8">
        <w:rPr>
          <w:rFonts w:ascii="ITC Avant Garde" w:hAnsi="ITC Avant Garde"/>
          <w:sz w:val="20"/>
          <w:szCs w:val="20"/>
        </w:rPr>
        <w:t xml:space="preserve"> lo siguiente:</w:t>
      </w:r>
    </w:p>
    <w:p w14:paraId="2ED4B856" w14:textId="77777777" w:rsidR="00E2222D" w:rsidRDefault="004123B8" w:rsidP="00907F25">
      <w:pPr>
        <w:pStyle w:val="Prrafodelista"/>
        <w:numPr>
          <w:ilvl w:val="0"/>
          <w:numId w:val="40"/>
        </w:numPr>
        <w:spacing w:after="240" w:line="360" w:lineRule="auto"/>
        <w:jc w:val="both"/>
        <w:rPr>
          <w:rFonts w:ascii="ITC Avant Garde" w:hAnsi="ITC Avant Garde"/>
          <w:sz w:val="20"/>
          <w:szCs w:val="20"/>
        </w:rPr>
      </w:pPr>
      <w:r w:rsidRPr="004123B8">
        <w:rPr>
          <w:rFonts w:ascii="ITC Avant Garde" w:hAnsi="ITC Avant Garde"/>
          <w:sz w:val="20"/>
          <w:szCs w:val="20"/>
        </w:rPr>
        <w:t xml:space="preserve">Conectara una pantalla con la capacidad para poder mostrar señales radiodifundidas digitales y analógicas, a una antena aérea con la capacidad de recepción de frecuencias en las bandas VHF y UHF, a fin </w:t>
      </w:r>
      <w:r w:rsidRPr="004123B8">
        <w:rPr>
          <w:rFonts w:ascii="ITC Avant Garde" w:hAnsi="ITC Avant Garde"/>
          <w:sz w:val="20"/>
          <w:szCs w:val="20"/>
        </w:rPr>
        <w:lastRenderedPageBreak/>
        <w:t>de corroborar las señales radiodifundidas de cualquier concesionario de televisión radiodifundida dentro de la misma zona de cobertura geográfica, manifestando lo siguiente:</w:t>
      </w:r>
    </w:p>
    <w:p w14:paraId="5D17E686" w14:textId="77777777" w:rsidR="00E2222D" w:rsidRDefault="004123B8" w:rsidP="00907F25">
      <w:pPr>
        <w:pStyle w:val="Prrafodelista"/>
        <w:spacing w:after="240" w:line="360" w:lineRule="auto"/>
        <w:ind w:left="2160"/>
        <w:jc w:val="both"/>
        <w:rPr>
          <w:rFonts w:ascii="ITC Avant Garde" w:hAnsi="ITC Avant Garde"/>
          <w:sz w:val="20"/>
          <w:szCs w:val="20"/>
        </w:rPr>
      </w:pPr>
      <w:r w:rsidRPr="004123B8">
        <w:rPr>
          <w:rFonts w:ascii="ITC Avant Garde" w:hAnsi="ITC Avant Garde"/>
          <w:i/>
          <w:sz w:val="20"/>
          <w:szCs w:val="20"/>
          <w:u w:val="single"/>
        </w:rPr>
        <w:t>“En este momento conectamos una pantalla digital marca PHILIPS de 32 pulgadas modelo 32PFL2508/F8 con resolución de 1080i (1920X1080 pixeles) que tiene la capacidad de mostrar señales digitales con calidad SD y HD, así como las señales analógicas con calidad NTSC, con la finalidad de corroborar las señales radiodifundidas de cualquier concesionario de televisión radiodifundida dentro de la misma zona de cobertura geográfica. La pantalla se encuentra conectada a una antena aérea instalada en la azotea, antena tipo yagi de varios elementos marca steren para exteriores VHF (recepción de 88-230 MHz) y UHF (recepción 470 a 900 MHz) compatible para recibir señales radiodifundidas digitales y analógicas, orientada hacia el cerro del ‘Cimatorio’ donde se encuentran las estaciones terrenas transmisoras…”.</w:t>
      </w:r>
      <w:r w:rsidRPr="004123B8">
        <w:rPr>
          <w:rFonts w:ascii="ITC Avant Garde" w:hAnsi="ITC Avant Garde"/>
          <w:sz w:val="20"/>
          <w:szCs w:val="20"/>
        </w:rPr>
        <w:t xml:space="preserve"> </w:t>
      </w:r>
    </w:p>
    <w:p w14:paraId="349D16B5" w14:textId="77777777" w:rsidR="00E2222D" w:rsidRDefault="004123B8" w:rsidP="00907F25">
      <w:pPr>
        <w:spacing w:after="240" w:line="360" w:lineRule="auto"/>
        <w:ind w:left="2127"/>
        <w:jc w:val="both"/>
        <w:rPr>
          <w:rFonts w:ascii="ITC Avant Garde" w:hAnsi="ITC Avant Garde"/>
          <w:sz w:val="20"/>
          <w:szCs w:val="20"/>
        </w:rPr>
      </w:pPr>
      <w:r w:rsidRPr="004123B8">
        <w:rPr>
          <w:rFonts w:ascii="ITC Avant Garde" w:eastAsia="Times New Roman" w:hAnsi="ITC Avant Garde"/>
          <w:b/>
          <w:bCs/>
          <w:sz w:val="20"/>
          <w:szCs w:val="20"/>
          <w:lang w:eastAsia="es-MX"/>
        </w:rPr>
        <w:t>LOS</w:t>
      </w:r>
      <w:r w:rsidRPr="004123B8">
        <w:rPr>
          <w:rFonts w:ascii="ITC Avant Garde" w:eastAsia="Times New Roman" w:hAnsi="ITC Avant Garde"/>
          <w:bCs/>
          <w:sz w:val="20"/>
          <w:szCs w:val="20"/>
          <w:lang w:eastAsia="es-MX"/>
        </w:rPr>
        <w:t xml:space="preserve"> </w:t>
      </w:r>
      <w:r w:rsidRPr="004123B8">
        <w:rPr>
          <w:rFonts w:ascii="ITC Avant Garde" w:eastAsia="Times New Roman" w:hAnsi="ITC Avant Garde"/>
          <w:b/>
          <w:bCs/>
          <w:sz w:val="20"/>
          <w:szCs w:val="20"/>
          <w:lang w:eastAsia="es-MX"/>
        </w:rPr>
        <w:t>VERIFICADORES</w:t>
      </w:r>
      <w:r w:rsidRPr="004123B8">
        <w:rPr>
          <w:rFonts w:ascii="ITC Avant Garde" w:hAnsi="ITC Avant Garde"/>
          <w:sz w:val="20"/>
          <w:szCs w:val="20"/>
        </w:rPr>
        <w:t xml:space="preserve"> asentaron en la tabla identificada como </w:t>
      </w:r>
      <w:r w:rsidRPr="004123B8">
        <w:rPr>
          <w:rFonts w:ascii="ITC Avant Garde" w:hAnsi="ITC Avant Garde"/>
          <w:b/>
          <w:sz w:val="20"/>
          <w:szCs w:val="20"/>
        </w:rPr>
        <w:t xml:space="preserve">“TABLA 5”, </w:t>
      </w:r>
      <w:r w:rsidRPr="004123B8">
        <w:rPr>
          <w:rFonts w:ascii="ITC Avant Garde" w:hAnsi="ITC Avant Garde"/>
          <w:sz w:val="20"/>
          <w:szCs w:val="20"/>
        </w:rPr>
        <w:t>la información de las señales radiodifundidas que se sintonizaron en la pantalla conectada. (Tabla inserta en las páginas 19 y 20 del Dictamen por el que se propone el inicio de procedimiento).</w:t>
      </w:r>
    </w:p>
    <w:p w14:paraId="18AC657B" w14:textId="77777777" w:rsidR="00E2222D" w:rsidRDefault="004123B8" w:rsidP="00907F25">
      <w:pPr>
        <w:pStyle w:val="Prrafodelista"/>
        <w:numPr>
          <w:ilvl w:val="0"/>
          <w:numId w:val="40"/>
        </w:numPr>
        <w:spacing w:after="240" w:line="360" w:lineRule="auto"/>
        <w:jc w:val="both"/>
        <w:rPr>
          <w:rFonts w:ascii="ITC Avant Garde" w:hAnsi="ITC Avant Garde"/>
          <w:sz w:val="20"/>
          <w:szCs w:val="20"/>
        </w:rPr>
      </w:pPr>
      <w:r w:rsidRPr="004123B8">
        <w:rPr>
          <w:rFonts w:ascii="ITC Avant Garde" w:hAnsi="ITC Avant Garde"/>
          <w:sz w:val="20"/>
          <w:szCs w:val="20"/>
        </w:rPr>
        <w:t xml:space="preserve">Indicara y demostrara si retransmite las señales radiodifundidas indicadas en la </w:t>
      </w:r>
      <w:r w:rsidRPr="004123B8">
        <w:rPr>
          <w:rFonts w:ascii="ITC Avant Garde" w:hAnsi="ITC Avant Garde"/>
          <w:b/>
          <w:sz w:val="20"/>
          <w:szCs w:val="20"/>
        </w:rPr>
        <w:t>“TABLA 5”,</w:t>
      </w:r>
      <w:r w:rsidRPr="004123B8">
        <w:rPr>
          <w:rFonts w:ascii="ITC Avant Garde" w:hAnsi="ITC Avant Garde"/>
          <w:sz w:val="20"/>
          <w:szCs w:val="20"/>
        </w:rPr>
        <w:t xml:space="preserve"> diga el medio por el cual obtiene dichas señales y cuál es la definición de imagen y sonido con las que retransmiten dichas señales a sus suscriptores y usuarios, manifestando lo siguiente: </w:t>
      </w:r>
    </w:p>
    <w:p w14:paraId="18CA35FF" w14:textId="77777777" w:rsidR="00E2222D" w:rsidRDefault="004123B8" w:rsidP="00907F25">
      <w:pPr>
        <w:pStyle w:val="Prrafodelista"/>
        <w:spacing w:after="240" w:line="360" w:lineRule="auto"/>
        <w:ind w:left="2160"/>
        <w:jc w:val="both"/>
        <w:rPr>
          <w:rFonts w:ascii="ITC Avant Garde" w:hAnsi="ITC Avant Garde"/>
          <w:sz w:val="20"/>
          <w:szCs w:val="20"/>
        </w:rPr>
      </w:pPr>
      <w:r w:rsidRPr="004123B8">
        <w:rPr>
          <w:rFonts w:ascii="ITC Avant Garde" w:hAnsi="ITC Avant Garde"/>
          <w:i/>
          <w:sz w:val="20"/>
          <w:szCs w:val="20"/>
          <w:u w:val="single"/>
        </w:rPr>
        <w:t xml:space="preserve">“LA VISITADA sí retransmite las señales indicadas en la ‘TABLA 5’. Todas las señales radiodifundidas que retransmite LA VISITADA son captadas del aire a través de las dos antenas aéreas multicanal, instaladas en la azotea del inmueble donde se actúa, son recibidas de manera gratuita. La definición de las señales radiodifundidas retransmitidas depende del paquete contratado por el suscriptor, actualmente solo el paquete SUPERDIGITAL retransmite las señales radiodifundidas en definiciones HD (Alta Definición) y SD (Definición Estándar), el resto de los paquetes </w:t>
      </w:r>
      <w:r w:rsidRPr="004123B8">
        <w:rPr>
          <w:rFonts w:ascii="ITC Avant Garde" w:hAnsi="ITC Avant Garde"/>
          <w:i/>
          <w:sz w:val="20"/>
          <w:szCs w:val="20"/>
          <w:u w:val="single"/>
        </w:rPr>
        <w:lastRenderedPageBreak/>
        <w:t>retransmite las señales radiodifundidas solo en SD (Definición Estándar); es decir solo suscriptores que cuentan con el paquete SUPERDIGITAL reciben con definición HD las señales radiodifundidas. Para corroborar mi dicho, en éstos momentos procedemos a conectar una pantalla a uno de nuestros decodificadores que es capaz de mostrar las señales entregadas en los 3 paquetes ofertados; y procedemos a sintonizar cada uno de los canales correspondientes a las señales radiodifundidas de la ‘TABLA 5’. Les solicito para corroborar mi dicho, que tomen fotografías de dicha pantalla que muestra las señales radiodifundidas retransmitidas en la red de televisión por cable.</w:t>
      </w:r>
      <w:r w:rsidRPr="004123B8">
        <w:rPr>
          <w:rFonts w:ascii="ITC Avant Garde" w:hAnsi="ITC Avant Garde"/>
          <w:sz w:val="20"/>
          <w:szCs w:val="20"/>
        </w:rPr>
        <w:t xml:space="preserve">”. </w:t>
      </w:r>
    </w:p>
    <w:p w14:paraId="56DD4172" w14:textId="77777777" w:rsidR="00E2222D" w:rsidRDefault="004123B8" w:rsidP="00907F25">
      <w:pPr>
        <w:spacing w:after="240" w:line="360" w:lineRule="auto"/>
        <w:ind w:left="2127"/>
        <w:jc w:val="both"/>
        <w:rPr>
          <w:rFonts w:ascii="ITC Avant Garde" w:hAnsi="ITC Avant Garde"/>
          <w:sz w:val="20"/>
          <w:szCs w:val="20"/>
        </w:rPr>
      </w:pPr>
      <w:r w:rsidRPr="004123B8">
        <w:rPr>
          <w:rFonts w:ascii="ITC Avant Garde" w:eastAsia="Times New Roman" w:hAnsi="ITC Avant Garde"/>
          <w:b/>
          <w:bCs/>
          <w:sz w:val="20"/>
          <w:szCs w:val="20"/>
          <w:lang w:eastAsia="es-MX"/>
        </w:rPr>
        <w:t>LOS</w:t>
      </w:r>
      <w:r w:rsidRPr="004123B8">
        <w:rPr>
          <w:rFonts w:ascii="ITC Avant Garde" w:eastAsia="Times New Roman" w:hAnsi="ITC Avant Garde"/>
          <w:bCs/>
          <w:sz w:val="20"/>
          <w:szCs w:val="20"/>
          <w:lang w:eastAsia="es-MX"/>
        </w:rPr>
        <w:t xml:space="preserve"> </w:t>
      </w:r>
      <w:r w:rsidRPr="004123B8">
        <w:rPr>
          <w:rFonts w:ascii="ITC Avant Garde" w:eastAsia="Times New Roman" w:hAnsi="ITC Avant Garde"/>
          <w:b/>
          <w:bCs/>
          <w:sz w:val="20"/>
          <w:szCs w:val="20"/>
          <w:lang w:eastAsia="es-MX"/>
        </w:rPr>
        <w:t>VERIFICADORES</w:t>
      </w:r>
      <w:r w:rsidRPr="004123B8">
        <w:rPr>
          <w:rFonts w:ascii="ITC Avant Garde" w:hAnsi="ITC Avant Garde"/>
          <w:sz w:val="20"/>
          <w:szCs w:val="20"/>
        </w:rPr>
        <w:t xml:space="preserve"> asentaron en la tabla identificada como </w:t>
      </w:r>
      <w:r w:rsidRPr="004123B8">
        <w:rPr>
          <w:rFonts w:ascii="ITC Avant Garde" w:hAnsi="ITC Avant Garde"/>
          <w:b/>
          <w:sz w:val="20"/>
          <w:szCs w:val="20"/>
        </w:rPr>
        <w:t xml:space="preserve">“TABLA 6”, </w:t>
      </w:r>
      <w:r w:rsidRPr="004123B8">
        <w:rPr>
          <w:rFonts w:ascii="ITC Avant Garde" w:hAnsi="ITC Avant Garde"/>
          <w:sz w:val="20"/>
          <w:szCs w:val="20"/>
        </w:rPr>
        <w:t>la información de los canales mostrados en la pantalla conectada al decodificador de la red de televisión por cable de la visitada. (Tabla inserta en las páginas 21 a 23 del Dictamen por el que se propone el inicio de procedimiento).</w:t>
      </w:r>
    </w:p>
    <w:p w14:paraId="75448754" w14:textId="77777777" w:rsidR="00E2222D" w:rsidRDefault="004123B8" w:rsidP="00907F25">
      <w:pPr>
        <w:pStyle w:val="Prrafodelista"/>
        <w:numPr>
          <w:ilvl w:val="0"/>
          <w:numId w:val="40"/>
        </w:numPr>
        <w:spacing w:after="240" w:line="360" w:lineRule="auto"/>
        <w:jc w:val="both"/>
        <w:rPr>
          <w:rFonts w:ascii="ITC Avant Garde" w:hAnsi="ITC Avant Garde"/>
          <w:sz w:val="20"/>
          <w:szCs w:val="20"/>
          <w:u w:val="single"/>
        </w:rPr>
      </w:pPr>
      <w:r w:rsidRPr="004123B8">
        <w:rPr>
          <w:rFonts w:ascii="ITC Avant Garde" w:hAnsi="ITC Avant Garde"/>
          <w:sz w:val="20"/>
          <w:szCs w:val="20"/>
        </w:rPr>
        <w:t>Indicara y demostrara si la visitada retransmitía las señales radiodifundidas de las Instituciones Públicas Federales, y diga cuál es la definición de la imagen y sonido que entrega a sus suscriptores y usuarios para estas señales, manifestando lo siguiente:</w:t>
      </w:r>
    </w:p>
    <w:p w14:paraId="23E8E4DB" w14:textId="77777777" w:rsidR="00E2222D" w:rsidRDefault="004123B8" w:rsidP="00907F25">
      <w:pPr>
        <w:pStyle w:val="Prrafodelista"/>
        <w:spacing w:after="240" w:line="360" w:lineRule="auto"/>
        <w:ind w:left="2160"/>
        <w:jc w:val="both"/>
        <w:rPr>
          <w:rFonts w:ascii="ITC Avant Garde" w:hAnsi="ITC Avant Garde"/>
          <w:i/>
          <w:sz w:val="20"/>
          <w:szCs w:val="20"/>
          <w:u w:val="single"/>
        </w:rPr>
      </w:pPr>
      <w:r w:rsidRPr="004123B8">
        <w:rPr>
          <w:rFonts w:ascii="ITC Avant Garde" w:hAnsi="ITC Avant Garde"/>
          <w:i/>
          <w:sz w:val="20"/>
          <w:szCs w:val="20"/>
          <w:u w:val="single"/>
        </w:rPr>
        <w:t>“</w:t>
      </w:r>
      <w:r w:rsidRPr="004123B8">
        <w:rPr>
          <w:rFonts w:ascii="ITC Avant Garde" w:hAnsi="ITC Avant Garde"/>
          <w:b/>
          <w:i/>
          <w:sz w:val="20"/>
          <w:szCs w:val="20"/>
          <w:u w:val="single"/>
        </w:rPr>
        <w:t>Actualmente LA VISITADA no retransmite la señal multiprogramada 11.2 ‘Once niños’ del IPN,</w:t>
      </w:r>
      <w:r w:rsidRPr="004123B8">
        <w:rPr>
          <w:rFonts w:ascii="ITC Avant Garde" w:hAnsi="ITC Avant Garde"/>
          <w:i/>
          <w:sz w:val="20"/>
          <w:szCs w:val="20"/>
          <w:u w:val="single"/>
        </w:rPr>
        <w:t xml:space="preserve"> el resto de las Instituciones Públicas Federales si están siendo retransmitidas a los suscriptores y usuarios; siendo recibidas a través del aire, es decir se toman de las señales radiodifundidas disponibles indicadas en la ‘tabla 5’; dichas señales se reciben con calidad SD a los suscriptores y usuarios, en todos los paquetes que LA VISITADA oferta. Para corroborar mi dicho, les solicito tomar las fotografías de dichos canales en la pantalla conectada a la red de TV por cable. </w:t>
      </w:r>
      <w:r w:rsidRPr="004123B8">
        <w:rPr>
          <w:rFonts w:ascii="ITC Avant Garde" w:hAnsi="ITC Avant Garde"/>
          <w:b/>
          <w:i/>
          <w:sz w:val="20"/>
          <w:szCs w:val="20"/>
          <w:u w:val="single"/>
        </w:rPr>
        <w:t>Reitero que sólo la señal de multiprogramada 11.2 ‘once niños’ del IPN no está siendo retransmitida por LA VISITADA para sus suscriptores y usuarios;</w:t>
      </w:r>
      <w:r w:rsidRPr="004123B8">
        <w:rPr>
          <w:rFonts w:ascii="ITC Avant Garde" w:hAnsi="ITC Avant Garde"/>
          <w:i/>
          <w:sz w:val="20"/>
          <w:szCs w:val="20"/>
          <w:u w:val="single"/>
        </w:rPr>
        <w:t xml:space="preserve"> cabe mencionar que esta señal no se encuentra disponible de </w:t>
      </w:r>
      <w:r w:rsidRPr="004123B8">
        <w:rPr>
          <w:rFonts w:ascii="ITC Avant Garde" w:hAnsi="ITC Avant Garde"/>
          <w:i/>
          <w:sz w:val="20"/>
          <w:szCs w:val="20"/>
          <w:u w:val="single"/>
        </w:rPr>
        <w:lastRenderedPageBreak/>
        <w:t>forma radiodifundida, lo cual se debe corroborar con la información de la  “TABLA 5”.</w:t>
      </w:r>
    </w:p>
    <w:p w14:paraId="7C0E4E38" w14:textId="77777777" w:rsidR="00E2222D" w:rsidRDefault="004123B8" w:rsidP="00907F25">
      <w:pPr>
        <w:tabs>
          <w:tab w:val="left" w:pos="2268"/>
        </w:tabs>
        <w:spacing w:after="240" w:line="360" w:lineRule="auto"/>
        <w:ind w:left="2127"/>
        <w:jc w:val="both"/>
        <w:rPr>
          <w:rFonts w:ascii="ITC Avant Garde" w:hAnsi="ITC Avant Garde"/>
          <w:sz w:val="20"/>
          <w:szCs w:val="20"/>
        </w:rPr>
      </w:pPr>
      <w:r w:rsidRPr="004123B8">
        <w:rPr>
          <w:rFonts w:ascii="ITC Avant Garde" w:eastAsia="Times New Roman" w:hAnsi="ITC Avant Garde"/>
          <w:b/>
          <w:bCs/>
          <w:sz w:val="20"/>
          <w:szCs w:val="20"/>
          <w:lang w:eastAsia="es-MX"/>
        </w:rPr>
        <w:t>LOS</w:t>
      </w:r>
      <w:r w:rsidRPr="004123B8">
        <w:rPr>
          <w:rFonts w:ascii="ITC Avant Garde" w:eastAsia="Times New Roman" w:hAnsi="ITC Avant Garde"/>
          <w:bCs/>
          <w:sz w:val="20"/>
          <w:szCs w:val="20"/>
          <w:lang w:eastAsia="es-MX"/>
        </w:rPr>
        <w:t xml:space="preserve"> </w:t>
      </w:r>
      <w:r w:rsidRPr="004123B8">
        <w:rPr>
          <w:rFonts w:ascii="ITC Avant Garde" w:eastAsia="Times New Roman" w:hAnsi="ITC Avant Garde"/>
          <w:b/>
          <w:bCs/>
          <w:sz w:val="20"/>
          <w:szCs w:val="20"/>
          <w:lang w:eastAsia="es-MX"/>
        </w:rPr>
        <w:t>VERIFICADORES</w:t>
      </w:r>
      <w:r w:rsidRPr="004123B8">
        <w:rPr>
          <w:rFonts w:ascii="ITC Avant Garde" w:hAnsi="ITC Avant Garde"/>
          <w:sz w:val="20"/>
          <w:szCs w:val="20"/>
        </w:rPr>
        <w:t xml:space="preserve">, asentaron en la tabla identificada como </w:t>
      </w:r>
      <w:r w:rsidRPr="004123B8">
        <w:rPr>
          <w:rFonts w:ascii="ITC Avant Garde" w:hAnsi="ITC Avant Garde"/>
          <w:b/>
          <w:sz w:val="20"/>
          <w:szCs w:val="20"/>
        </w:rPr>
        <w:t xml:space="preserve">“TABLA 8”, </w:t>
      </w:r>
      <w:r w:rsidRPr="004123B8">
        <w:rPr>
          <w:rFonts w:ascii="ITC Avant Garde" w:hAnsi="ITC Avant Garde"/>
          <w:sz w:val="20"/>
          <w:szCs w:val="20"/>
        </w:rPr>
        <w:t>la información de las señales radiodifundidas de las Instituciones Públicas Federales retransmitidas por la visitada. (Tabla inserta en las páginas 26 y 27 del Dictamen por el que se propone el inicio de procedimiento).</w:t>
      </w:r>
    </w:p>
    <w:p w14:paraId="491FECB4" w14:textId="77777777" w:rsidR="00E2222D" w:rsidRDefault="00F10851" w:rsidP="00907F25">
      <w:pPr>
        <w:tabs>
          <w:tab w:val="left" w:pos="2268"/>
        </w:tabs>
        <w:spacing w:after="240" w:line="360" w:lineRule="auto"/>
        <w:ind w:left="2127"/>
        <w:jc w:val="both"/>
        <w:rPr>
          <w:rFonts w:ascii="ITC Avant Garde" w:hAnsi="ITC Avant Garde"/>
          <w:sz w:val="20"/>
          <w:szCs w:val="20"/>
        </w:rPr>
      </w:pPr>
      <w:r>
        <w:rPr>
          <w:rFonts w:ascii="ITC Avant Garde" w:hAnsi="ITC Avant Garde"/>
          <w:sz w:val="20"/>
          <w:szCs w:val="20"/>
        </w:rPr>
        <w:t>…</w:t>
      </w:r>
    </w:p>
    <w:p w14:paraId="7395A04C" w14:textId="77777777" w:rsidR="00E2222D" w:rsidRDefault="00F10851" w:rsidP="00907F25">
      <w:pPr>
        <w:tabs>
          <w:tab w:val="left" w:pos="2268"/>
        </w:tabs>
        <w:spacing w:after="240" w:line="360" w:lineRule="auto"/>
        <w:ind w:left="2127"/>
        <w:jc w:val="both"/>
        <w:rPr>
          <w:rFonts w:ascii="ITC Avant Garde" w:hAnsi="ITC Avant Garde"/>
          <w:sz w:val="20"/>
          <w:szCs w:val="20"/>
        </w:rPr>
      </w:pPr>
      <w:r w:rsidRPr="00F10851">
        <w:rPr>
          <w:rFonts w:ascii="ITC Avant Garde" w:hAnsi="ITC Avant Garde"/>
          <w:sz w:val="20"/>
          <w:szCs w:val="20"/>
        </w:rPr>
        <w:t xml:space="preserve">En consecuencia, en el caso que nos ocupa se presume el incumplimiento a dichas disposiciones, en términos de lo detectado durante la diligencia de verificación en relación con la manifestación expresa de la persona que atendió las diligencias de diez y once de diciembre de dos mil quince, en las que señaló que </w:t>
      </w:r>
      <w:r w:rsidRPr="00F10851">
        <w:rPr>
          <w:rFonts w:ascii="ITC Avant Garde" w:hAnsi="ITC Avant Garde"/>
          <w:b/>
          <w:sz w:val="20"/>
          <w:szCs w:val="20"/>
        </w:rPr>
        <w:t>MEGA CABLE</w:t>
      </w:r>
      <w:r w:rsidRPr="00F10851">
        <w:rPr>
          <w:rFonts w:ascii="ITC Avant Garde" w:hAnsi="ITC Avant Garde"/>
          <w:sz w:val="20"/>
          <w:szCs w:val="20"/>
        </w:rPr>
        <w:t xml:space="preserve"> no retransmitía la señal multiprogramada 11.2 “Once niños” del Instituto Politécnico Nacional, argumentando que como se advierte de los datos asentados en la “</w:t>
      </w:r>
      <w:r w:rsidRPr="00F10851">
        <w:rPr>
          <w:rFonts w:ascii="ITC Avant Garde" w:hAnsi="ITC Avant Garde"/>
          <w:b/>
          <w:sz w:val="20"/>
          <w:szCs w:val="20"/>
        </w:rPr>
        <w:t>TABLA 1</w:t>
      </w:r>
      <w:r w:rsidRPr="00F10851">
        <w:rPr>
          <w:rFonts w:ascii="ITC Avant Garde" w:hAnsi="ITC Avant Garde"/>
          <w:sz w:val="20"/>
          <w:szCs w:val="20"/>
        </w:rPr>
        <w:t>” y la “</w:t>
      </w:r>
      <w:r w:rsidRPr="00F10851">
        <w:rPr>
          <w:rFonts w:ascii="ITC Avant Garde" w:hAnsi="ITC Avant Garde"/>
          <w:b/>
          <w:sz w:val="20"/>
          <w:szCs w:val="20"/>
        </w:rPr>
        <w:t>TABLA 5</w:t>
      </w:r>
      <w:r w:rsidRPr="00F10851">
        <w:rPr>
          <w:rFonts w:ascii="ITC Avant Garde" w:hAnsi="ITC Avant Garde"/>
          <w:sz w:val="20"/>
          <w:szCs w:val="20"/>
        </w:rPr>
        <w:t>”, esta señal no se encontraba disponible de forma radiodifundida.</w:t>
      </w:r>
    </w:p>
    <w:p w14:paraId="28B67B59" w14:textId="77777777" w:rsidR="00E2222D" w:rsidRDefault="004123B8" w:rsidP="00907F25">
      <w:pPr>
        <w:tabs>
          <w:tab w:val="left" w:pos="2268"/>
        </w:tabs>
        <w:spacing w:after="240" w:line="360" w:lineRule="auto"/>
        <w:ind w:left="2127"/>
        <w:jc w:val="both"/>
        <w:rPr>
          <w:rFonts w:ascii="ITC Avant Garde" w:hAnsi="ITC Avant Garde"/>
          <w:sz w:val="20"/>
          <w:szCs w:val="20"/>
        </w:rPr>
      </w:pPr>
      <w:r>
        <w:rPr>
          <w:rFonts w:ascii="ITC Avant Garde" w:hAnsi="ITC Avant Garde"/>
          <w:sz w:val="20"/>
          <w:szCs w:val="20"/>
        </w:rPr>
        <w:t>…”</w:t>
      </w:r>
    </w:p>
    <w:p w14:paraId="4B341383" w14:textId="77777777" w:rsidR="00E2222D" w:rsidRDefault="00F10851" w:rsidP="00907F25">
      <w:pPr>
        <w:spacing w:after="240" w:line="360" w:lineRule="auto"/>
        <w:jc w:val="both"/>
        <w:rPr>
          <w:rFonts w:ascii="ITC Avant Garde" w:hAnsi="ITC Avant Garde"/>
          <w:color w:val="000000"/>
        </w:rPr>
      </w:pPr>
      <w:r>
        <w:rPr>
          <w:rFonts w:ascii="ITC Avant Garde" w:hAnsi="ITC Avant Garde"/>
          <w:color w:val="000000"/>
        </w:rPr>
        <w:t xml:space="preserve">De lo anterior se desprende que, contrario a lo sostenido por </w:t>
      </w:r>
      <w:r>
        <w:rPr>
          <w:rFonts w:ascii="ITC Avant Garde" w:hAnsi="ITC Avant Garde"/>
          <w:b/>
          <w:color w:val="000000"/>
        </w:rPr>
        <w:t>MEGA CABLE</w:t>
      </w:r>
      <w:r>
        <w:rPr>
          <w:rFonts w:ascii="ITC Avant Garde" w:hAnsi="ITC Avant Garde"/>
          <w:color w:val="000000"/>
        </w:rPr>
        <w:t xml:space="preserve"> en el acuerdo de inicio se hizo de su conocimiento de manera detallada que en la visita de verificación que le fue practicada los días siete, diez y once de diciembre de dos mil quince, se le solicitó acreditara que cumplía con la obligación de retransmitir todas las señales radiodifundidas de las Instituciones Públicas Federales y quedó asentado y corroborado por los verificadores que no era retransmitida la señal multiprogramada del canal 11.2 “Once Niños” del Instituto Politécnico Nacional, hecho que dio origen tanto al Dictamen de incumplimiento como al inicio del procedimiento administrativo sancionatorio.</w:t>
      </w:r>
    </w:p>
    <w:p w14:paraId="71443C95" w14:textId="77777777" w:rsidR="00E2222D" w:rsidRDefault="00F10851" w:rsidP="00907F25">
      <w:pPr>
        <w:spacing w:after="240" w:line="360" w:lineRule="auto"/>
        <w:jc w:val="both"/>
        <w:rPr>
          <w:rFonts w:ascii="ITC Avant Garde" w:hAnsi="ITC Avant Garde"/>
          <w:color w:val="000000"/>
        </w:rPr>
      </w:pPr>
      <w:r>
        <w:rPr>
          <w:rFonts w:ascii="ITC Avant Garde" w:hAnsi="ITC Avant Garde"/>
          <w:color w:val="000000"/>
        </w:rPr>
        <w:lastRenderedPageBreak/>
        <w:t xml:space="preserve">Por lo anterior, resulta </w:t>
      </w:r>
      <w:r w:rsidRPr="00F10851">
        <w:rPr>
          <w:rFonts w:ascii="ITC Avant Garde" w:hAnsi="ITC Avant Garde"/>
          <w:b/>
          <w:color w:val="000000"/>
          <w:u w:val="single"/>
        </w:rPr>
        <w:t>infundado</w:t>
      </w:r>
      <w:r>
        <w:rPr>
          <w:rFonts w:ascii="ITC Avant Garde" w:hAnsi="ITC Avant Garde"/>
          <w:color w:val="000000"/>
        </w:rPr>
        <w:t xml:space="preserve"> el argumento por el que sostiene que no se hicieron de su conocimiento las circunstancias de tiempo modo y lugar con las que la autoridad se percató del presunto incumplimiento.</w:t>
      </w:r>
    </w:p>
    <w:p w14:paraId="556C4A70" w14:textId="27DD564B" w:rsidR="008F7735" w:rsidRPr="00DF1367" w:rsidRDefault="001F2EA2" w:rsidP="00907F25">
      <w:pPr>
        <w:spacing w:after="240" w:line="360" w:lineRule="auto"/>
        <w:jc w:val="both"/>
        <w:rPr>
          <w:rFonts w:ascii="ITC Avant Garde" w:hAnsi="ITC Avant Garde"/>
          <w:color w:val="000000"/>
          <w:u w:val="single"/>
        </w:rPr>
      </w:pPr>
      <w:r>
        <w:rPr>
          <w:rFonts w:ascii="ITC Avant Garde" w:hAnsi="ITC Avant Garde"/>
          <w:color w:val="000000"/>
        </w:rPr>
        <w:t>Ahora bien</w:t>
      </w:r>
      <w:r w:rsidR="008F7735">
        <w:rPr>
          <w:rFonts w:ascii="ITC Avant Garde" w:hAnsi="ITC Avant Garde"/>
          <w:color w:val="000000"/>
        </w:rPr>
        <w:t xml:space="preserve">, por lo hace al argumento en el que </w:t>
      </w:r>
      <w:r w:rsidR="008F7735">
        <w:rPr>
          <w:rFonts w:ascii="ITC Avant Garde" w:hAnsi="ITC Avant Garde"/>
          <w:b/>
          <w:color w:val="000000"/>
        </w:rPr>
        <w:t xml:space="preserve">MEGA CABLE </w:t>
      </w:r>
      <w:r w:rsidR="008F7735">
        <w:rPr>
          <w:rFonts w:ascii="ITC Avant Garde" w:hAnsi="ITC Avant Garde"/>
          <w:color w:val="000000"/>
        </w:rPr>
        <w:t xml:space="preserve">señala que cumplía con lo establecido en el artículo 12 de los </w:t>
      </w:r>
      <w:r w:rsidR="008F7735">
        <w:rPr>
          <w:rFonts w:ascii="ITC Avant Garde" w:hAnsi="ITC Avant Garde"/>
          <w:b/>
          <w:color w:val="000000"/>
        </w:rPr>
        <w:t xml:space="preserve">LINEAMIENTOS, </w:t>
      </w:r>
      <w:r w:rsidR="008F7735">
        <w:rPr>
          <w:rFonts w:ascii="ITC Avant Garde" w:hAnsi="ITC Avant Garde"/>
          <w:color w:val="000000"/>
        </w:rPr>
        <w:t xml:space="preserve">sus respectivas modificaciones contenidas en el </w:t>
      </w:r>
      <w:r w:rsidR="008F7735">
        <w:rPr>
          <w:rFonts w:ascii="ITC Avant Garde" w:hAnsi="ITC Avant Garde"/>
          <w:b/>
          <w:color w:val="000000"/>
        </w:rPr>
        <w:t>ACUERDO MODIFICATORIO</w:t>
      </w:r>
      <w:r w:rsidR="008F7735">
        <w:rPr>
          <w:rFonts w:ascii="ITC Avant Garde" w:hAnsi="ITC Avant Garde"/>
          <w:color w:val="000000"/>
        </w:rPr>
        <w:t xml:space="preserve">, el </w:t>
      </w:r>
      <w:r w:rsidR="008F7735">
        <w:rPr>
          <w:rFonts w:ascii="ITC Avant Garde" w:hAnsi="ITC Avant Garde"/>
          <w:b/>
          <w:color w:val="000000"/>
        </w:rPr>
        <w:t xml:space="preserve">LISTADO </w:t>
      </w:r>
      <w:r w:rsidR="008F7735">
        <w:rPr>
          <w:rFonts w:ascii="ITC Avant Garde" w:hAnsi="ITC Avant Garde"/>
          <w:color w:val="000000"/>
        </w:rPr>
        <w:t xml:space="preserve">y sus correspondientes </w:t>
      </w:r>
      <w:r w:rsidR="008F7735">
        <w:rPr>
          <w:rFonts w:ascii="ITC Avant Garde" w:hAnsi="ITC Avant Garde"/>
          <w:b/>
          <w:color w:val="000000"/>
        </w:rPr>
        <w:t>ACTUALIZACIONES</w:t>
      </w:r>
      <w:r w:rsidR="008F7735">
        <w:rPr>
          <w:rFonts w:ascii="ITC Avant Garde" w:hAnsi="ITC Avant Garde"/>
          <w:color w:val="000000"/>
        </w:rPr>
        <w:t>, en virtud de que transmit</w:t>
      </w:r>
      <w:r w:rsidR="00F93A04">
        <w:rPr>
          <w:rFonts w:ascii="ITC Avant Garde" w:hAnsi="ITC Avant Garde"/>
          <w:color w:val="000000"/>
        </w:rPr>
        <w:t>ía</w:t>
      </w:r>
      <w:r w:rsidR="008F7735">
        <w:rPr>
          <w:rFonts w:ascii="ITC Avant Garde" w:hAnsi="ITC Avant Garde"/>
          <w:color w:val="000000"/>
        </w:rPr>
        <w:t xml:space="preserve"> el canal 11.1 </w:t>
      </w:r>
      <w:r w:rsidR="007953B9">
        <w:rPr>
          <w:rFonts w:ascii="ITC Avant Garde" w:hAnsi="ITC Avant Garde"/>
          <w:color w:val="000000"/>
        </w:rPr>
        <w:t xml:space="preserve">el cual tiene integrada la señal </w:t>
      </w:r>
      <w:r w:rsidR="008F7735">
        <w:rPr>
          <w:rFonts w:ascii="ITC Avant Garde" w:hAnsi="ITC Avant Garde"/>
          <w:color w:val="000000"/>
        </w:rPr>
        <w:t>multiprogramad</w:t>
      </w:r>
      <w:r w:rsidR="007953B9">
        <w:rPr>
          <w:rFonts w:ascii="ITC Avant Garde" w:hAnsi="ITC Avant Garde"/>
          <w:color w:val="000000"/>
        </w:rPr>
        <w:t>a</w:t>
      </w:r>
      <w:r w:rsidR="008F7735">
        <w:rPr>
          <w:rFonts w:ascii="ITC Avant Garde" w:hAnsi="ITC Avant Garde"/>
          <w:color w:val="000000"/>
        </w:rPr>
        <w:t xml:space="preserve"> 11.2 por tratarse de un canal multiplexado, igualmente resulta </w:t>
      </w:r>
      <w:r w:rsidR="008F7735">
        <w:rPr>
          <w:rFonts w:ascii="ITC Avant Garde" w:hAnsi="ITC Avant Garde"/>
          <w:b/>
          <w:color w:val="000000"/>
          <w:u w:val="single"/>
        </w:rPr>
        <w:t>infundado</w:t>
      </w:r>
      <w:r w:rsidR="008F7735">
        <w:rPr>
          <w:rFonts w:ascii="ITC Avant Garde" w:hAnsi="ITC Avant Garde"/>
          <w:color w:val="000000"/>
          <w:u w:val="single"/>
        </w:rPr>
        <w:t>.</w:t>
      </w:r>
    </w:p>
    <w:p w14:paraId="44C556FA" w14:textId="77777777" w:rsidR="00E2222D" w:rsidRDefault="00F93A04" w:rsidP="00907F25">
      <w:pPr>
        <w:spacing w:after="240" w:line="360" w:lineRule="auto"/>
        <w:jc w:val="both"/>
        <w:rPr>
          <w:rFonts w:ascii="ITC Avant Garde" w:hAnsi="ITC Avant Garde"/>
          <w:color w:val="000000"/>
        </w:rPr>
      </w:pPr>
      <w:r>
        <w:rPr>
          <w:rFonts w:ascii="ITC Avant Garde" w:hAnsi="ITC Avant Garde"/>
          <w:color w:val="000000"/>
        </w:rPr>
        <w:t>Al respecto, e</w:t>
      </w:r>
      <w:r w:rsidR="00B05E91">
        <w:rPr>
          <w:rFonts w:ascii="ITC Avant Garde" w:hAnsi="ITC Avant Garde"/>
          <w:color w:val="000000"/>
        </w:rPr>
        <w:t>n primer término</w:t>
      </w:r>
      <w:r>
        <w:rPr>
          <w:rFonts w:ascii="ITC Avant Garde" w:hAnsi="ITC Avant Garde"/>
          <w:color w:val="000000"/>
        </w:rPr>
        <w:t xml:space="preserve"> es de señalar que</w:t>
      </w:r>
      <w:r w:rsidR="00144D61">
        <w:rPr>
          <w:rFonts w:ascii="ITC Avant Garde" w:hAnsi="ITC Avant Garde"/>
          <w:color w:val="000000"/>
        </w:rPr>
        <w:t xml:space="preserve"> el artículo 3, fracción XXXVII de la </w:t>
      </w:r>
      <w:r w:rsidR="00250345">
        <w:rPr>
          <w:rFonts w:ascii="ITC Avant Garde" w:hAnsi="ITC Avant Garde"/>
          <w:b/>
          <w:color w:val="000000"/>
        </w:rPr>
        <w:t>LFTR</w:t>
      </w:r>
      <w:r w:rsidR="00144D61">
        <w:rPr>
          <w:rFonts w:ascii="ITC Avant Garde" w:hAnsi="ITC Avant Garde"/>
          <w:color w:val="000000"/>
        </w:rPr>
        <w:t xml:space="preserve"> establece que la </w:t>
      </w:r>
      <w:r w:rsidR="00144D61" w:rsidRPr="00DF1367">
        <w:rPr>
          <w:rFonts w:ascii="ITC Avant Garde" w:hAnsi="ITC Avant Garde"/>
          <w:b/>
          <w:color w:val="000000"/>
          <w:u w:val="single"/>
        </w:rPr>
        <w:t>multiprogramación</w:t>
      </w:r>
      <w:r w:rsidR="00144D61">
        <w:rPr>
          <w:rFonts w:ascii="ITC Avant Garde" w:hAnsi="ITC Avant Garde"/>
          <w:color w:val="000000"/>
        </w:rPr>
        <w:t xml:space="preserve"> es </w:t>
      </w:r>
      <w:r w:rsidR="00144D61">
        <w:rPr>
          <w:rFonts w:ascii="ITC Avant Garde" w:hAnsi="ITC Avant Garde"/>
          <w:i/>
          <w:color w:val="000000"/>
        </w:rPr>
        <w:t>“</w:t>
      </w:r>
      <w:r w:rsidR="00144D61" w:rsidRPr="00A77A23">
        <w:rPr>
          <w:rFonts w:ascii="ITC Avant Garde" w:hAnsi="ITC Avant Garde"/>
          <w:i/>
          <w:color w:val="000000"/>
        </w:rPr>
        <w:t>la distribución de más de un canal de programación en el mismo Canal de Transmisión</w:t>
      </w:r>
      <w:r w:rsidR="00144D61">
        <w:rPr>
          <w:rFonts w:ascii="ITC Avant Garde" w:hAnsi="ITC Avant Garde"/>
          <w:color w:val="000000"/>
        </w:rPr>
        <w:t>”, lo cual resulta ser consistente con lo establecido</w:t>
      </w:r>
      <w:r w:rsidR="00144D61" w:rsidRPr="008C33FF">
        <w:rPr>
          <w:rFonts w:ascii="ITC Avant Garde" w:hAnsi="ITC Avant Garde"/>
          <w:color w:val="000000"/>
        </w:rPr>
        <w:t xml:space="preserve"> </w:t>
      </w:r>
      <w:r w:rsidR="00144D61">
        <w:rPr>
          <w:rFonts w:ascii="ITC Avant Garde" w:hAnsi="ITC Avant Garde"/>
          <w:color w:val="000000"/>
        </w:rPr>
        <w:t xml:space="preserve">en la fracción XXIV del artículo 3 de la </w:t>
      </w:r>
      <w:r w:rsidR="00144D61" w:rsidRPr="00C57418">
        <w:rPr>
          <w:rFonts w:ascii="ITC Avant Garde" w:hAnsi="ITC Avant Garde"/>
          <w:i/>
          <w:color w:val="000000"/>
        </w:rPr>
        <w:t>“Política vigente para la Transición a la Televisión Digital Terrestre (TDT)</w:t>
      </w:r>
      <w:r w:rsidR="00144D61">
        <w:rPr>
          <w:rFonts w:ascii="ITC Avant Garde" w:hAnsi="ITC Avant Garde"/>
          <w:i/>
          <w:color w:val="000000"/>
        </w:rPr>
        <w:t>”</w:t>
      </w:r>
      <w:r w:rsidR="00144D61">
        <w:rPr>
          <w:rFonts w:ascii="ITC Avant Garde" w:hAnsi="ITC Avant Garde"/>
          <w:color w:val="000000"/>
        </w:rPr>
        <w:t xml:space="preserve">, publicada en el </w:t>
      </w:r>
      <w:r w:rsidR="00144D61">
        <w:rPr>
          <w:rFonts w:ascii="ITC Avant Garde" w:hAnsi="ITC Avant Garde"/>
          <w:b/>
          <w:color w:val="000000"/>
        </w:rPr>
        <w:t xml:space="preserve">DOF </w:t>
      </w:r>
      <w:r w:rsidR="00144D61">
        <w:rPr>
          <w:rFonts w:ascii="ITC Avant Garde" w:hAnsi="ITC Avant Garde"/>
          <w:color w:val="000000"/>
        </w:rPr>
        <w:t xml:space="preserve">el 11 de septiembre de 2014 (en adelante </w:t>
      </w:r>
      <w:r w:rsidR="00144D61">
        <w:rPr>
          <w:rFonts w:ascii="ITC Avant Garde" w:hAnsi="ITC Avant Garde"/>
          <w:b/>
          <w:color w:val="000000"/>
        </w:rPr>
        <w:t>“Política TDT”</w:t>
      </w:r>
      <w:r w:rsidR="00144D61">
        <w:rPr>
          <w:rFonts w:ascii="ITC Avant Garde" w:hAnsi="ITC Avant Garde"/>
          <w:color w:val="000000"/>
        </w:rPr>
        <w:t xml:space="preserve">),  </w:t>
      </w:r>
    </w:p>
    <w:p w14:paraId="4BECEFE3" w14:textId="77777777" w:rsidR="00E2222D" w:rsidRDefault="00A02E22" w:rsidP="00907F25">
      <w:pPr>
        <w:spacing w:after="240" w:line="360" w:lineRule="auto"/>
        <w:jc w:val="both"/>
        <w:rPr>
          <w:rFonts w:ascii="ITC Avant Garde" w:hAnsi="ITC Avant Garde"/>
          <w:b/>
          <w:color w:val="000000"/>
        </w:rPr>
      </w:pPr>
      <w:r>
        <w:rPr>
          <w:rFonts w:ascii="ITC Avant Garde" w:hAnsi="ITC Avant Garde"/>
          <w:color w:val="000000"/>
        </w:rPr>
        <w:t>As</w:t>
      </w:r>
      <w:r w:rsidR="00B05E91">
        <w:rPr>
          <w:rFonts w:ascii="ITC Avant Garde" w:hAnsi="ITC Avant Garde"/>
          <w:color w:val="000000"/>
        </w:rPr>
        <w:t>i</w:t>
      </w:r>
      <w:r>
        <w:rPr>
          <w:rFonts w:ascii="ITC Avant Garde" w:hAnsi="ITC Avant Garde"/>
          <w:color w:val="000000"/>
        </w:rPr>
        <w:t xml:space="preserve">mismo, </w:t>
      </w:r>
      <w:r w:rsidR="00144D61">
        <w:rPr>
          <w:rFonts w:ascii="ITC Avant Garde" w:hAnsi="ITC Avant Garde"/>
          <w:color w:val="000000"/>
        </w:rPr>
        <w:t>el artículo 2, fracción XXXV</w:t>
      </w:r>
      <w:r w:rsidR="00144D61" w:rsidRPr="00144D61">
        <w:rPr>
          <w:rFonts w:ascii="ITC Avant Garde" w:hAnsi="ITC Avant Garde"/>
          <w:b/>
          <w:color w:val="000000"/>
        </w:rPr>
        <w:t xml:space="preserve"> </w:t>
      </w:r>
      <w:r w:rsidR="00144D61">
        <w:rPr>
          <w:rFonts w:ascii="ITC Avant Garde" w:hAnsi="ITC Avant Garde"/>
          <w:color w:val="000000"/>
        </w:rPr>
        <w:t xml:space="preserve">de la </w:t>
      </w:r>
      <w:r w:rsidR="00144D61">
        <w:rPr>
          <w:rFonts w:ascii="ITC Avant Garde" w:hAnsi="ITC Avant Garde"/>
          <w:b/>
          <w:color w:val="000000"/>
        </w:rPr>
        <w:t>Política TDT</w:t>
      </w:r>
      <w:r w:rsidR="00144D61">
        <w:rPr>
          <w:rFonts w:ascii="ITC Avant Garde" w:hAnsi="ITC Avant Garde"/>
          <w:color w:val="000000"/>
        </w:rPr>
        <w:t xml:space="preserve">, hace referencia al término </w:t>
      </w:r>
      <w:r w:rsidR="00144D61">
        <w:rPr>
          <w:rFonts w:ascii="ITC Avant Garde" w:hAnsi="ITC Avant Garde"/>
          <w:i/>
          <w:color w:val="000000"/>
        </w:rPr>
        <w:t xml:space="preserve">“Televisión Digital Terrestre”, </w:t>
      </w:r>
      <w:r w:rsidR="00144D61">
        <w:rPr>
          <w:rFonts w:ascii="ITC Avant Garde" w:hAnsi="ITC Avant Garde"/>
          <w:color w:val="000000"/>
        </w:rPr>
        <w:t>entendiéndose como “</w:t>
      </w:r>
      <w:r w:rsidR="00144D61" w:rsidRPr="00C57418">
        <w:rPr>
          <w:rFonts w:ascii="ITC Avant Garde" w:hAnsi="ITC Avant Garde"/>
          <w:i/>
          <w:color w:val="000000"/>
        </w:rPr>
        <w:t xml:space="preserve">la tecnología que comprende la codificación de señales, </w:t>
      </w:r>
      <w:r w:rsidR="00144D61" w:rsidRPr="00C57418">
        <w:rPr>
          <w:rFonts w:ascii="ITC Avant Garde" w:hAnsi="ITC Avant Garde"/>
          <w:b/>
          <w:i/>
          <w:color w:val="000000"/>
          <w:u w:val="single"/>
        </w:rPr>
        <w:t>el multiplexeo de las mismas y otros datos,</w:t>
      </w:r>
      <w:r w:rsidR="00144D61" w:rsidRPr="00C57418">
        <w:rPr>
          <w:rFonts w:ascii="ITC Avant Garde" w:hAnsi="ITC Avant Garde"/>
          <w:i/>
          <w:color w:val="000000"/>
        </w:rPr>
        <w:t xml:space="preserve"> así como la codificación final, modulación y transmisión por medio del Espectro Radioeléctrico atribuido al </w:t>
      </w:r>
      <w:r w:rsidR="00144D61">
        <w:rPr>
          <w:rFonts w:ascii="ITC Avant Garde" w:hAnsi="ITC Avant Garde"/>
          <w:i/>
          <w:color w:val="000000"/>
        </w:rPr>
        <w:t>S</w:t>
      </w:r>
      <w:r w:rsidR="00144D61" w:rsidRPr="00C57418">
        <w:rPr>
          <w:rFonts w:ascii="ITC Avant Garde" w:hAnsi="ITC Avant Garde"/>
          <w:i/>
          <w:color w:val="000000"/>
        </w:rPr>
        <w:t xml:space="preserve">ervicio de </w:t>
      </w:r>
      <w:r w:rsidR="00144D61">
        <w:rPr>
          <w:rFonts w:ascii="ITC Avant Garde" w:hAnsi="ITC Avant Garde"/>
          <w:i/>
          <w:color w:val="000000"/>
        </w:rPr>
        <w:t>R</w:t>
      </w:r>
      <w:r w:rsidR="00144D61" w:rsidRPr="00C57418">
        <w:rPr>
          <w:rFonts w:ascii="ITC Avant Garde" w:hAnsi="ITC Avant Garde"/>
          <w:i/>
          <w:color w:val="000000"/>
        </w:rPr>
        <w:t>adiodifusión</w:t>
      </w:r>
      <w:r w:rsidR="00144D61">
        <w:rPr>
          <w:rFonts w:ascii="ITC Avant Garde" w:hAnsi="ITC Avant Garde"/>
          <w:i/>
          <w:color w:val="000000"/>
        </w:rPr>
        <w:t>”</w:t>
      </w:r>
    </w:p>
    <w:p w14:paraId="4C2E9C41" w14:textId="77777777" w:rsidR="00E2222D" w:rsidRDefault="005D3380" w:rsidP="00907F25">
      <w:pPr>
        <w:spacing w:after="240" w:line="360" w:lineRule="auto"/>
        <w:jc w:val="both"/>
        <w:rPr>
          <w:rFonts w:ascii="ITC Avant Garde" w:hAnsi="ITC Avant Garde"/>
          <w:color w:val="000000"/>
        </w:rPr>
      </w:pPr>
      <w:r>
        <w:rPr>
          <w:rFonts w:ascii="ITC Avant Garde" w:hAnsi="ITC Avant Garde"/>
          <w:color w:val="000000"/>
        </w:rPr>
        <w:t xml:space="preserve">En esa tesitura, </w:t>
      </w:r>
      <w:r w:rsidR="00F93A04">
        <w:rPr>
          <w:rFonts w:ascii="ITC Avant Garde" w:hAnsi="ITC Avant Garde"/>
          <w:color w:val="000000"/>
        </w:rPr>
        <w:t>l</w:t>
      </w:r>
      <w:r w:rsidR="000E4DB3">
        <w:rPr>
          <w:rFonts w:ascii="ITC Avant Garde" w:hAnsi="ITC Avant Garde"/>
          <w:color w:val="000000"/>
        </w:rPr>
        <w:t xml:space="preserve">o que pretende argumentar </w:t>
      </w:r>
      <w:r w:rsidR="000E4DB3">
        <w:rPr>
          <w:rFonts w:ascii="ITC Avant Garde" w:hAnsi="ITC Avant Garde"/>
          <w:b/>
          <w:color w:val="000000"/>
        </w:rPr>
        <w:t xml:space="preserve">MEGA CABLE </w:t>
      </w:r>
      <w:r w:rsidR="000E4DB3">
        <w:rPr>
          <w:rFonts w:ascii="ITC Avant Garde" w:hAnsi="ITC Avant Garde"/>
          <w:color w:val="000000"/>
        </w:rPr>
        <w:t xml:space="preserve">es que al </w:t>
      </w:r>
      <w:r w:rsidR="002E2E8C">
        <w:rPr>
          <w:rFonts w:ascii="ITC Avant Garde" w:hAnsi="ITC Avant Garde"/>
          <w:color w:val="000000"/>
        </w:rPr>
        <w:t>captar la señal decodificada de</w:t>
      </w:r>
      <w:r w:rsidR="008B05C0">
        <w:rPr>
          <w:rFonts w:ascii="ITC Avant Garde" w:hAnsi="ITC Avant Garde"/>
          <w:color w:val="000000"/>
        </w:rPr>
        <w:t xml:space="preserve">l Instituto Politécnico Nacional </w:t>
      </w:r>
      <w:r w:rsidR="00F93A04">
        <w:rPr>
          <w:rFonts w:ascii="ITC Avant Garde" w:hAnsi="ITC Avant Garde"/>
          <w:color w:val="000000"/>
        </w:rPr>
        <w:t>y</w:t>
      </w:r>
      <w:r w:rsidR="002E2E8C">
        <w:rPr>
          <w:rFonts w:ascii="ITC Avant Garde" w:hAnsi="ITC Avant Garde"/>
          <w:color w:val="000000"/>
        </w:rPr>
        <w:t xml:space="preserve"> únicamente enc</w:t>
      </w:r>
      <w:r w:rsidR="00F93A04">
        <w:rPr>
          <w:rFonts w:ascii="ITC Avant Garde" w:hAnsi="ITC Avant Garde"/>
          <w:color w:val="000000"/>
        </w:rPr>
        <w:t>ontrar</w:t>
      </w:r>
      <w:r w:rsidR="002E2E8C">
        <w:rPr>
          <w:rFonts w:ascii="ITC Avant Garde" w:hAnsi="ITC Avant Garde"/>
          <w:color w:val="000000"/>
        </w:rPr>
        <w:t xml:space="preserve"> disponible para su retransmisión la señal del canal 11.1, </w:t>
      </w:r>
      <w:r w:rsidR="00104A76">
        <w:rPr>
          <w:rFonts w:ascii="ITC Avant Garde" w:hAnsi="ITC Avant Garde"/>
          <w:color w:val="000000"/>
        </w:rPr>
        <w:t xml:space="preserve">considera que con </w:t>
      </w:r>
      <w:r w:rsidR="000F2DC3">
        <w:rPr>
          <w:rFonts w:ascii="ITC Avant Garde" w:hAnsi="ITC Avant Garde"/>
          <w:color w:val="000000"/>
        </w:rPr>
        <w:t xml:space="preserve">la </w:t>
      </w:r>
      <w:r w:rsidR="00104A76">
        <w:rPr>
          <w:rFonts w:ascii="ITC Avant Garde" w:hAnsi="ITC Avant Garde"/>
          <w:color w:val="000000"/>
        </w:rPr>
        <w:t xml:space="preserve">transmisión </w:t>
      </w:r>
      <w:r w:rsidR="000F2DC3">
        <w:rPr>
          <w:rFonts w:ascii="ITC Avant Garde" w:hAnsi="ITC Avant Garde"/>
          <w:color w:val="000000"/>
        </w:rPr>
        <w:t xml:space="preserve">de éste </w:t>
      </w:r>
      <w:r w:rsidR="00104A76">
        <w:rPr>
          <w:rFonts w:ascii="ITC Avant Garde" w:hAnsi="ITC Avant Garde"/>
          <w:color w:val="000000"/>
        </w:rPr>
        <w:t xml:space="preserve">cumple con el canal multiprogramado 11.2, porque la señal multiplexada es distribuida </w:t>
      </w:r>
      <w:r w:rsidR="00C42315">
        <w:rPr>
          <w:rFonts w:ascii="ITC Avant Garde" w:hAnsi="ITC Avant Garde"/>
          <w:color w:val="000000"/>
        </w:rPr>
        <w:t xml:space="preserve">dentro </w:t>
      </w:r>
      <w:r w:rsidR="00104A76">
        <w:rPr>
          <w:rFonts w:ascii="ITC Avant Garde" w:hAnsi="ITC Avant Garde"/>
          <w:color w:val="000000"/>
        </w:rPr>
        <w:t>del mismo canal de transmisión, sin embargo, tal circunstancia no desvirtúa el incumplimiento detectado.</w:t>
      </w:r>
      <w:r w:rsidR="00104A76">
        <w:rPr>
          <w:rFonts w:ascii="ITC Avant Garde" w:hAnsi="ITC Avant Garde"/>
          <w:b/>
          <w:color w:val="000000"/>
        </w:rPr>
        <w:t xml:space="preserve"> </w:t>
      </w:r>
    </w:p>
    <w:p w14:paraId="6CE00F86" w14:textId="77777777" w:rsidR="00E2222D" w:rsidRDefault="0074498A" w:rsidP="00907F25">
      <w:pPr>
        <w:spacing w:after="240" w:line="360" w:lineRule="auto"/>
        <w:jc w:val="both"/>
        <w:rPr>
          <w:rFonts w:ascii="ITC Avant Garde" w:hAnsi="ITC Avant Garde"/>
          <w:color w:val="000000"/>
        </w:rPr>
      </w:pPr>
      <w:r>
        <w:rPr>
          <w:rFonts w:ascii="ITC Avant Garde" w:hAnsi="ITC Avant Garde"/>
          <w:color w:val="000000"/>
        </w:rPr>
        <w:lastRenderedPageBreak/>
        <w:t>Lo anterior</w:t>
      </w:r>
      <w:r w:rsidR="002E2E8C">
        <w:rPr>
          <w:rFonts w:ascii="ITC Avant Garde" w:hAnsi="ITC Avant Garde"/>
          <w:color w:val="000000"/>
        </w:rPr>
        <w:t xml:space="preserve">, </w:t>
      </w:r>
      <w:r>
        <w:rPr>
          <w:rFonts w:ascii="ITC Avant Garde" w:hAnsi="ITC Avant Garde"/>
          <w:color w:val="000000"/>
        </w:rPr>
        <w:t xml:space="preserve">toda vez que en su carácter de concesionario </w:t>
      </w:r>
      <w:r w:rsidR="008B05C0">
        <w:rPr>
          <w:rFonts w:ascii="ITC Avant Garde" w:hAnsi="ITC Avant Garde"/>
          <w:color w:val="000000"/>
        </w:rPr>
        <w:t xml:space="preserve">estaba obligado a </w:t>
      </w:r>
      <w:r>
        <w:rPr>
          <w:rFonts w:ascii="ITC Avant Garde" w:hAnsi="ITC Avant Garde"/>
          <w:color w:val="000000"/>
        </w:rPr>
        <w:t>utilizar los medios tecnológicos necesarios para cumplir con la retransmisión de la señal 11.1 de</w:t>
      </w:r>
      <w:r w:rsidR="000F2DC3">
        <w:rPr>
          <w:rFonts w:ascii="ITC Avant Garde" w:hAnsi="ITC Avant Garde"/>
          <w:color w:val="000000"/>
        </w:rPr>
        <w:t>l</w:t>
      </w:r>
      <w:r>
        <w:rPr>
          <w:rFonts w:ascii="ITC Avant Garde" w:hAnsi="ITC Avant Garde"/>
          <w:color w:val="000000"/>
        </w:rPr>
        <w:t xml:space="preserve"> Instituto Politécnico Nacional</w:t>
      </w:r>
      <w:r w:rsidR="000F2DC3" w:rsidRPr="000F2DC3">
        <w:rPr>
          <w:rFonts w:ascii="ITC Avant Garde" w:hAnsi="ITC Avant Garde"/>
          <w:color w:val="000000"/>
        </w:rPr>
        <w:t xml:space="preserve"> </w:t>
      </w:r>
      <w:r w:rsidR="000F2DC3">
        <w:rPr>
          <w:rFonts w:ascii="ITC Avant Garde" w:hAnsi="ITC Avant Garde"/>
          <w:color w:val="000000"/>
        </w:rPr>
        <w:t>al tratarse de una Institución Pública Federal</w:t>
      </w:r>
      <w:r>
        <w:rPr>
          <w:rFonts w:ascii="ITC Avant Garde" w:hAnsi="ITC Avant Garde"/>
          <w:color w:val="000000"/>
        </w:rPr>
        <w:t>, incluyendo la multiprogramada 11.2 Once Niños, de forma g</w:t>
      </w:r>
      <w:r w:rsidRPr="0074498A">
        <w:rPr>
          <w:rFonts w:ascii="ITC Avant Garde" w:hAnsi="ITC Avant Garde"/>
          <w:color w:val="000000"/>
        </w:rPr>
        <w:t xml:space="preserve">ratuita y </w:t>
      </w:r>
      <w:r>
        <w:rPr>
          <w:rFonts w:ascii="ITC Avant Garde" w:hAnsi="ITC Avant Garde"/>
          <w:color w:val="000000"/>
        </w:rPr>
        <w:t>n</w:t>
      </w:r>
      <w:r w:rsidRPr="0074498A">
        <w:rPr>
          <w:rFonts w:ascii="ITC Avant Garde" w:hAnsi="ITC Avant Garde"/>
          <w:color w:val="000000"/>
        </w:rPr>
        <w:t xml:space="preserve">o </w:t>
      </w:r>
      <w:r>
        <w:rPr>
          <w:rFonts w:ascii="ITC Avant Garde" w:hAnsi="ITC Avant Garde"/>
          <w:color w:val="000000"/>
        </w:rPr>
        <w:t>d</w:t>
      </w:r>
      <w:r w:rsidRPr="0074498A">
        <w:rPr>
          <w:rFonts w:ascii="ITC Avant Garde" w:hAnsi="ITC Avant Garde"/>
          <w:color w:val="000000"/>
        </w:rPr>
        <w:t xml:space="preserve">iscriminatoria, en </w:t>
      </w:r>
      <w:r>
        <w:rPr>
          <w:rFonts w:ascii="ITC Avant Garde" w:hAnsi="ITC Avant Garde"/>
          <w:color w:val="000000"/>
        </w:rPr>
        <w:t>f</w:t>
      </w:r>
      <w:r w:rsidRPr="0074498A">
        <w:rPr>
          <w:rFonts w:ascii="ITC Avant Garde" w:hAnsi="ITC Avant Garde"/>
          <w:color w:val="000000"/>
        </w:rPr>
        <w:t xml:space="preserve">orma </w:t>
      </w:r>
      <w:r>
        <w:rPr>
          <w:rFonts w:ascii="ITC Avant Garde" w:hAnsi="ITC Avant Garde"/>
          <w:color w:val="000000"/>
        </w:rPr>
        <w:t>í</w:t>
      </w:r>
      <w:r w:rsidRPr="0074498A">
        <w:rPr>
          <w:rFonts w:ascii="ITC Avant Garde" w:hAnsi="ITC Avant Garde"/>
          <w:color w:val="000000"/>
        </w:rPr>
        <w:t xml:space="preserve">ntegra y </w:t>
      </w:r>
      <w:r>
        <w:rPr>
          <w:rFonts w:ascii="ITC Avant Garde" w:hAnsi="ITC Avant Garde"/>
          <w:color w:val="000000"/>
        </w:rPr>
        <w:t>s</w:t>
      </w:r>
      <w:r w:rsidRPr="0074498A">
        <w:rPr>
          <w:rFonts w:ascii="ITC Avant Garde" w:hAnsi="ITC Avant Garde"/>
          <w:color w:val="000000"/>
        </w:rPr>
        <w:t xml:space="preserve">in </w:t>
      </w:r>
      <w:r>
        <w:rPr>
          <w:rFonts w:ascii="ITC Avant Garde" w:hAnsi="ITC Avant Garde"/>
          <w:color w:val="000000"/>
        </w:rPr>
        <w:t>m</w:t>
      </w:r>
      <w:r w:rsidRPr="0074498A">
        <w:rPr>
          <w:rFonts w:ascii="ITC Avant Garde" w:hAnsi="ITC Avant Garde"/>
          <w:color w:val="000000"/>
        </w:rPr>
        <w:t xml:space="preserve">odificaciones, </w:t>
      </w:r>
      <w:r>
        <w:rPr>
          <w:rFonts w:ascii="ITC Avant Garde" w:hAnsi="ITC Avant Garde"/>
          <w:color w:val="000000"/>
        </w:rPr>
        <w:t>s</w:t>
      </w:r>
      <w:r w:rsidRPr="0074498A">
        <w:rPr>
          <w:rFonts w:ascii="ITC Avant Garde" w:hAnsi="ITC Avant Garde"/>
          <w:color w:val="000000"/>
        </w:rPr>
        <w:t xml:space="preserve">imultánea, incluyendo la publicidad y con la </w:t>
      </w:r>
      <w:r>
        <w:rPr>
          <w:rFonts w:ascii="ITC Avant Garde" w:hAnsi="ITC Avant Garde"/>
          <w:color w:val="000000"/>
        </w:rPr>
        <w:t>m</w:t>
      </w:r>
      <w:r w:rsidRPr="0074498A">
        <w:rPr>
          <w:rFonts w:ascii="ITC Avant Garde" w:hAnsi="ITC Avant Garde"/>
          <w:color w:val="000000"/>
        </w:rPr>
        <w:t xml:space="preserve">isma </w:t>
      </w:r>
      <w:r w:rsidR="000F2DC3">
        <w:rPr>
          <w:rFonts w:ascii="ITC Avant Garde" w:hAnsi="ITC Avant Garde"/>
          <w:color w:val="000000"/>
        </w:rPr>
        <w:t>c</w:t>
      </w:r>
      <w:r w:rsidRPr="0074498A">
        <w:rPr>
          <w:rFonts w:ascii="ITC Avant Garde" w:hAnsi="ITC Avant Garde"/>
          <w:color w:val="000000"/>
        </w:rPr>
        <w:t>alidad de la señal que se radiodifunde</w:t>
      </w:r>
      <w:r w:rsidR="003A5DDB">
        <w:rPr>
          <w:rFonts w:ascii="ITC Avant Garde" w:hAnsi="ITC Avant Garde"/>
          <w:color w:val="000000"/>
        </w:rPr>
        <w:t xml:space="preserve">, </w:t>
      </w:r>
      <w:r w:rsidR="003A5DDB" w:rsidRPr="003A5DDB">
        <w:rPr>
          <w:rFonts w:ascii="ITC Avant Garde" w:hAnsi="ITC Avant Garde"/>
          <w:color w:val="000000"/>
        </w:rPr>
        <w:t>e incluirla sin costo adicional en los servicios contratados por los suscriptores y usuarios</w:t>
      </w:r>
      <w:r w:rsidR="003A5DDB">
        <w:rPr>
          <w:rFonts w:ascii="ITC Avant Garde" w:hAnsi="ITC Avant Garde"/>
          <w:color w:val="000000"/>
        </w:rPr>
        <w:t>.</w:t>
      </w:r>
    </w:p>
    <w:p w14:paraId="734447A6" w14:textId="77777777" w:rsidR="00E2222D" w:rsidRDefault="003A5DDB" w:rsidP="00907F25">
      <w:pPr>
        <w:spacing w:after="240" w:line="360" w:lineRule="auto"/>
        <w:jc w:val="both"/>
        <w:rPr>
          <w:rFonts w:ascii="ITC Avant Garde" w:hAnsi="ITC Avant Garde"/>
          <w:color w:val="000000"/>
        </w:rPr>
      </w:pPr>
      <w:r>
        <w:rPr>
          <w:rFonts w:ascii="ITC Avant Garde" w:hAnsi="ITC Avant Garde"/>
          <w:color w:val="000000"/>
        </w:rPr>
        <w:t>Por lo que a</w:t>
      </w:r>
      <w:r w:rsidR="0074498A">
        <w:rPr>
          <w:rFonts w:ascii="ITC Avant Garde" w:hAnsi="ITC Avant Garde"/>
          <w:color w:val="000000"/>
        </w:rPr>
        <w:t xml:space="preserve">ún y cuando la </w:t>
      </w:r>
      <w:r>
        <w:rPr>
          <w:rFonts w:ascii="ITC Avant Garde" w:hAnsi="ITC Avant Garde"/>
          <w:color w:val="000000"/>
        </w:rPr>
        <w:t xml:space="preserve">señal del canal </w:t>
      </w:r>
      <w:r w:rsidR="00241B93">
        <w:rPr>
          <w:rFonts w:ascii="ITC Avant Garde" w:hAnsi="ITC Avant Garde"/>
          <w:color w:val="000000"/>
        </w:rPr>
        <w:t xml:space="preserve">multiprogramado </w:t>
      </w:r>
      <w:r>
        <w:rPr>
          <w:rFonts w:ascii="ITC Avant Garde" w:hAnsi="ITC Avant Garde"/>
          <w:color w:val="000000"/>
        </w:rPr>
        <w:t xml:space="preserve">11.2 </w:t>
      </w:r>
      <w:r w:rsidR="0074498A">
        <w:rPr>
          <w:rFonts w:ascii="ITC Avant Garde" w:hAnsi="ITC Avant Garde"/>
          <w:color w:val="000000"/>
        </w:rPr>
        <w:t>no se encontra</w:t>
      </w:r>
      <w:r w:rsidR="007953B9">
        <w:rPr>
          <w:rFonts w:ascii="ITC Avant Garde" w:hAnsi="ITC Avant Garde"/>
          <w:color w:val="000000"/>
        </w:rPr>
        <w:t>r</w:t>
      </w:r>
      <w:r w:rsidR="0074498A">
        <w:rPr>
          <w:rFonts w:ascii="ITC Avant Garde" w:hAnsi="ITC Avant Garde"/>
          <w:color w:val="000000"/>
        </w:rPr>
        <w:t xml:space="preserve">a disponible </w:t>
      </w:r>
      <w:r>
        <w:rPr>
          <w:rFonts w:ascii="ITC Avant Garde" w:hAnsi="ITC Avant Garde"/>
          <w:color w:val="000000"/>
        </w:rPr>
        <w:t xml:space="preserve">de forma radiodifundida </w:t>
      </w:r>
      <w:r w:rsidR="0074498A">
        <w:rPr>
          <w:rFonts w:ascii="ITC Avant Garde" w:hAnsi="ITC Avant Garde"/>
          <w:color w:val="000000"/>
        </w:rPr>
        <w:t xml:space="preserve">para su retransmisión en </w:t>
      </w:r>
      <w:r>
        <w:rPr>
          <w:rFonts w:ascii="ITC Avant Garde" w:hAnsi="ITC Avant Garde"/>
          <w:color w:val="000000"/>
        </w:rPr>
        <w:t xml:space="preserve">la </w:t>
      </w:r>
      <w:r w:rsidRPr="00B215CD">
        <w:rPr>
          <w:rFonts w:ascii="ITC Avant Garde" w:hAnsi="ITC Avant Garde"/>
          <w:color w:val="000000"/>
        </w:rPr>
        <w:t xml:space="preserve">población de </w:t>
      </w:r>
      <w:r>
        <w:rPr>
          <w:rFonts w:ascii="ITC Avant Garde" w:hAnsi="ITC Avant Garde"/>
          <w:color w:val="000000"/>
        </w:rPr>
        <w:t>Santiago de Querétaro</w:t>
      </w:r>
      <w:r w:rsidR="0074498A">
        <w:rPr>
          <w:rFonts w:ascii="ITC Avant Garde" w:hAnsi="ITC Avant Garde"/>
          <w:color w:val="000000"/>
        </w:rPr>
        <w:t xml:space="preserve">, </w:t>
      </w:r>
      <w:r>
        <w:rPr>
          <w:rFonts w:ascii="ITC Avant Garde" w:hAnsi="ITC Avant Garde"/>
          <w:color w:val="000000"/>
        </w:rPr>
        <w:t xml:space="preserve">en términos de lo establecido en el artículo 12 de los </w:t>
      </w:r>
      <w:r>
        <w:rPr>
          <w:rFonts w:ascii="ITC Avant Garde" w:hAnsi="ITC Avant Garde"/>
          <w:b/>
          <w:color w:val="000000"/>
        </w:rPr>
        <w:t xml:space="preserve">LINEAMIENTOS, </w:t>
      </w:r>
      <w:r>
        <w:rPr>
          <w:rFonts w:ascii="ITC Avant Garde" w:hAnsi="ITC Avant Garde"/>
          <w:color w:val="000000"/>
        </w:rPr>
        <w:t xml:space="preserve">sus respectivas modificaciones contenidas en el </w:t>
      </w:r>
      <w:r>
        <w:rPr>
          <w:rFonts w:ascii="ITC Avant Garde" w:hAnsi="ITC Avant Garde"/>
          <w:b/>
          <w:color w:val="000000"/>
        </w:rPr>
        <w:t>ACUERDO MODIFICATORIO</w:t>
      </w:r>
      <w:r>
        <w:rPr>
          <w:rFonts w:ascii="ITC Avant Garde" w:hAnsi="ITC Avant Garde"/>
          <w:color w:val="000000"/>
        </w:rPr>
        <w:t xml:space="preserve">, el </w:t>
      </w:r>
      <w:r>
        <w:rPr>
          <w:rFonts w:ascii="ITC Avant Garde" w:hAnsi="ITC Avant Garde"/>
          <w:b/>
          <w:color w:val="000000"/>
        </w:rPr>
        <w:t xml:space="preserve">LISTADO </w:t>
      </w:r>
      <w:r>
        <w:rPr>
          <w:rFonts w:ascii="ITC Avant Garde" w:hAnsi="ITC Avant Garde"/>
          <w:color w:val="000000"/>
        </w:rPr>
        <w:t xml:space="preserve">y sus correspondientes </w:t>
      </w:r>
      <w:r>
        <w:rPr>
          <w:rFonts w:ascii="ITC Avant Garde" w:hAnsi="ITC Avant Garde"/>
          <w:b/>
          <w:color w:val="000000"/>
        </w:rPr>
        <w:t>ACTUALIZACIONES</w:t>
      </w:r>
      <w:r>
        <w:rPr>
          <w:rFonts w:ascii="ITC Avant Garde" w:hAnsi="ITC Avant Garde"/>
          <w:color w:val="000000"/>
        </w:rPr>
        <w:t xml:space="preserve">, </w:t>
      </w:r>
      <w:r w:rsidR="007953B9">
        <w:rPr>
          <w:rFonts w:ascii="ITC Avant Garde" w:hAnsi="ITC Avant Garde"/>
          <w:color w:val="000000"/>
        </w:rPr>
        <w:t xml:space="preserve">fueron publicadas en el </w:t>
      </w:r>
      <w:r w:rsidR="007953B9" w:rsidRPr="007953B9">
        <w:rPr>
          <w:rFonts w:ascii="ITC Avant Garde" w:hAnsi="ITC Avant Garde"/>
          <w:b/>
          <w:color w:val="000000"/>
        </w:rPr>
        <w:t>DOF</w:t>
      </w:r>
      <w:r w:rsidR="007953B9">
        <w:rPr>
          <w:rFonts w:ascii="ITC Avant Garde" w:hAnsi="ITC Avant Garde"/>
          <w:color w:val="000000"/>
        </w:rPr>
        <w:t xml:space="preserve"> las </w:t>
      </w:r>
      <w:r w:rsidRPr="003A5DDB">
        <w:rPr>
          <w:rFonts w:ascii="ITC Avant Garde" w:hAnsi="ITC Avant Garde"/>
          <w:color w:val="000000"/>
        </w:rPr>
        <w:t xml:space="preserve">características técnicas </w:t>
      </w:r>
      <w:r w:rsidR="00077A65">
        <w:rPr>
          <w:rFonts w:ascii="ITC Avant Garde" w:hAnsi="ITC Avant Garde"/>
          <w:color w:val="000000"/>
        </w:rPr>
        <w:t xml:space="preserve">que permitían captar </w:t>
      </w:r>
      <w:r w:rsidRPr="003A5DDB">
        <w:rPr>
          <w:rFonts w:ascii="ITC Avant Garde" w:hAnsi="ITC Avant Garde"/>
          <w:color w:val="000000"/>
        </w:rPr>
        <w:t xml:space="preserve">las señales </w:t>
      </w:r>
      <w:r w:rsidR="00077A65">
        <w:rPr>
          <w:rFonts w:ascii="ITC Avant Garde" w:hAnsi="ITC Avant Garde"/>
          <w:color w:val="000000"/>
        </w:rPr>
        <w:t xml:space="preserve">respecto de los canales </w:t>
      </w:r>
      <w:r w:rsidR="00077A65" w:rsidRPr="003A5DDB">
        <w:rPr>
          <w:rFonts w:ascii="ITC Avant Garde" w:hAnsi="ITC Avant Garde"/>
          <w:color w:val="000000"/>
        </w:rPr>
        <w:t>de las Instituciones Públicas Federales</w:t>
      </w:r>
      <w:r w:rsidR="00077A65">
        <w:rPr>
          <w:rFonts w:ascii="ITC Avant Garde" w:hAnsi="ITC Avant Garde"/>
          <w:color w:val="000000"/>
        </w:rPr>
        <w:t xml:space="preserve"> que se consideraban disponibles para su retransmisión</w:t>
      </w:r>
      <w:r w:rsidR="000F2DC3">
        <w:rPr>
          <w:rFonts w:ascii="ITC Avant Garde" w:hAnsi="ITC Avant Garde"/>
          <w:color w:val="000000"/>
        </w:rPr>
        <w:t>, entre las que se encontraba la señal del Instituto Politécnico Nacional.</w:t>
      </w:r>
    </w:p>
    <w:p w14:paraId="74EDBCCD" w14:textId="77777777" w:rsidR="00E2222D" w:rsidRDefault="00077A65" w:rsidP="00907F25">
      <w:pPr>
        <w:spacing w:after="240" w:line="360" w:lineRule="auto"/>
        <w:jc w:val="both"/>
        <w:rPr>
          <w:rFonts w:ascii="ITC Avant Garde" w:hAnsi="ITC Avant Garde"/>
          <w:color w:val="000000"/>
        </w:rPr>
      </w:pPr>
      <w:r>
        <w:rPr>
          <w:rFonts w:ascii="ITC Avant Garde" w:hAnsi="ITC Avant Garde"/>
          <w:color w:val="000000"/>
        </w:rPr>
        <w:t>En consecuencia</w:t>
      </w:r>
      <w:r w:rsidR="00241B93">
        <w:rPr>
          <w:rFonts w:ascii="ITC Avant Garde" w:hAnsi="ITC Avant Garde"/>
          <w:color w:val="000000"/>
        </w:rPr>
        <w:t xml:space="preserve">, </w:t>
      </w:r>
      <w:r w:rsidR="000F2DC3">
        <w:rPr>
          <w:rFonts w:ascii="ITC Avant Garde" w:hAnsi="ITC Avant Garde"/>
          <w:color w:val="000000"/>
        </w:rPr>
        <w:t xml:space="preserve">a través de </w:t>
      </w:r>
      <w:r w:rsidR="00241B93">
        <w:rPr>
          <w:rFonts w:ascii="ITC Avant Garde" w:hAnsi="ITC Avant Garde"/>
          <w:color w:val="000000"/>
        </w:rPr>
        <w:t xml:space="preserve">las </w:t>
      </w:r>
      <w:r w:rsidR="00241B93">
        <w:rPr>
          <w:rFonts w:ascii="ITC Avant Garde" w:hAnsi="ITC Avant Garde"/>
          <w:b/>
          <w:color w:val="000000"/>
        </w:rPr>
        <w:t xml:space="preserve">ACTUALIZACIONES, </w:t>
      </w:r>
      <w:r w:rsidR="00241B93">
        <w:rPr>
          <w:rFonts w:ascii="ITC Avant Garde" w:hAnsi="ITC Avant Garde"/>
          <w:color w:val="000000"/>
        </w:rPr>
        <w:t xml:space="preserve">específicamente la publicada en el </w:t>
      </w:r>
      <w:r w:rsidR="00241B93">
        <w:rPr>
          <w:rFonts w:ascii="ITC Avant Garde" w:hAnsi="ITC Avant Garde"/>
          <w:b/>
          <w:color w:val="000000"/>
        </w:rPr>
        <w:t xml:space="preserve">DOF </w:t>
      </w:r>
      <w:r w:rsidR="00241B93">
        <w:rPr>
          <w:rFonts w:ascii="ITC Avant Garde" w:hAnsi="ITC Avant Garde"/>
          <w:color w:val="000000"/>
        </w:rPr>
        <w:t xml:space="preserve">el </w:t>
      </w:r>
      <w:r w:rsidR="000F37C3" w:rsidRPr="00DF1367">
        <w:rPr>
          <w:rFonts w:ascii="ITC Avant Garde" w:hAnsi="ITC Avant Garde"/>
          <w:color w:val="000000"/>
        </w:rPr>
        <w:t xml:space="preserve">21 de octubre del </w:t>
      </w:r>
      <w:r w:rsidR="000F37C3">
        <w:rPr>
          <w:rFonts w:ascii="ITC Avant Garde" w:hAnsi="ITC Avant Garde"/>
          <w:color w:val="000000"/>
        </w:rPr>
        <w:t xml:space="preserve">2014, </w:t>
      </w:r>
      <w:r w:rsidR="000F2DC3">
        <w:rPr>
          <w:rFonts w:ascii="ITC Avant Garde" w:hAnsi="ITC Avant Garde"/>
          <w:color w:val="000000"/>
        </w:rPr>
        <w:t xml:space="preserve">se </w:t>
      </w:r>
      <w:r w:rsidR="007953B9">
        <w:rPr>
          <w:rFonts w:ascii="ITC Avant Garde" w:hAnsi="ITC Avant Garde"/>
          <w:color w:val="000000"/>
        </w:rPr>
        <w:t xml:space="preserve">hicieron de su </w:t>
      </w:r>
      <w:r w:rsidR="00F64145">
        <w:rPr>
          <w:rFonts w:ascii="ITC Avant Garde" w:hAnsi="ITC Avant Garde"/>
          <w:color w:val="000000"/>
        </w:rPr>
        <w:t>conocimiento los</w:t>
      </w:r>
      <w:r w:rsidR="000F37C3">
        <w:rPr>
          <w:rFonts w:ascii="ITC Avant Garde" w:hAnsi="ITC Avant Garde"/>
          <w:color w:val="000000"/>
        </w:rPr>
        <w:t xml:space="preserve"> </w:t>
      </w:r>
      <w:r w:rsidR="003A5DDB">
        <w:rPr>
          <w:rFonts w:ascii="ITC Avant Garde" w:hAnsi="ITC Avant Garde"/>
          <w:color w:val="000000"/>
        </w:rPr>
        <w:t xml:space="preserve">elementos técnicos que permitían descomprimir la señal </w:t>
      </w:r>
      <w:r w:rsidR="000F37C3">
        <w:rPr>
          <w:rFonts w:ascii="ITC Avant Garde" w:hAnsi="ITC Avant Garde"/>
          <w:color w:val="000000"/>
        </w:rPr>
        <w:t xml:space="preserve">del canal 11.1 junto con el canal multiprogramado 11.2, </w:t>
      </w:r>
      <w:r w:rsidR="000F2DC3">
        <w:rPr>
          <w:rFonts w:ascii="ITC Avant Garde" w:hAnsi="ITC Avant Garde"/>
          <w:color w:val="000000"/>
        </w:rPr>
        <w:t>de conformidad con los siguientes términos</w:t>
      </w:r>
      <w:r w:rsidR="000F37C3">
        <w:rPr>
          <w:rFonts w:ascii="ITC Avant Garde" w:hAnsi="ITC Avant Garde"/>
          <w:color w:val="000000"/>
        </w:rPr>
        <w:t>:</w:t>
      </w:r>
    </w:p>
    <w:p w14:paraId="7A4F52A9" w14:textId="1D7D8F43" w:rsidR="000F37C3" w:rsidRPr="00DF1367" w:rsidRDefault="000F37C3" w:rsidP="00907F25">
      <w:pPr>
        <w:spacing w:after="240" w:line="360" w:lineRule="auto"/>
        <w:ind w:left="567" w:right="616"/>
        <w:jc w:val="both"/>
        <w:rPr>
          <w:rFonts w:ascii="ITC Avant Garde" w:hAnsi="ITC Avant Garde"/>
          <w:i/>
          <w:color w:val="000000"/>
        </w:rPr>
      </w:pPr>
      <w:r>
        <w:rPr>
          <w:rFonts w:ascii="ITC Avant Garde" w:hAnsi="ITC Avant Garde"/>
          <w:i/>
          <w:color w:val="000000"/>
        </w:rPr>
        <w:t xml:space="preserve">“… </w:t>
      </w:r>
      <w:r w:rsidRPr="00DF1367">
        <w:rPr>
          <w:rFonts w:ascii="ITC Avant Garde" w:hAnsi="ITC Avant Garde"/>
          <w:i/>
          <w:color w:val="000000"/>
        </w:rPr>
        <w:t>b) Instituto Politécnico Nacional.</w:t>
      </w:r>
    </w:p>
    <w:p w14:paraId="5023295C" w14:textId="77777777" w:rsidR="000F37C3" w:rsidRPr="00DF1367" w:rsidRDefault="000F37C3" w:rsidP="00907F25">
      <w:pPr>
        <w:spacing w:after="240" w:line="360" w:lineRule="auto"/>
        <w:ind w:left="567" w:right="616"/>
        <w:jc w:val="both"/>
        <w:rPr>
          <w:rFonts w:ascii="ITC Avant Garde" w:hAnsi="ITC Avant Garde"/>
          <w:b/>
          <w:i/>
          <w:color w:val="000000"/>
          <w:u w:val="single"/>
        </w:rPr>
      </w:pPr>
      <w:r w:rsidRPr="00DF1367">
        <w:rPr>
          <w:rFonts w:ascii="ITC Avant Garde" w:hAnsi="ITC Avant Garde"/>
          <w:b/>
          <w:i/>
          <w:color w:val="000000"/>
          <w:u w:val="single"/>
        </w:rPr>
        <w:t>Canal 11 (junto con el canal multiprogramado 11.2)</w:t>
      </w:r>
    </w:p>
    <w:p w14:paraId="6FF693F2" w14:textId="77777777" w:rsidR="000F37C3" w:rsidRPr="00DF1367"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t>Satélite: SATMEX 6</w:t>
      </w:r>
    </w:p>
    <w:p w14:paraId="6196AFD6" w14:textId="77777777" w:rsidR="000F37C3" w:rsidRPr="00DF1367"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t>Transpondedor: 6C1</w:t>
      </w:r>
    </w:p>
    <w:p w14:paraId="6CE48792" w14:textId="77777777" w:rsidR="000F37C3" w:rsidRPr="00DF1367"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t>Compresión: DVBS2</w:t>
      </w:r>
    </w:p>
    <w:p w14:paraId="1631DC49" w14:textId="77777777" w:rsidR="000F37C3" w:rsidRPr="00DF1367"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t>Modulación: 8PSK</w:t>
      </w:r>
    </w:p>
    <w:p w14:paraId="11DC93E5" w14:textId="77777777" w:rsidR="000F37C3" w:rsidRPr="00DF1367"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lastRenderedPageBreak/>
        <w:t>FEC: 2/3</w:t>
      </w:r>
    </w:p>
    <w:p w14:paraId="56227495" w14:textId="77777777" w:rsidR="000F37C3" w:rsidRPr="00DF1367"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t>Frecuencia: 3,828.95 MHz</w:t>
      </w:r>
    </w:p>
    <w:p w14:paraId="02DF6168" w14:textId="77777777" w:rsidR="000F37C3" w:rsidRPr="00DF1367"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t>Polarización de Bajada: Horizontal</w:t>
      </w:r>
    </w:p>
    <w:p w14:paraId="4EA88E20" w14:textId="77777777" w:rsidR="000F37C3" w:rsidRPr="00DF1367"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t>Programa Principal: 0001</w:t>
      </w:r>
    </w:p>
    <w:p w14:paraId="33613613" w14:textId="77777777" w:rsidR="000F37C3" w:rsidRPr="00DF1367"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t>Programa Secundario: 0002</w:t>
      </w:r>
    </w:p>
    <w:p w14:paraId="0CEFDCA2" w14:textId="77777777" w:rsidR="00E2222D" w:rsidRDefault="000F37C3" w:rsidP="00907F25">
      <w:pPr>
        <w:spacing w:after="240" w:line="360" w:lineRule="auto"/>
        <w:ind w:left="567" w:right="616"/>
        <w:jc w:val="both"/>
        <w:rPr>
          <w:rFonts w:ascii="ITC Avant Garde" w:hAnsi="ITC Avant Garde"/>
          <w:i/>
          <w:color w:val="000000"/>
        </w:rPr>
      </w:pPr>
      <w:r w:rsidRPr="00DF1367">
        <w:rPr>
          <w:rFonts w:ascii="ITC Avant Garde" w:hAnsi="ITC Avant Garde"/>
          <w:i/>
          <w:color w:val="000000"/>
        </w:rPr>
        <w:t>(...)"</w:t>
      </w:r>
    </w:p>
    <w:p w14:paraId="3597CAC2" w14:textId="5F70FEE7" w:rsidR="002634DE" w:rsidRDefault="008B05C0" w:rsidP="00907F25">
      <w:pPr>
        <w:spacing w:after="240" w:line="360" w:lineRule="auto"/>
        <w:jc w:val="both"/>
        <w:rPr>
          <w:rFonts w:ascii="ITC Avant Garde" w:hAnsi="ITC Avant Garde"/>
          <w:color w:val="000000"/>
        </w:rPr>
      </w:pPr>
      <w:r>
        <w:rPr>
          <w:rFonts w:ascii="ITC Avant Garde" w:hAnsi="ITC Avant Garde"/>
          <w:color w:val="000000"/>
        </w:rPr>
        <w:t>Con l</w:t>
      </w:r>
      <w:r w:rsidR="000F37C3">
        <w:rPr>
          <w:rFonts w:ascii="ITC Avant Garde" w:hAnsi="ITC Avant Garde"/>
          <w:color w:val="000000"/>
        </w:rPr>
        <w:t>o anterior,</w:t>
      </w:r>
      <w:r>
        <w:rPr>
          <w:rFonts w:ascii="ITC Avant Garde" w:hAnsi="ITC Avant Garde"/>
          <w:color w:val="000000"/>
        </w:rPr>
        <w:t xml:space="preserve"> se acredita que</w:t>
      </w:r>
      <w:r w:rsidR="000F37C3">
        <w:rPr>
          <w:rFonts w:ascii="ITC Avant Garde" w:hAnsi="ITC Avant Garde"/>
          <w:color w:val="000000"/>
        </w:rPr>
        <w:t xml:space="preserve"> </w:t>
      </w:r>
      <w:r w:rsidR="000F37C3">
        <w:rPr>
          <w:rFonts w:ascii="ITC Avant Garde" w:hAnsi="ITC Avant Garde"/>
          <w:b/>
          <w:color w:val="000000"/>
        </w:rPr>
        <w:t>MEGA CABLE</w:t>
      </w:r>
      <w:r w:rsidR="000F37C3">
        <w:rPr>
          <w:rFonts w:ascii="ITC Avant Garde" w:hAnsi="ITC Avant Garde"/>
          <w:color w:val="000000"/>
        </w:rPr>
        <w:t xml:space="preserve"> cont</w:t>
      </w:r>
      <w:r>
        <w:rPr>
          <w:rFonts w:ascii="ITC Avant Garde" w:hAnsi="ITC Avant Garde"/>
          <w:color w:val="000000"/>
        </w:rPr>
        <w:t>aba</w:t>
      </w:r>
      <w:r w:rsidR="000F37C3">
        <w:rPr>
          <w:rFonts w:ascii="ITC Avant Garde" w:hAnsi="ITC Avant Garde"/>
          <w:color w:val="000000"/>
        </w:rPr>
        <w:t xml:space="preserve"> con la información técnica necesaria para</w:t>
      </w:r>
      <w:r>
        <w:rPr>
          <w:rFonts w:ascii="ITC Avant Garde" w:hAnsi="ITC Avant Garde"/>
          <w:color w:val="000000"/>
        </w:rPr>
        <w:t xml:space="preserve"> descomprimir la señal del canal 11.2 y por lo tanto,</w:t>
      </w:r>
      <w:r w:rsidR="000F37C3">
        <w:rPr>
          <w:rFonts w:ascii="ITC Avant Garde" w:hAnsi="ITC Avant Garde"/>
          <w:color w:val="000000"/>
        </w:rPr>
        <w:t xml:space="preserve"> </w:t>
      </w:r>
      <w:r>
        <w:rPr>
          <w:rFonts w:ascii="ITC Avant Garde" w:hAnsi="ITC Avant Garde"/>
          <w:color w:val="000000"/>
        </w:rPr>
        <w:t xml:space="preserve">tenía </w:t>
      </w:r>
      <w:r w:rsidR="000F37C3">
        <w:rPr>
          <w:rFonts w:ascii="ITC Avant Garde" w:hAnsi="ITC Avant Garde"/>
          <w:color w:val="000000"/>
        </w:rPr>
        <w:t xml:space="preserve">la capacidad de </w:t>
      </w:r>
      <w:r w:rsidR="00FC338B">
        <w:rPr>
          <w:rFonts w:ascii="ITC Avant Garde" w:hAnsi="ITC Avant Garde"/>
          <w:color w:val="000000"/>
        </w:rPr>
        <w:t>retransmisión</w:t>
      </w:r>
      <w:r w:rsidR="000F37C3">
        <w:rPr>
          <w:rFonts w:ascii="ITC Avant Garde" w:hAnsi="ITC Avant Garde"/>
          <w:color w:val="000000"/>
        </w:rPr>
        <w:t xml:space="preserve"> de dichas señales, </w:t>
      </w:r>
      <w:r w:rsidR="000F2DC3">
        <w:rPr>
          <w:rFonts w:ascii="ITC Avant Garde" w:hAnsi="ITC Avant Garde"/>
          <w:color w:val="000000"/>
        </w:rPr>
        <w:t xml:space="preserve">lo cual resulta </w:t>
      </w:r>
      <w:r w:rsidR="00077A65">
        <w:rPr>
          <w:rFonts w:ascii="ITC Avant Garde" w:hAnsi="ITC Avant Garde"/>
          <w:color w:val="000000"/>
        </w:rPr>
        <w:t xml:space="preserve">independiente </w:t>
      </w:r>
      <w:r w:rsidR="000F2DC3">
        <w:rPr>
          <w:rFonts w:ascii="ITC Avant Garde" w:hAnsi="ITC Avant Garde"/>
          <w:color w:val="000000"/>
        </w:rPr>
        <w:t xml:space="preserve">a </w:t>
      </w:r>
      <w:r w:rsidR="00077A65">
        <w:rPr>
          <w:rFonts w:ascii="ITC Avant Garde" w:hAnsi="ITC Avant Garde"/>
          <w:color w:val="000000"/>
        </w:rPr>
        <w:t xml:space="preserve">la multiplexación de dichos canales, </w:t>
      </w:r>
      <w:r w:rsidR="000F37C3" w:rsidRPr="00DF1367">
        <w:rPr>
          <w:rFonts w:ascii="ITC Avant Garde" w:hAnsi="ITC Avant Garde"/>
          <w:shd w:val="clear" w:color="auto" w:fill="FFFFFF"/>
        </w:rPr>
        <w:t xml:space="preserve">de lo que se sigue que su argumento resulta </w:t>
      </w:r>
      <w:r w:rsidR="000F37C3" w:rsidRPr="00DF1367">
        <w:rPr>
          <w:rFonts w:ascii="ITC Avant Garde" w:hAnsi="ITC Avant Garde"/>
          <w:b/>
          <w:u w:val="single"/>
          <w:shd w:val="clear" w:color="auto" w:fill="FFFFFF"/>
        </w:rPr>
        <w:t>infundado</w:t>
      </w:r>
      <w:r w:rsidR="000F37C3" w:rsidRPr="00DF1367">
        <w:rPr>
          <w:rFonts w:ascii="ITC Avant Garde" w:hAnsi="ITC Avant Garde"/>
          <w:shd w:val="clear" w:color="auto" w:fill="FFFFFF"/>
        </w:rPr>
        <w:t>.</w:t>
      </w:r>
    </w:p>
    <w:p w14:paraId="54392F25" w14:textId="77777777" w:rsidR="00E2222D" w:rsidRDefault="000F37C3" w:rsidP="00907F25">
      <w:pPr>
        <w:spacing w:after="240" w:line="360" w:lineRule="auto"/>
        <w:jc w:val="both"/>
        <w:rPr>
          <w:rFonts w:ascii="ITC Avant Garde" w:hAnsi="ITC Avant Garde"/>
          <w:b/>
          <w:color w:val="000000"/>
        </w:rPr>
      </w:pPr>
      <w:r>
        <w:rPr>
          <w:rFonts w:ascii="ITC Avant Garde" w:hAnsi="ITC Avant Garde"/>
          <w:color w:val="000000"/>
        </w:rPr>
        <w:t xml:space="preserve">Por otro lado, en cuanto al argumento </w:t>
      </w:r>
      <w:r w:rsidR="00555588">
        <w:rPr>
          <w:rFonts w:ascii="ITC Avant Garde" w:hAnsi="ITC Avant Garde"/>
          <w:color w:val="000000"/>
        </w:rPr>
        <w:t xml:space="preserve">hecho valer por </w:t>
      </w:r>
      <w:r w:rsidR="00555588">
        <w:rPr>
          <w:rFonts w:ascii="ITC Avant Garde" w:hAnsi="ITC Avant Garde"/>
          <w:b/>
          <w:color w:val="000000"/>
        </w:rPr>
        <w:t xml:space="preserve">MEGA CABLE </w:t>
      </w:r>
      <w:r w:rsidR="00555588">
        <w:rPr>
          <w:rFonts w:ascii="ITC Avant Garde" w:hAnsi="ITC Avant Garde"/>
          <w:color w:val="000000"/>
        </w:rPr>
        <w:t xml:space="preserve">consistente en que conforme al artículo 159 de la </w:t>
      </w:r>
      <w:r w:rsidR="00250345">
        <w:rPr>
          <w:rFonts w:ascii="ITC Avant Garde" w:hAnsi="ITC Avant Garde"/>
          <w:b/>
          <w:color w:val="000000"/>
        </w:rPr>
        <w:t>LFTR</w:t>
      </w:r>
      <w:r w:rsidR="00555588">
        <w:rPr>
          <w:rFonts w:ascii="ITC Avant Garde" w:hAnsi="ITC Avant Garde"/>
          <w:b/>
          <w:color w:val="000000"/>
        </w:rPr>
        <w:t xml:space="preserve">, </w:t>
      </w:r>
      <w:r w:rsidR="00555588">
        <w:rPr>
          <w:rFonts w:ascii="ITC Avant Garde" w:hAnsi="ITC Avant Garde"/>
          <w:color w:val="000000"/>
        </w:rPr>
        <w:t xml:space="preserve">solo se encuentra obligada a retransmitir de manera gratuita la señal radiodifundida multiprogramada que tenga mayor audiencia, el mismo resulta </w:t>
      </w:r>
      <w:r w:rsidR="00555588" w:rsidRPr="00DF1367">
        <w:rPr>
          <w:rFonts w:ascii="ITC Avant Garde" w:hAnsi="ITC Avant Garde"/>
          <w:b/>
          <w:color w:val="000000"/>
          <w:u w:val="single"/>
        </w:rPr>
        <w:t>infundado.</w:t>
      </w:r>
    </w:p>
    <w:p w14:paraId="1981E41C" w14:textId="77777777" w:rsidR="00E2222D" w:rsidRDefault="00555588" w:rsidP="00907F25">
      <w:pPr>
        <w:spacing w:after="240" w:line="360" w:lineRule="auto"/>
        <w:jc w:val="both"/>
        <w:rPr>
          <w:rFonts w:ascii="ITC Avant Garde" w:hAnsi="ITC Avant Garde"/>
          <w:color w:val="000000"/>
        </w:rPr>
      </w:pPr>
      <w:r>
        <w:rPr>
          <w:rFonts w:ascii="ITC Avant Garde" w:hAnsi="ITC Avant Garde"/>
          <w:color w:val="000000"/>
        </w:rPr>
        <w:t>Al respecto resulta conveniente citar textualmente el contenido del citado artículo:</w:t>
      </w:r>
    </w:p>
    <w:p w14:paraId="7C996FD3" w14:textId="77777777" w:rsidR="00E2222D" w:rsidRDefault="00555588" w:rsidP="00907F25">
      <w:pPr>
        <w:spacing w:after="240" w:line="360" w:lineRule="auto"/>
        <w:ind w:left="851" w:right="900"/>
        <w:jc w:val="both"/>
        <w:rPr>
          <w:rFonts w:ascii="ITC Avant Garde" w:hAnsi="ITC Avant Garde"/>
          <w:i/>
          <w:color w:val="000000"/>
          <w:sz w:val="20"/>
        </w:rPr>
      </w:pPr>
      <w:r w:rsidRPr="00531B1A">
        <w:rPr>
          <w:rFonts w:ascii="ITC Avant Garde" w:hAnsi="ITC Avant Garde"/>
          <w:i/>
          <w:color w:val="000000"/>
          <w:sz w:val="20"/>
        </w:rPr>
        <w:t>“</w:t>
      </w:r>
      <w:r w:rsidRPr="00531B1A">
        <w:rPr>
          <w:rFonts w:ascii="ITC Avant Garde" w:hAnsi="ITC Avant Garde"/>
          <w:b/>
          <w:i/>
          <w:color w:val="000000"/>
          <w:sz w:val="20"/>
        </w:rPr>
        <w:t>Artículo 159</w:t>
      </w:r>
      <w:r w:rsidRPr="00531B1A">
        <w:rPr>
          <w:rFonts w:ascii="ITC Avant Garde" w:hAnsi="ITC Avant Garde"/>
          <w:i/>
          <w:color w:val="000000"/>
          <w:sz w:val="20"/>
        </w:rPr>
        <w:t xml:space="preserve">. </w:t>
      </w:r>
      <w:r w:rsidRPr="00531B1A">
        <w:rPr>
          <w:rFonts w:ascii="ITC Avant Garde" w:hAnsi="ITC Avant Garde"/>
          <w:b/>
          <w:i/>
          <w:color w:val="000000"/>
          <w:sz w:val="20"/>
          <w:u w:val="single"/>
        </w:rPr>
        <w:t>Los concesionarios que presten el servicio de televisión o audio restringido deberán retransmitir de manera gratuita la señal radiodifundida multiprogramada que tenga mayor audiencia</w:t>
      </w:r>
      <w:r w:rsidRPr="00531B1A">
        <w:rPr>
          <w:rFonts w:ascii="ITC Avant Garde" w:hAnsi="ITC Avant Garde"/>
          <w:i/>
          <w:color w:val="000000"/>
          <w:sz w:val="20"/>
        </w:rPr>
        <w:t xml:space="preserve">. En caso de diferendo, el Instituto determinará la señal radiodifundida que deberá ser retransmitida. Los concesionarios de televisión restringida vía satélite, sólo deberán retransmitir obligatoriamente las señales radiodifundidas multiprogramadas de cobertura de cincuenta por ciento o más del territorio nacional de mayor audiencia. </w:t>
      </w:r>
    </w:p>
    <w:p w14:paraId="14C3D128" w14:textId="2718C710" w:rsidR="00555588" w:rsidRPr="00531B1A" w:rsidRDefault="00555588" w:rsidP="00907F25">
      <w:pPr>
        <w:spacing w:after="240" w:line="360" w:lineRule="auto"/>
        <w:ind w:left="851" w:right="900"/>
        <w:jc w:val="both"/>
        <w:rPr>
          <w:rFonts w:ascii="ITC Avant Garde" w:hAnsi="ITC Avant Garde"/>
          <w:b/>
          <w:i/>
          <w:color w:val="000000"/>
          <w:sz w:val="20"/>
          <w:u w:val="single"/>
        </w:rPr>
      </w:pPr>
      <w:r w:rsidRPr="00531B1A">
        <w:rPr>
          <w:rFonts w:ascii="ITC Avant Garde" w:hAnsi="ITC Avant Garde"/>
          <w:b/>
          <w:i/>
          <w:color w:val="000000"/>
          <w:sz w:val="20"/>
          <w:u w:val="single"/>
        </w:rPr>
        <w:lastRenderedPageBreak/>
        <w:t xml:space="preserve">Lo anterior, sin perjuicio de que el concesionario de televisión restringida pueda retransmitir las demás señales radiodifundidas multiprogramadas, en términos de la fracción I del artículo Octavo Transitorio del Decreto. </w:t>
      </w:r>
    </w:p>
    <w:p w14:paraId="04E0A024" w14:textId="77777777" w:rsidR="00E2222D" w:rsidRDefault="00555588" w:rsidP="00907F25">
      <w:pPr>
        <w:spacing w:after="240" w:line="360" w:lineRule="auto"/>
        <w:ind w:left="851" w:right="900"/>
        <w:jc w:val="both"/>
        <w:rPr>
          <w:rFonts w:ascii="ITC Avant Garde" w:hAnsi="ITC Avant Garde"/>
          <w:i/>
          <w:color w:val="000000"/>
          <w:sz w:val="20"/>
        </w:rPr>
      </w:pPr>
      <w:r w:rsidRPr="00531B1A">
        <w:rPr>
          <w:rFonts w:ascii="ITC Avant Garde" w:hAnsi="ITC Avant Garde"/>
          <w:i/>
          <w:color w:val="000000"/>
          <w:sz w:val="20"/>
        </w:rPr>
        <w:t xml:space="preserve">El concesionario y los productores independientes nacionales o extranjeros, podrán celebrar contratos libremente para el acceso a los canales multiprogramados en condiciones de mercado. </w:t>
      </w:r>
    </w:p>
    <w:p w14:paraId="2BEA83F0" w14:textId="77777777" w:rsidR="00E2222D" w:rsidRDefault="00555588" w:rsidP="00907F25">
      <w:pPr>
        <w:spacing w:after="240" w:line="360" w:lineRule="auto"/>
        <w:ind w:left="851" w:right="900"/>
        <w:jc w:val="both"/>
        <w:rPr>
          <w:rFonts w:ascii="ITC Avant Garde" w:hAnsi="ITC Avant Garde"/>
          <w:i/>
          <w:color w:val="000000"/>
          <w:sz w:val="20"/>
        </w:rPr>
      </w:pPr>
      <w:r w:rsidRPr="00531B1A">
        <w:rPr>
          <w:rFonts w:ascii="ITC Avant Garde" w:hAnsi="ITC Avant Garde"/>
          <w:i/>
          <w:color w:val="000000"/>
          <w:sz w:val="20"/>
        </w:rPr>
        <w:t>El acceso a la capacidad de los canales multiprogramados se hará en condiciones equitativas y no discriminatorias, de conformidad con los lineamientos emitidos por el Instituto.</w:t>
      </w:r>
      <w:r w:rsidR="00A50207" w:rsidRPr="00531B1A">
        <w:rPr>
          <w:rFonts w:ascii="ITC Avant Garde" w:hAnsi="ITC Avant Garde"/>
          <w:i/>
          <w:color w:val="000000"/>
          <w:sz w:val="20"/>
        </w:rPr>
        <w:t>”</w:t>
      </w:r>
    </w:p>
    <w:p w14:paraId="15378B43" w14:textId="77777777" w:rsidR="00E2222D" w:rsidRDefault="00657392" w:rsidP="00907F25">
      <w:pPr>
        <w:spacing w:after="240" w:line="360" w:lineRule="auto"/>
        <w:jc w:val="both"/>
        <w:rPr>
          <w:rFonts w:ascii="ITC Avant Garde" w:hAnsi="ITC Avant Garde"/>
          <w:color w:val="000000"/>
        </w:rPr>
      </w:pPr>
      <w:r>
        <w:rPr>
          <w:rFonts w:ascii="ITC Avant Garde" w:hAnsi="ITC Avant Garde"/>
          <w:color w:val="000000"/>
        </w:rPr>
        <w:t>Si bien es cierto</w:t>
      </w:r>
      <w:r w:rsidR="000F7CE5">
        <w:rPr>
          <w:rFonts w:ascii="ITC Avant Garde" w:hAnsi="ITC Avant Garde"/>
          <w:color w:val="000000"/>
        </w:rPr>
        <w:t xml:space="preserve"> que</w:t>
      </w:r>
      <w:r>
        <w:rPr>
          <w:rFonts w:ascii="ITC Avant Garde" w:hAnsi="ITC Avant Garde"/>
          <w:color w:val="000000"/>
        </w:rPr>
        <w:t xml:space="preserve"> e</w:t>
      </w:r>
      <w:r w:rsidR="007E3F78">
        <w:rPr>
          <w:rFonts w:ascii="ITC Avant Garde" w:hAnsi="ITC Avant Garde"/>
          <w:color w:val="000000"/>
        </w:rPr>
        <w:t xml:space="preserve">l citado artículo establece en la parte que nos interesa la obligación a cargo de los concesionarios de televisión o audio restringido a retransmitir gratuitamente la señal radiodifundida multiprogramada que tenga mayor audiencia, </w:t>
      </w:r>
      <w:r w:rsidR="008C01BD">
        <w:rPr>
          <w:rFonts w:ascii="ITC Avant Garde" w:hAnsi="ITC Avant Garde"/>
          <w:color w:val="000000"/>
        </w:rPr>
        <w:t>su contenido refiere únicamente a la hipótesis en la que haya pluralidad de canales multiprogramados</w:t>
      </w:r>
      <w:r w:rsidR="000F7CE5">
        <w:rPr>
          <w:rFonts w:ascii="ITC Avant Garde" w:hAnsi="ITC Avant Garde"/>
          <w:color w:val="000000"/>
        </w:rPr>
        <w:t>.</w:t>
      </w:r>
      <w:r w:rsidR="008C01BD">
        <w:rPr>
          <w:rFonts w:ascii="ITC Avant Garde" w:hAnsi="ITC Avant Garde"/>
          <w:color w:val="000000"/>
        </w:rPr>
        <w:t xml:space="preserve"> </w:t>
      </w:r>
      <w:r w:rsidR="000F7CE5">
        <w:rPr>
          <w:rFonts w:ascii="ITC Avant Garde" w:hAnsi="ITC Avant Garde"/>
          <w:color w:val="000000"/>
        </w:rPr>
        <w:t>P</w:t>
      </w:r>
      <w:r w:rsidR="008C01BD">
        <w:rPr>
          <w:rFonts w:ascii="ITC Avant Garde" w:hAnsi="ITC Avant Garde"/>
          <w:color w:val="000000"/>
        </w:rPr>
        <w:t xml:space="preserve">or lo que para definir la transmisión a través de la cual se tendría por cumplida dicha </w:t>
      </w:r>
      <w:r>
        <w:rPr>
          <w:rFonts w:ascii="ITC Avant Garde" w:hAnsi="ITC Avant Garde"/>
          <w:color w:val="000000"/>
        </w:rPr>
        <w:t>obligación</w:t>
      </w:r>
      <w:r w:rsidR="008C01BD">
        <w:rPr>
          <w:rFonts w:ascii="ITC Avant Garde" w:hAnsi="ITC Avant Garde"/>
          <w:color w:val="000000"/>
        </w:rPr>
        <w:t>, se deberá observar aquél que tenga mayor audiencia.</w:t>
      </w:r>
    </w:p>
    <w:p w14:paraId="32BD83D5" w14:textId="77777777" w:rsidR="00E2222D" w:rsidRDefault="008C01BD" w:rsidP="00907F25">
      <w:pPr>
        <w:spacing w:after="240" w:line="360" w:lineRule="auto"/>
        <w:jc w:val="both"/>
        <w:rPr>
          <w:rFonts w:ascii="ITC Avant Garde" w:hAnsi="ITC Avant Garde"/>
          <w:color w:val="000000"/>
        </w:rPr>
      </w:pPr>
      <w:r>
        <w:rPr>
          <w:rFonts w:ascii="ITC Avant Garde" w:hAnsi="ITC Avant Garde"/>
          <w:color w:val="000000"/>
        </w:rPr>
        <w:t>Sin embargo</w:t>
      </w:r>
      <w:r w:rsidR="00C1214A">
        <w:rPr>
          <w:rFonts w:ascii="ITC Avant Garde" w:hAnsi="ITC Avant Garde"/>
          <w:color w:val="000000"/>
        </w:rPr>
        <w:t>,</w:t>
      </w:r>
      <w:r>
        <w:rPr>
          <w:rFonts w:ascii="ITC Avant Garde" w:hAnsi="ITC Avant Garde"/>
          <w:color w:val="000000"/>
        </w:rPr>
        <w:t xml:space="preserve"> en el caso qu</w:t>
      </w:r>
      <w:r w:rsidR="00C1214A">
        <w:rPr>
          <w:rFonts w:ascii="ITC Avant Garde" w:hAnsi="ITC Avant Garde"/>
          <w:color w:val="000000"/>
        </w:rPr>
        <w:t>e nos ocupa</w:t>
      </w:r>
      <w:r>
        <w:rPr>
          <w:rFonts w:ascii="ITC Avant Garde" w:hAnsi="ITC Avant Garde"/>
          <w:color w:val="000000"/>
        </w:rPr>
        <w:t xml:space="preserve"> no </w:t>
      </w:r>
      <w:r w:rsidR="00104304">
        <w:rPr>
          <w:rFonts w:ascii="ITC Avant Garde" w:hAnsi="ITC Avant Garde"/>
          <w:color w:val="000000"/>
        </w:rPr>
        <w:t>se actualiza el supuesto señalado, toda vez que el Instituto Politécnico Nacional únicamente cuenta con un solo canal multiprogramado.</w:t>
      </w:r>
    </w:p>
    <w:p w14:paraId="18933623" w14:textId="77777777" w:rsidR="00E2222D" w:rsidRDefault="00FC338B" w:rsidP="00907F25">
      <w:pPr>
        <w:spacing w:after="240" w:line="360" w:lineRule="auto"/>
        <w:jc w:val="both"/>
        <w:rPr>
          <w:rFonts w:ascii="ITC Avant Garde" w:hAnsi="ITC Avant Garde"/>
        </w:rPr>
      </w:pPr>
      <w:r>
        <w:rPr>
          <w:rFonts w:ascii="ITC Avant Garde" w:hAnsi="ITC Avant Garde"/>
          <w:color w:val="000000"/>
        </w:rPr>
        <w:t>Lo anterior aunado a que</w:t>
      </w:r>
      <w:r w:rsidR="00657392">
        <w:rPr>
          <w:rFonts w:ascii="ITC Avant Garde" w:hAnsi="ITC Avant Garde"/>
          <w:color w:val="000000"/>
        </w:rPr>
        <w:t xml:space="preserve"> en </w:t>
      </w:r>
      <w:r w:rsidR="007E3F78">
        <w:rPr>
          <w:rFonts w:ascii="ITC Avant Garde" w:hAnsi="ITC Avant Garde"/>
          <w:color w:val="000000"/>
        </w:rPr>
        <w:t>la fracción I del artículo Octavo Transitorio del “</w:t>
      </w:r>
      <w:r w:rsidR="007E3F78" w:rsidRPr="00C7209A">
        <w:rPr>
          <w:rFonts w:ascii="ITC Avant Garde" w:hAnsi="ITC Avant Garde"/>
          <w:i/>
        </w:rPr>
        <w:t>Decreto por el que reforman y adicionan diversas disposiciones de los artículos 6°, 7°, 27, 28, 73, 78, 94 y 105 de la Constitución Política de los Estados Unidos Mexicanos</w:t>
      </w:r>
      <w:r w:rsidR="007E3F78">
        <w:rPr>
          <w:rFonts w:ascii="ITC Avant Garde" w:hAnsi="ITC Avant Garde"/>
          <w:i/>
        </w:rPr>
        <w:t xml:space="preserve"> </w:t>
      </w:r>
      <w:r w:rsidR="007E3F78" w:rsidRPr="007E3F78">
        <w:rPr>
          <w:rFonts w:ascii="ITC Avant Garde" w:hAnsi="ITC Avant Garde"/>
          <w:i/>
        </w:rPr>
        <w:t>en materia de telecomunicaciones</w:t>
      </w:r>
      <w:r w:rsidR="007E3F78">
        <w:rPr>
          <w:rFonts w:ascii="ITC Avant Garde" w:hAnsi="ITC Avant Garde"/>
          <w:i/>
        </w:rPr>
        <w:t xml:space="preserve">”, </w:t>
      </w:r>
      <w:r w:rsidR="007E3F78">
        <w:rPr>
          <w:rFonts w:ascii="ITC Avant Garde" w:hAnsi="ITC Avant Garde"/>
        </w:rPr>
        <w:t xml:space="preserve">publicado en el </w:t>
      </w:r>
      <w:r w:rsidR="007E3F78">
        <w:rPr>
          <w:rFonts w:ascii="ITC Avant Garde" w:hAnsi="ITC Avant Garde"/>
          <w:b/>
        </w:rPr>
        <w:t xml:space="preserve">DOF </w:t>
      </w:r>
      <w:r w:rsidR="007E3F78">
        <w:rPr>
          <w:rFonts w:ascii="ITC Avant Garde" w:hAnsi="ITC Avant Garde"/>
        </w:rPr>
        <w:t xml:space="preserve">el 11 de junio de 2013 (en adelante </w:t>
      </w:r>
      <w:r w:rsidR="007E3F78">
        <w:rPr>
          <w:rFonts w:ascii="ITC Avant Garde" w:hAnsi="ITC Avant Garde"/>
          <w:b/>
        </w:rPr>
        <w:t>“DECRETO”</w:t>
      </w:r>
      <w:r w:rsidR="008663FA">
        <w:rPr>
          <w:rFonts w:ascii="ITC Avant Garde" w:hAnsi="ITC Avant Garde"/>
        </w:rPr>
        <w:t xml:space="preserve">), </w:t>
      </w:r>
      <w:r w:rsidR="00657392">
        <w:rPr>
          <w:rFonts w:ascii="ITC Avant Garde" w:hAnsi="ITC Avant Garde"/>
        </w:rPr>
        <w:t>estableció</w:t>
      </w:r>
      <w:r w:rsidR="008663FA">
        <w:rPr>
          <w:rFonts w:ascii="ITC Avant Garde" w:hAnsi="ITC Avant Garde"/>
        </w:rPr>
        <w:t xml:space="preserve"> en la parte que nos interesa lo siguiente:</w:t>
      </w:r>
    </w:p>
    <w:p w14:paraId="37D04B8A" w14:textId="2B773E06" w:rsidR="008663FA" w:rsidRPr="00531B1A" w:rsidRDefault="008663FA" w:rsidP="00907F25">
      <w:pPr>
        <w:spacing w:after="240" w:line="360" w:lineRule="auto"/>
        <w:ind w:left="851" w:right="900"/>
        <w:jc w:val="both"/>
        <w:rPr>
          <w:rFonts w:ascii="ITC Avant Garde" w:hAnsi="ITC Avant Garde"/>
          <w:i/>
          <w:sz w:val="20"/>
        </w:rPr>
      </w:pPr>
      <w:r w:rsidRPr="00531B1A">
        <w:rPr>
          <w:rFonts w:ascii="ITC Avant Garde" w:hAnsi="ITC Avant Garde"/>
          <w:i/>
          <w:sz w:val="20"/>
        </w:rPr>
        <w:t>“</w:t>
      </w:r>
      <w:r w:rsidRPr="00531B1A">
        <w:rPr>
          <w:rFonts w:ascii="ITC Avant Garde" w:hAnsi="ITC Avant Garde"/>
          <w:b/>
          <w:i/>
          <w:sz w:val="20"/>
        </w:rPr>
        <w:t>OCTAVO.</w:t>
      </w:r>
      <w:r w:rsidRPr="00531B1A">
        <w:rPr>
          <w:rFonts w:ascii="ITC Avant Garde" w:hAnsi="ITC Avant Garde"/>
          <w:i/>
          <w:sz w:val="20"/>
        </w:rPr>
        <w:t xml:space="preserve"> Una vez constituido el Instituto Federal de Telecomunicaciones conforme a lo dispuesto en el artículo Sexto Transitorio, deberá observarse lo siguiente:</w:t>
      </w:r>
    </w:p>
    <w:p w14:paraId="4CEEB9EF" w14:textId="77777777" w:rsidR="008663FA" w:rsidRPr="00531B1A" w:rsidRDefault="008663FA" w:rsidP="00907F25">
      <w:pPr>
        <w:spacing w:after="240" w:line="360" w:lineRule="auto"/>
        <w:ind w:left="851" w:right="900"/>
        <w:jc w:val="both"/>
        <w:rPr>
          <w:rFonts w:ascii="ITC Avant Garde" w:hAnsi="ITC Avant Garde"/>
          <w:i/>
          <w:sz w:val="20"/>
        </w:rPr>
      </w:pPr>
      <w:r w:rsidRPr="00531B1A">
        <w:rPr>
          <w:rFonts w:ascii="ITC Avant Garde" w:hAnsi="ITC Avant Garde"/>
          <w:i/>
          <w:sz w:val="20"/>
        </w:rPr>
        <w:lastRenderedPageBreak/>
        <w:t>“I. (…)</w:t>
      </w:r>
    </w:p>
    <w:p w14:paraId="7D5FE6A1" w14:textId="77777777" w:rsidR="008663FA" w:rsidRPr="00531B1A" w:rsidRDefault="008663FA" w:rsidP="00907F25">
      <w:pPr>
        <w:spacing w:after="240" w:line="360" w:lineRule="auto"/>
        <w:ind w:left="851" w:right="900"/>
        <w:jc w:val="both"/>
        <w:rPr>
          <w:rFonts w:ascii="ITC Avant Garde" w:hAnsi="ITC Avant Garde"/>
          <w:i/>
          <w:sz w:val="20"/>
        </w:rPr>
      </w:pPr>
      <w:r w:rsidRPr="00531B1A">
        <w:rPr>
          <w:rFonts w:ascii="ITC Avant Garde" w:hAnsi="ITC Avant Garde"/>
          <w:b/>
          <w:i/>
          <w:sz w:val="20"/>
          <w:u w:val="single"/>
        </w:rPr>
        <w:t>Los concesionarios que presten servicios de televisión restringida están obligados a retransmitir la señal de televisión radiodifundida,</w:t>
      </w:r>
      <w:r w:rsidRPr="00531B1A">
        <w:rPr>
          <w:rFonts w:ascii="ITC Avant Garde" w:hAnsi="ITC Avant Garde"/>
          <w:i/>
          <w:sz w:val="20"/>
        </w:rPr>
        <w:t xml:space="preserve"> de manera gratuita y no discriminatoria, dentro de la misma zona de cobertura geográfica, en forma íntegra, simultánea y sin modificaciones, incluyendo la publicidad y con la misma calidad de la señal que se radiodifunde, e incluirla sin costo adicional en los servicios contratados por los suscriptores y usuarios. Los concesionarios de televisión restringida vía satélite, sólo deberán retransmitir obligatoriamente las señales radiodifundidas de cobertura del cincuenta por ciento o más del territorio nacional. </w:t>
      </w:r>
      <w:r w:rsidRPr="00531B1A">
        <w:rPr>
          <w:rFonts w:ascii="ITC Avant Garde" w:hAnsi="ITC Avant Garde"/>
          <w:b/>
          <w:i/>
          <w:sz w:val="20"/>
          <w:u w:val="single"/>
        </w:rPr>
        <w:t>Todos los concesionarios de televisión restringida deberán retransmitir las señales radiodifundidas por instituciones públicas federales</w:t>
      </w:r>
      <w:r w:rsidRPr="00531B1A">
        <w:rPr>
          <w:rFonts w:ascii="ITC Avant Garde" w:hAnsi="ITC Avant Garde"/>
          <w:i/>
          <w:sz w:val="20"/>
        </w:rPr>
        <w:t>.</w:t>
      </w:r>
    </w:p>
    <w:p w14:paraId="609386FA" w14:textId="77777777" w:rsidR="00E2222D" w:rsidRDefault="008663FA" w:rsidP="00907F25">
      <w:pPr>
        <w:spacing w:after="240" w:line="360" w:lineRule="auto"/>
        <w:ind w:left="851" w:right="900"/>
        <w:jc w:val="both"/>
        <w:rPr>
          <w:rFonts w:ascii="ITC Avant Garde" w:hAnsi="ITC Avant Garde"/>
          <w:i/>
          <w:sz w:val="20"/>
        </w:rPr>
      </w:pPr>
      <w:r w:rsidRPr="00531B1A">
        <w:rPr>
          <w:rFonts w:ascii="ITC Avant Garde" w:hAnsi="ITC Avant Garde"/>
          <w:i/>
          <w:sz w:val="20"/>
          <w:u w:val="single"/>
        </w:rPr>
        <w:t>(…)</w:t>
      </w:r>
      <w:r w:rsidRPr="00531B1A">
        <w:rPr>
          <w:rFonts w:ascii="ITC Avant Garde" w:hAnsi="ITC Avant Garde"/>
          <w:i/>
          <w:sz w:val="20"/>
        </w:rPr>
        <w:t>”</w:t>
      </w:r>
    </w:p>
    <w:p w14:paraId="2FAA218E" w14:textId="77777777" w:rsidR="00E2222D" w:rsidRDefault="00657392" w:rsidP="00907F25">
      <w:pPr>
        <w:spacing w:after="240" w:line="360" w:lineRule="auto"/>
        <w:jc w:val="both"/>
        <w:rPr>
          <w:rFonts w:ascii="ITC Avant Garde" w:hAnsi="ITC Avant Garde"/>
          <w:color w:val="000000"/>
        </w:rPr>
      </w:pPr>
      <w:r>
        <w:rPr>
          <w:rFonts w:ascii="ITC Avant Garde" w:hAnsi="ITC Avant Garde"/>
          <w:color w:val="000000"/>
        </w:rPr>
        <w:t>El</w:t>
      </w:r>
      <w:r w:rsidR="00C63906" w:rsidRPr="00C63906">
        <w:rPr>
          <w:rFonts w:ascii="ITC Avant Garde" w:hAnsi="ITC Avant Garde"/>
          <w:color w:val="000000"/>
        </w:rPr>
        <w:t xml:space="preserve"> texto constitucional establece</w:t>
      </w:r>
      <w:r w:rsidR="00DB1B85">
        <w:rPr>
          <w:rFonts w:ascii="ITC Avant Garde" w:hAnsi="ITC Avant Garde"/>
          <w:color w:val="000000"/>
        </w:rPr>
        <w:t xml:space="preserve">, entre otras, </w:t>
      </w:r>
      <w:r w:rsidR="00C63906" w:rsidRPr="00C63906">
        <w:rPr>
          <w:rFonts w:ascii="ITC Avant Garde" w:hAnsi="ITC Avant Garde"/>
          <w:color w:val="000000"/>
        </w:rPr>
        <w:t xml:space="preserve">la obligación para los concesionarios de televisión restringida de retransmitir </w:t>
      </w:r>
      <w:r w:rsidR="000F7CE5" w:rsidRPr="00127433">
        <w:rPr>
          <w:rFonts w:ascii="ITC Avant Garde" w:hAnsi="ITC Avant Garde"/>
          <w:color w:val="000000"/>
        </w:rPr>
        <w:t xml:space="preserve">las señales radiodifundidas de </w:t>
      </w:r>
      <w:r w:rsidR="00531B1A" w:rsidRPr="00127433">
        <w:rPr>
          <w:rFonts w:ascii="ITC Avant Garde" w:hAnsi="ITC Avant Garde"/>
          <w:color w:val="000000"/>
        </w:rPr>
        <w:t>Instituciones Públicas Federales</w:t>
      </w:r>
      <w:r w:rsidR="000F7CE5" w:rsidRPr="00127433">
        <w:rPr>
          <w:rFonts w:ascii="ITC Avant Garde" w:hAnsi="ITC Avant Garde"/>
          <w:color w:val="000000"/>
        </w:rPr>
        <w:t>,</w:t>
      </w:r>
      <w:r w:rsidR="000F7CE5">
        <w:rPr>
          <w:rFonts w:ascii="ITC Avant Garde" w:hAnsi="ITC Avant Garde"/>
          <w:color w:val="000000"/>
        </w:rPr>
        <w:t xml:space="preserve"> </w:t>
      </w:r>
      <w:r w:rsidR="00C63906">
        <w:rPr>
          <w:rFonts w:ascii="ITC Avant Garde" w:hAnsi="ITC Avant Garde"/>
          <w:color w:val="000000"/>
        </w:rPr>
        <w:t xml:space="preserve">por lo que </w:t>
      </w:r>
      <w:r>
        <w:rPr>
          <w:rFonts w:ascii="ITC Avant Garde" w:hAnsi="ITC Avant Garde"/>
          <w:color w:val="000000"/>
        </w:rPr>
        <w:t>a</w:t>
      </w:r>
      <w:r w:rsidRPr="00657392">
        <w:rPr>
          <w:rFonts w:ascii="ITC Avant Garde" w:hAnsi="ITC Avant Garde"/>
          <w:color w:val="000000"/>
        </w:rPr>
        <w:t xml:space="preserve"> fin de </w:t>
      </w:r>
      <w:r w:rsidR="00DB1B85">
        <w:rPr>
          <w:rFonts w:ascii="ITC Avant Garde" w:hAnsi="ITC Avant Garde"/>
          <w:color w:val="000000"/>
        </w:rPr>
        <w:t xml:space="preserve">establecer los elementos necesarios para su cumplimiento por </w:t>
      </w:r>
      <w:r w:rsidRPr="00657392">
        <w:rPr>
          <w:rFonts w:ascii="ITC Avant Garde" w:hAnsi="ITC Avant Garde"/>
          <w:color w:val="000000"/>
        </w:rPr>
        <w:t xml:space="preserve">los sectores de telecomunicaciones y radiodifusión, el </w:t>
      </w:r>
      <w:r w:rsidRPr="00DF1367">
        <w:rPr>
          <w:rFonts w:ascii="ITC Avant Garde" w:hAnsi="ITC Avant Garde"/>
          <w:b/>
          <w:color w:val="000000"/>
        </w:rPr>
        <w:t>IFT</w:t>
      </w:r>
      <w:r w:rsidRPr="00657392">
        <w:rPr>
          <w:rFonts w:ascii="ITC Avant Garde" w:hAnsi="ITC Avant Garde"/>
          <w:color w:val="000000"/>
        </w:rPr>
        <w:t xml:space="preserve"> en ejercicio de </w:t>
      </w:r>
      <w:r>
        <w:rPr>
          <w:rFonts w:ascii="ITC Avant Garde" w:hAnsi="ITC Avant Garde"/>
          <w:color w:val="000000"/>
        </w:rPr>
        <w:t xml:space="preserve">sus </w:t>
      </w:r>
      <w:r w:rsidRPr="00657392">
        <w:rPr>
          <w:rFonts w:ascii="ITC Avant Garde" w:hAnsi="ITC Avant Garde"/>
          <w:color w:val="000000"/>
        </w:rPr>
        <w:t xml:space="preserve">atribuciones </w:t>
      </w:r>
      <w:r>
        <w:rPr>
          <w:rFonts w:ascii="ITC Avant Garde" w:hAnsi="ITC Avant Garde"/>
          <w:color w:val="000000"/>
        </w:rPr>
        <w:t>emitió las</w:t>
      </w:r>
      <w:r w:rsidRPr="00657392">
        <w:rPr>
          <w:rFonts w:ascii="ITC Avant Garde" w:hAnsi="ITC Avant Garde"/>
          <w:color w:val="000000"/>
        </w:rPr>
        <w:t xml:space="preserve"> disposiciones administrativas de carácter general para el cumplimiento de </w:t>
      </w:r>
      <w:r w:rsidR="00DB1B85">
        <w:rPr>
          <w:rFonts w:ascii="ITC Avant Garde" w:hAnsi="ITC Avant Garde"/>
          <w:color w:val="000000"/>
        </w:rPr>
        <w:t>las mismas.</w:t>
      </w:r>
    </w:p>
    <w:p w14:paraId="2A82CDFE" w14:textId="77777777" w:rsidR="00E2222D" w:rsidRDefault="000E3755" w:rsidP="00907F25">
      <w:pPr>
        <w:spacing w:after="240" w:line="360" w:lineRule="auto"/>
        <w:jc w:val="both"/>
        <w:rPr>
          <w:rFonts w:ascii="ITC Avant Garde" w:hAnsi="ITC Avant Garde"/>
          <w:color w:val="000000"/>
        </w:rPr>
      </w:pPr>
      <w:r>
        <w:rPr>
          <w:rFonts w:ascii="ITC Avant Garde" w:hAnsi="ITC Avant Garde"/>
          <w:color w:val="000000"/>
        </w:rPr>
        <w:t>P</w:t>
      </w:r>
      <w:r w:rsidR="00FC338B">
        <w:rPr>
          <w:rFonts w:ascii="ITC Avant Garde" w:hAnsi="ITC Avant Garde"/>
          <w:color w:val="000000"/>
        </w:rPr>
        <w:t>ara tal efecto</w:t>
      </w:r>
      <w:r w:rsidR="00DB1B85">
        <w:rPr>
          <w:rFonts w:ascii="ITC Avant Garde" w:hAnsi="ITC Avant Garde"/>
          <w:color w:val="000000"/>
        </w:rPr>
        <w:t xml:space="preserve">, </w:t>
      </w:r>
      <w:r>
        <w:rPr>
          <w:rFonts w:ascii="ITC Avant Garde" w:hAnsi="ITC Avant Garde"/>
          <w:color w:val="000000"/>
        </w:rPr>
        <w:t xml:space="preserve">posteriormente </w:t>
      </w:r>
      <w:r w:rsidR="00DB1B85">
        <w:rPr>
          <w:rFonts w:ascii="ITC Avant Garde" w:hAnsi="ITC Avant Garde"/>
          <w:color w:val="000000"/>
        </w:rPr>
        <w:t xml:space="preserve">fueron emitidos </w:t>
      </w:r>
      <w:r w:rsidR="00DB1B85">
        <w:rPr>
          <w:rFonts w:ascii="ITC Avant Garde" w:hAnsi="ITC Avant Garde"/>
        </w:rPr>
        <w:t xml:space="preserve">los </w:t>
      </w:r>
      <w:r w:rsidR="00DB1B85" w:rsidRPr="00B8263D">
        <w:rPr>
          <w:rFonts w:ascii="ITC Avant Garde" w:hAnsi="ITC Avant Garde"/>
          <w:b/>
        </w:rPr>
        <w:t>LINEAMIENTOS,</w:t>
      </w:r>
      <w:r w:rsidR="00DB1B85">
        <w:rPr>
          <w:rFonts w:ascii="ITC Avant Garde" w:hAnsi="ITC Avant Garde"/>
          <w:b/>
        </w:rPr>
        <w:t xml:space="preserve"> </w:t>
      </w:r>
      <w:r w:rsidR="00DB1B85">
        <w:rPr>
          <w:rFonts w:ascii="ITC Avant Garde" w:hAnsi="ITC Avant Garde"/>
        </w:rPr>
        <w:t xml:space="preserve">sus respectivas modificaciones contenidas en el </w:t>
      </w:r>
      <w:r w:rsidR="00DB1B85">
        <w:rPr>
          <w:rFonts w:ascii="ITC Avant Garde" w:hAnsi="ITC Avant Garde"/>
          <w:b/>
        </w:rPr>
        <w:t xml:space="preserve">ACUERDO MODIFICATORIO; </w:t>
      </w:r>
      <w:r w:rsidR="00DB1B85" w:rsidRPr="00B8263D">
        <w:rPr>
          <w:rFonts w:ascii="ITC Avant Garde" w:hAnsi="ITC Avant Garde"/>
        </w:rPr>
        <w:t xml:space="preserve">el </w:t>
      </w:r>
      <w:r w:rsidR="00DB1B85">
        <w:rPr>
          <w:rFonts w:ascii="ITC Avant Garde" w:hAnsi="ITC Avant Garde"/>
          <w:b/>
        </w:rPr>
        <w:t xml:space="preserve">LISTADO </w:t>
      </w:r>
      <w:r w:rsidR="00DB1B85">
        <w:rPr>
          <w:rFonts w:ascii="ITC Avant Garde" w:hAnsi="ITC Avant Garde"/>
        </w:rPr>
        <w:t xml:space="preserve">y sus correspondientes </w:t>
      </w:r>
      <w:r w:rsidR="00DB1B85">
        <w:rPr>
          <w:rFonts w:ascii="ITC Avant Garde" w:hAnsi="ITC Avant Garde"/>
          <w:b/>
        </w:rPr>
        <w:t xml:space="preserve">ACTUALIZACIONES; </w:t>
      </w:r>
      <w:r w:rsidR="00DB1B85">
        <w:rPr>
          <w:rFonts w:ascii="ITC Avant Garde" w:hAnsi="ITC Avant Garde"/>
        </w:rPr>
        <w:t xml:space="preserve">en los cuales se </w:t>
      </w:r>
      <w:r w:rsidR="00127433">
        <w:rPr>
          <w:rFonts w:ascii="ITC Avant Garde" w:hAnsi="ITC Avant Garde"/>
        </w:rPr>
        <w:t xml:space="preserve">enuncian </w:t>
      </w:r>
      <w:r w:rsidR="00DB1B85">
        <w:rPr>
          <w:rFonts w:ascii="ITC Avant Garde" w:hAnsi="ITC Avant Garde"/>
          <w:color w:val="000000"/>
        </w:rPr>
        <w:t xml:space="preserve">las que </w:t>
      </w:r>
      <w:r w:rsidR="00DB1B85" w:rsidRPr="00DB1B85">
        <w:rPr>
          <w:rFonts w:ascii="ITC Avant Garde" w:hAnsi="ITC Avant Garde"/>
          <w:color w:val="000000"/>
        </w:rPr>
        <w:t xml:space="preserve">por su propia </w:t>
      </w:r>
      <w:r w:rsidR="00DB1B85">
        <w:rPr>
          <w:rFonts w:ascii="ITC Avant Garde" w:hAnsi="ITC Avant Garde"/>
          <w:color w:val="000000"/>
        </w:rPr>
        <w:t>naturaleza jurídica correspond</w:t>
      </w:r>
      <w:r w:rsidR="00104304">
        <w:rPr>
          <w:rFonts w:ascii="ITC Avant Garde" w:hAnsi="ITC Avant Garde"/>
          <w:color w:val="000000"/>
        </w:rPr>
        <w:t>e</w:t>
      </w:r>
      <w:r w:rsidR="00127433">
        <w:rPr>
          <w:rFonts w:ascii="ITC Avant Garde" w:hAnsi="ITC Avant Garde"/>
          <w:color w:val="000000"/>
        </w:rPr>
        <w:t>n a las instituciones públicas federales</w:t>
      </w:r>
      <w:r w:rsidR="00DB1B85" w:rsidRPr="00DB1B85">
        <w:rPr>
          <w:rFonts w:ascii="ITC Avant Garde" w:hAnsi="ITC Avant Garde"/>
          <w:color w:val="000000"/>
        </w:rPr>
        <w:t>,</w:t>
      </w:r>
      <w:r w:rsidR="00DB1B85">
        <w:rPr>
          <w:rFonts w:ascii="ITC Avant Garde" w:hAnsi="ITC Avant Garde"/>
          <w:color w:val="000000"/>
        </w:rPr>
        <w:t xml:space="preserve"> entre las que se encuentra el In</w:t>
      </w:r>
      <w:r w:rsidR="00127433">
        <w:rPr>
          <w:rFonts w:ascii="ITC Avant Garde" w:hAnsi="ITC Avant Garde"/>
          <w:color w:val="000000"/>
        </w:rPr>
        <w:t>s</w:t>
      </w:r>
      <w:r w:rsidR="00DB1B85">
        <w:rPr>
          <w:rFonts w:ascii="ITC Avant Garde" w:hAnsi="ITC Avant Garde"/>
          <w:color w:val="000000"/>
        </w:rPr>
        <w:t>tituto Polit</w:t>
      </w:r>
      <w:r w:rsidR="00127433">
        <w:rPr>
          <w:rFonts w:ascii="ITC Avant Garde" w:hAnsi="ITC Avant Garde"/>
          <w:color w:val="000000"/>
        </w:rPr>
        <w:t>écnico Nacional.</w:t>
      </w:r>
    </w:p>
    <w:p w14:paraId="6B8CB86D" w14:textId="77777777" w:rsidR="00E2222D" w:rsidRDefault="00127433" w:rsidP="00907F25">
      <w:pPr>
        <w:spacing w:after="240" w:line="360" w:lineRule="auto"/>
        <w:jc w:val="both"/>
        <w:rPr>
          <w:rFonts w:ascii="ITC Avant Garde" w:hAnsi="ITC Avant Garde"/>
          <w:color w:val="000000"/>
        </w:rPr>
      </w:pPr>
      <w:r>
        <w:rPr>
          <w:rFonts w:ascii="ITC Avant Garde" w:hAnsi="ITC Avant Garde"/>
          <w:color w:val="000000"/>
        </w:rPr>
        <w:t>En esa tesitura, dichas disposiciones establecen que</w:t>
      </w:r>
      <w:r w:rsidR="00FC338B">
        <w:rPr>
          <w:rFonts w:ascii="ITC Avant Garde" w:hAnsi="ITC Avant Garde"/>
          <w:color w:val="000000"/>
        </w:rPr>
        <w:t xml:space="preserve"> es</w:t>
      </w:r>
      <w:r>
        <w:rPr>
          <w:rFonts w:ascii="ITC Avant Garde" w:hAnsi="ITC Avant Garde"/>
          <w:color w:val="000000"/>
        </w:rPr>
        <w:t xml:space="preserve"> obligación de </w:t>
      </w:r>
      <w:r w:rsidRPr="00127433">
        <w:rPr>
          <w:rFonts w:ascii="ITC Avant Garde" w:hAnsi="ITC Avant Garde"/>
          <w:color w:val="000000"/>
        </w:rPr>
        <w:t>los concesionarios de televisión restringida retransmitir las señales radiodifundidas de instituciones públicas federales,</w:t>
      </w:r>
      <w:r w:rsidR="00FC338B">
        <w:rPr>
          <w:rFonts w:ascii="ITC Avant Garde" w:hAnsi="ITC Avant Garde"/>
          <w:color w:val="000000"/>
        </w:rPr>
        <w:t xml:space="preserve"> </w:t>
      </w:r>
      <w:r w:rsidR="00FC338B" w:rsidRPr="00DF1367">
        <w:rPr>
          <w:rFonts w:ascii="ITC Avant Garde" w:hAnsi="ITC Avant Garde"/>
          <w:b/>
          <w:color w:val="000000"/>
          <w:u w:val="single"/>
        </w:rPr>
        <w:t xml:space="preserve">señalando la obligación específica de </w:t>
      </w:r>
      <w:r w:rsidRPr="00DF1367">
        <w:rPr>
          <w:rFonts w:ascii="ITC Avant Garde" w:hAnsi="ITC Avant Garde"/>
          <w:b/>
          <w:color w:val="000000"/>
          <w:u w:val="single"/>
        </w:rPr>
        <w:t xml:space="preserve">incluir aquélla(s) </w:t>
      </w:r>
      <w:r w:rsidRPr="00DF1367">
        <w:rPr>
          <w:rFonts w:ascii="ITC Avant Garde" w:hAnsi="ITC Avant Garde"/>
          <w:b/>
          <w:color w:val="000000"/>
          <w:u w:val="single"/>
        </w:rPr>
        <w:lastRenderedPageBreak/>
        <w:t>realizada(s) a través de multiprogramación,</w:t>
      </w:r>
      <w:r w:rsidRPr="00127433">
        <w:rPr>
          <w:rFonts w:ascii="ITC Avant Garde" w:hAnsi="ITC Avant Garde"/>
          <w:color w:val="000000"/>
        </w:rPr>
        <w:t xml:space="preserve"> entendiendo ésta como la distribución de varias Señales Ra</w:t>
      </w:r>
      <w:r>
        <w:rPr>
          <w:rFonts w:ascii="ITC Avant Garde" w:hAnsi="ITC Avant Garde"/>
          <w:color w:val="000000"/>
        </w:rPr>
        <w:t>diodifundidas dentro del mismo c</w:t>
      </w:r>
      <w:r w:rsidRPr="00127433">
        <w:rPr>
          <w:rFonts w:ascii="ITC Avant Garde" w:hAnsi="ITC Avant Garde"/>
          <w:color w:val="000000"/>
        </w:rPr>
        <w:t xml:space="preserve">anal de </w:t>
      </w:r>
      <w:r>
        <w:rPr>
          <w:rFonts w:ascii="ITC Avant Garde" w:hAnsi="ITC Avant Garde"/>
          <w:color w:val="000000"/>
        </w:rPr>
        <w:t>t</w:t>
      </w:r>
      <w:r w:rsidRPr="00127433">
        <w:rPr>
          <w:rFonts w:ascii="ITC Avant Garde" w:hAnsi="ITC Avant Garde"/>
          <w:color w:val="000000"/>
        </w:rPr>
        <w:t xml:space="preserve">ransmisión, cada una de las cuales constituye un </w:t>
      </w:r>
      <w:r>
        <w:rPr>
          <w:rFonts w:ascii="ITC Avant Garde" w:hAnsi="ITC Avant Garde"/>
          <w:color w:val="000000"/>
        </w:rPr>
        <w:t>c</w:t>
      </w:r>
      <w:r w:rsidRPr="00127433">
        <w:rPr>
          <w:rFonts w:ascii="ITC Avant Garde" w:hAnsi="ITC Avant Garde"/>
          <w:color w:val="000000"/>
        </w:rPr>
        <w:t xml:space="preserve">anal de </w:t>
      </w:r>
      <w:r>
        <w:rPr>
          <w:rFonts w:ascii="ITC Avant Garde" w:hAnsi="ITC Avant Garde"/>
          <w:color w:val="000000"/>
        </w:rPr>
        <w:t>p</w:t>
      </w:r>
      <w:r w:rsidRPr="00127433">
        <w:rPr>
          <w:rFonts w:ascii="ITC Avant Garde" w:hAnsi="ITC Avant Garde"/>
          <w:color w:val="000000"/>
        </w:rPr>
        <w:t xml:space="preserve">rogramación, siempre </w:t>
      </w:r>
      <w:r w:rsidR="000F7CE5" w:rsidRPr="00127433">
        <w:rPr>
          <w:rFonts w:ascii="ITC Avant Garde" w:hAnsi="ITC Avant Garde"/>
          <w:color w:val="000000"/>
        </w:rPr>
        <w:t>y cuando éstas correspondan, precisamente, a instituciones públicas federales</w:t>
      </w:r>
      <w:r w:rsidR="000F7CE5">
        <w:rPr>
          <w:rFonts w:ascii="ITC Avant Garde" w:hAnsi="ITC Avant Garde"/>
          <w:color w:val="000000"/>
        </w:rPr>
        <w:t xml:space="preserve"> y </w:t>
      </w:r>
      <w:r w:rsidR="000F7CE5" w:rsidRPr="00127433">
        <w:rPr>
          <w:rFonts w:ascii="ITC Avant Garde" w:hAnsi="ITC Avant Garde"/>
          <w:color w:val="000000"/>
        </w:rPr>
        <w:t>se encuentre disponible para el concesionario de televisión restringida</w:t>
      </w:r>
      <w:r w:rsidR="000F7CE5">
        <w:rPr>
          <w:rFonts w:ascii="ITC Avant Garde" w:hAnsi="ITC Avant Garde"/>
          <w:color w:val="000000"/>
        </w:rPr>
        <w:t>.</w:t>
      </w:r>
    </w:p>
    <w:p w14:paraId="6BF6EC87" w14:textId="77777777" w:rsidR="00E2222D" w:rsidRDefault="000E3755" w:rsidP="00907F25">
      <w:pPr>
        <w:spacing w:after="240" w:line="360" w:lineRule="auto"/>
        <w:jc w:val="both"/>
        <w:rPr>
          <w:rFonts w:ascii="ITC Avant Garde" w:hAnsi="ITC Avant Garde"/>
          <w:b/>
        </w:rPr>
      </w:pPr>
      <w:r>
        <w:rPr>
          <w:rFonts w:ascii="ITC Avant Garde" w:hAnsi="ITC Avant Garde"/>
          <w:color w:val="000000"/>
        </w:rPr>
        <w:t>A ese respecto</w:t>
      </w:r>
      <w:r w:rsidR="00127433">
        <w:rPr>
          <w:rFonts w:ascii="ITC Avant Garde" w:hAnsi="ITC Avant Garde"/>
          <w:color w:val="000000"/>
        </w:rPr>
        <w:t xml:space="preserve">, toda vez que el canal 11.1 del Instituto Politécnico Nacional y su canal multiprogramado 11.2 denominado Once Niños, corresponden a señales radiodifundidas de una institución pública federal, aunado a que la señal de ambos canales se encontraba disponible para </w:t>
      </w:r>
      <w:r w:rsidR="00127433">
        <w:rPr>
          <w:rFonts w:ascii="ITC Avant Garde" w:hAnsi="ITC Avant Garde"/>
          <w:b/>
          <w:color w:val="000000"/>
        </w:rPr>
        <w:t xml:space="preserve">MEGA CABLE, </w:t>
      </w:r>
      <w:r w:rsidR="00127433">
        <w:rPr>
          <w:rFonts w:ascii="ITC Avant Garde" w:hAnsi="ITC Avant Garde"/>
          <w:color w:val="000000"/>
        </w:rPr>
        <w:t xml:space="preserve">la primera en la señal radiodifundida en la </w:t>
      </w:r>
      <w:r w:rsidR="00876E5B">
        <w:rPr>
          <w:rFonts w:ascii="ITC Avant Garde" w:hAnsi="ITC Avant Garde"/>
          <w:color w:val="000000"/>
        </w:rPr>
        <w:t>población</w:t>
      </w:r>
      <w:r w:rsidR="00127433">
        <w:rPr>
          <w:rFonts w:ascii="ITC Avant Garde" w:hAnsi="ITC Avant Garde"/>
          <w:color w:val="000000"/>
        </w:rPr>
        <w:t xml:space="preserve"> de Santiago de Querétaro y la segunda al establecerse la</w:t>
      </w:r>
      <w:r w:rsidR="005D103F">
        <w:rPr>
          <w:rFonts w:ascii="ITC Avant Garde" w:hAnsi="ITC Avant Garde"/>
          <w:color w:val="000000"/>
        </w:rPr>
        <w:t xml:space="preserve">s características técnicas para </w:t>
      </w:r>
      <w:r>
        <w:rPr>
          <w:rFonts w:ascii="ITC Avant Garde" w:hAnsi="ITC Avant Garde"/>
          <w:color w:val="000000"/>
        </w:rPr>
        <w:t xml:space="preserve">su </w:t>
      </w:r>
      <w:r w:rsidR="00127433">
        <w:rPr>
          <w:rFonts w:ascii="ITC Avant Garde" w:hAnsi="ITC Avant Garde"/>
          <w:color w:val="000000"/>
        </w:rPr>
        <w:t xml:space="preserve">retransmisión en términos del </w:t>
      </w:r>
      <w:r w:rsidR="00127433">
        <w:rPr>
          <w:rFonts w:ascii="ITC Avant Garde" w:hAnsi="ITC Avant Garde"/>
          <w:b/>
        </w:rPr>
        <w:t>Artículo 12</w:t>
      </w:r>
      <w:r w:rsidR="00127433">
        <w:rPr>
          <w:rFonts w:ascii="ITC Avant Garde" w:hAnsi="ITC Avant Garde"/>
        </w:rPr>
        <w:t xml:space="preserve"> de los </w:t>
      </w:r>
      <w:r w:rsidR="00127433">
        <w:rPr>
          <w:rFonts w:ascii="ITC Avant Garde" w:hAnsi="ITC Avant Garde"/>
          <w:b/>
        </w:rPr>
        <w:t xml:space="preserve">LINEAMIENTOS, </w:t>
      </w:r>
      <w:r w:rsidR="00127433">
        <w:rPr>
          <w:rFonts w:ascii="ITC Avant Garde" w:hAnsi="ITC Avant Garde"/>
        </w:rPr>
        <w:t xml:space="preserve">sus respectivas modificaciones contenidas en el </w:t>
      </w:r>
      <w:r w:rsidR="00127433">
        <w:rPr>
          <w:rFonts w:ascii="ITC Avant Garde" w:hAnsi="ITC Avant Garde"/>
          <w:b/>
        </w:rPr>
        <w:t xml:space="preserve">ACUERDO MODIFICATORIO; </w:t>
      </w:r>
      <w:r w:rsidR="00127433">
        <w:rPr>
          <w:rFonts w:ascii="ITC Avant Garde" w:hAnsi="ITC Avant Garde"/>
        </w:rPr>
        <w:t xml:space="preserve">el </w:t>
      </w:r>
      <w:r w:rsidR="00127433">
        <w:rPr>
          <w:rFonts w:ascii="ITC Avant Garde" w:hAnsi="ITC Avant Garde"/>
          <w:b/>
        </w:rPr>
        <w:t xml:space="preserve">LISTADO </w:t>
      </w:r>
      <w:r w:rsidR="00127433">
        <w:rPr>
          <w:rFonts w:ascii="ITC Avant Garde" w:hAnsi="ITC Avant Garde"/>
        </w:rPr>
        <w:t xml:space="preserve">y sus correspondientes </w:t>
      </w:r>
      <w:r w:rsidR="00127433">
        <w:rPr>
          <w:rFonts w:ascii="ITC Avant Garde" w:hAnsi="ITC Avant Garde"/>
          <w:b/>
        </w:rPr>
        <w:t>ACTUALIZACIONES</w:t>
      </w:r>
      <w:r>
        <w:rPr>
          <w:rFonts w:ascii="ITC Avant Garde" w:hAnsi="ITC Avant Garde"/>
          <w:b/>
        </w:rPr>
        <w:t>.</w:t>
      </w:r>
    </w:p>
    <w:p w14:paraId="5E82BBE7" w14:textId="108C2869" w:rsidR="005D103F" w:rsidRDefault="000E3755" w:rsidP="00907F25">
      <w:pPr>
        <w:spacing w:after="240" w:line="360" w:lineRule="auto"/>
        <w:jc w:val="both"/>
        <w:rPr>
          <w:rFonts w:ascii="ITC Avant Garde" w:hAnsi="ITC Avant Garde"/>
          <w:color w:val="000000"/>
        </w:rPr>
      </w:pPr>
      <w:r w:rsidRPr="00DF1367">
        <w:rPr>
          <w:rFonts w:ascii="ITC Avant Garde" w:hAnsi="ITC Avant Garde"/>
        </w:rPr>
        <w:t xml:space="preserve">En consecuencia, </w:t>
      </w:r>
      <w:r>
        <w:rPr>
          <w:rFonts w:ascii="ITC Avant Garde" w:hAnsi="ITC Avant Garde"/>
        </w:rPr>
        <w:t>d</w:t>
      </w:r>
      <w:r w:rsidR="005D103F">
        <w:rPr>
          <w:rFonts w:ascii="ITC Avant Garde" w:hAnsi="ITC Avant Garde"/>
        </w:rPr>
        <w:t>icha obliga</w:t>
      </w:r>
      <w:r>
        <w:rPr>
          <w:rFonts w:ascii="ITC Avant Garde" w:hAnsi="ITC Avant Garde"/>
        </w:rPr>
        <w:t>toriedad</w:t>
      </w:r>
      <w:r w:rsidR="005D103F">
        <w:rPr>
          <w:rFonts w:ascii="ITC Avant Garde" w:hAnsi="ITC Avant Garde"/>
        </w:rPr>
        <w:t xml:space="preserve"> </w:t>
      </w:r>
      <w:r w:rsidR="00FC338B">
        <w:rPr>
          <w:rFonts w:ascii="ITC Avant Garde" w:hAnsi="ITC Avant Garde"/>
        </w:rPr>
        <w:t xml:space="preserve">no </w:t>
      </w:r>
      <w:r w:rsidR="005D103F">
        <w:rPr>
          <w:rFonts w:ascii="ITC Avant Garde" w:hAnsi="ITC Avant Garde"/>
        </w:rPr>
        <w:t>atiend</w:t>
      </w:r>
      <w:r w:rsidR="00FC338B">
        <w:rPr>
          <w:rFonts w:ascii="ITC Avant Garde" w:hAnsi="ITC Avant Garde"/>
        </w:rPr>
        <w:t>e</w:t>
      </w:r>
      <w:r w:rsidR="005D103F">
        <w:rPr>
          <w:rFonts w:ascii="ITC Avant Garde" w:hAnsi="ITC Avant Garde"/>
        </w:rPr>
        <w:t xml:space="preserve"> a la señal de mayor audiencia</w:t>
      </w:r>
      <w:r w:rsidR="00FC338B">
        <w:rPr>
          <w:rFonts w:ascii="ITC Avant Garde" w:hAnsi="ITC Avant Garde"/>
        </w:rPr>
        <w:t xml:space="preserve">, </w:t>
      </w:r>
      <w:r w:rsidR="005D103F">
        <w:rPr>
          <w:rFonts w:ascii="ITC Avant Garde" w:hAnsi="ITC Avant Garde"/>
        </w:rPr>
        <w:t xml:space="preserve">al establecer específicamente </w:t>
      </w:r>
      <w:r>
        <w:rPr>
          <w:rFonts w:ascii="ITC Avant Garde" w:hAnsi="ITC Avant Garde"/>
        </w:rPr>
        <w:t xml:space="preserve">que </w:t>
      </w:r>
      <w:r w:rsidR="005D103F">
        <w:rPr>
          <w:rFonts w:ascii="ITC Avant Garde" w:hAnsi="ITC Avant Garde"/>
        </w:rPr>
        <w:t xml:space="preserve">por tratarse de canales relativos a una institución pública federal, </w:t>
      </w:r>
      <w:r>
        <w:rPr>
          <w:rFonts w:ascii="ITC Avant Garde" w:hAnsi="ITC Avant Garde"/>
        </w:rPr>
        <w:t xml:space="preserve">para su cumplimiento debía haber retransmitido el canal multiprogramado 11.2 al encontrarse disponible para tal efecto, </w:t>
      </w:r>
      <w:r w:rsidR="005D103F" w:rsidRPr="002D2652">
        <w:rPr>
          <w:rFonts w:ascii="ITC Avant Garde" w:hAnsi="ITC Avant Garde"/>
          <w:shd w:val="clear" w:color="auto" w:fill="FFFFFF"/>
        </w:rPr>
        <w:t xml:space="preserve">de lo que se sigue que su argumento resulta </w:t>
      </w:r>
      <w:r w:rsidR="005D103F" w:rsidRPr="002D2652">
        <w:rPr>
          <w:rFonts w:ascii="ITC Avant Garde" w:hAnsi="ITC Avant Garde"/>
          <w:b/>
          <w:u w:val="single"/>
          <w:shd w:val="clear" w:color="auto" w:fill="FFFFFF"/>
        </w:rPr>
        <w:t>infundado</w:t>
      </w:r>
      <w:r w:rsidR="005D103F" w:rsidRPr="002D2652">
        <w:rPr>
          <w:rFonts w:ascii="ITC Avant Garde" w:hAnsi="ITC Avant Garde"/>
          <w:shd w:val="clear" w:color="auto" w:fill="FFFFFF"/>
        </w:rPr>
        <w:t>.</w:t>
      </w:r>
    </w:p>
    <w:p w14:paraId="0979240D" w14:textId="77777777" w:rsidR="00E2222D" w:rsidRDefault="006D2873"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Ahora bien, </w:t>
      </w:r>
      <w:r w:rsidR="005F5DBC">
        <w:rPr>
          <w:rFonts w:ascii="ITC Avant Garde" w:hAnsi="ITC Avant Garde"/>
          <w:b/>
          <w:color w:val="000000"/>
        </w:rPr>
        <w:t>MEGA CABLE</w:t>
      </w:r>
      <w:r w:rsidRPr="00B215CD">
        <w:rPr>
          <w:rFonts w:ascii="ITC Avant Garde" w:hAnsi="ITC Avant Garde"/>
          <w:b/>
          <w:color w:val="000000"/>
        </w:rPr>
        <w:t xml:space="preserve"> </w:t>
      </w:r>
      <w:r w:rsidRPr="00B215CD">
        <w:rPr>
          <w:rFonts w:ascii="ITC Avant Garde" w:hAnsi="ITC Avant Garde"/>
          <w:color w:val="000000"/>
        </w:rPr>
        <w:t xml:space="preserve">sostiene fundamentalmente que no </w:t>
      </w:r>
      <w:r w:rsidR="001C2294" w:rsidRPr="00B215CD">
        <w:rPr>
          <w:rFonts w:ascii="ITC Avant Garde" w:hAnsi="ITC Avant Garde"/>
          <w:color w:val="000000"/>
        </w:rPr>
        <w:t xml:space="preserve">estaba obligada a retransmitir la señal multiprogramada de Once niños ya que la misma no se encuentra radiodifundida en la población de </w:t>
      </w:r>
      <w:r w:rsidR="00F3239C">
        <w:rPr>
          <w:rFonts w:ascii="ITC Avant Garde" w:hAnsi="ITC Avant Garde"/>
          <w:color w:val="000000"/>
        </w:rPr>
        <w:t xml:space="preserve">Santiago de Querétaro, </w:t>
      </w:r>
      <w:r w:rsidR="001C2294" w:rsidRPr="00B215CD">
        <w:rPr>
          <w:rFonts w:ascii="ITC Avant Garde" w:hAnsi="ITC Avant Garde"/>
          <w:color w:val="000000"/>
        </w:rPr>
        <w:t xml:space="preserve">lugar donde se encuentra ubicado </w:t>
      </w:r>
      <w:r w:rsidRPr="00B215CD">
        <w:rPr>
          <w:rFonts w:ascii="ITC Avant Garde" w:hAnsi="ITC Avant Garde"/>
          <w:color w:val="000000"/>
        </w:rPr>
        <w:t>su</w:t>
      </w:r>
      <w:r w:rsidR="001C2294" w:rsidRPr="00B215CD">
        <w:rPr>
          <w:rFonts w:ascii="ITC Avant Garde" w:hAnsi="ITC Avant Garde"/>
          <w:color w:val="000000"/>
        </w:rPr>
        <w:t xml:space="preserve"> centro de recepción y control</w:t>
      </w:r>
      <w:r w:rsidRPr="00B215CD">
        <w:rPr>
          <w:rFonts w:ascii="ITC Avant Garde" w:hAnsi="ITC Avant Garde"/>
          <w:color w:val="000000"/>
        </w:rPr>
        <w:t>.</w:t>
      </w:r>
    </w:p>
    <w:p w14:paraId="5588A18C" w14:textId="77777777" w:rsidR="00E2222D" w:rsidRDefault="001C2294" w:rsidP="00907F25">
      <w:pPr>
        <w:spacing w:after="240" w:line="360" w:lineRule="auto"/>
        <w:jc w:val="both"/>
        <w:rPr>
          <w:rFonts w:ascii="ITC Avant Garde" w:hAnsi="ITC Avant Garde"/>
          <w:color w:val="000000"/>
        </w:rPr>
      </w:pPr>
      <w:r w:rsidRPr="00B215CD">
        <w:rPr>
          <w:rFonts w:ascii="ITC Avant Garde" w:hAnsi="ITC Avant Garde"/>
          <w:color w:val="000000"/>
        </w:rPr>
        <w:t>De igual forma, considera que no t</w:t>
      </w:r>
      <w:r w:rsidR="006D2873" w:rsidRPr="00B215CD">
        <w:rPr>
          <w:rFonts w:ascii="ITC Avant Garde" w:hAnsi="ITC Avant Garde"/>
          <w:color w:val="000000"/>
        </w:rPr>
        <w:t>iene</w:t>
      </w:r>
      <w:r w:rsidRPr="00B215CD">
        <w:rPr>
          <w:rFonts w:ascii="ITC Avant Garde" w:hAnsi="ITC Avant Garde"/>
          <w:color w:val="000000"/>
        </w:rPr>
        <w:t xml:space="preserve"> la obligación de retransmitirla ya que la señal de Once Niños no puede considerarse como radiodifundida ya que la población no la puede recibir de manera directa y gratuita</w:t>
      </w:r>
      <w:r w:rsidR="001E197B" w:rsidRPr="00B215CD">
        <w:rPr>
          <w:rFonts w:ascii="ITC Avant Garde" w:hAnsi="ITC Avant Garde"/>
          <w:color w:val="000000"/>
        </w:rPr>
        <w:t>,</w:t>
      </w:r>
      <w:r w:rsidRPr="00B215CD">
        <w:rPr>
          <w:rFonts w:ascii="ITC Avant Garde" w:hAnsi="ITC Avant Garde"/>
          <w:color w:val="000000"/>
        </w:rPr>
        <w:t xml:space="preserve"> </w:t>
      </w:r>
      <w:r w:rsidR="005661F7" w:rsidRPr="00B215CD">
        <w:rPr>
          <w:rFonts w:ascii="ITC Avant Garde" w:hAnsi="ITC Avant Garde"/>
          <w:color w:val="000000"/>
        </w:rPr>
        <w:t xml:space="preserve">y que el </w:t>
      </w:r>
      <w:r w:rsidR="005F5DBC">
        <w:rPr>
          <w:rFonts w:ascii="ITC Avant Garde" w:hAnsi="ITC Avant Garde"/>
          <w:b/>
          <w:color w:val="000000"/>
        </w:rPr>
        <w:t>IFT</w:t>
      </w:r>
      <w:r w:rsidR="005661F7" w:rsidRPr="00B215CD">
        <w:rPr>
          <w:rFonts w:ascii="ITC Avant Garde" w:hAnsi="ITC Avant Garde"/>
          <w:color w:val="000000"/>
        </w:rPr>
        <w:t xml:space="preserve"> no ha publicado </w:t>
      </w:r>
      <w:r w:rsidR="005F3318">
        <w:rPr>
          <w:rFonts w:ascii="ITC Avant Garde" w:hAnsi="ITC Avant Garde"/>
          <w:color w:val="000000"/>
        </w:rPr>
        <w:t xml:space="preserve">en el </w:t>
      </w:r>
      <w:r w:rsidR="005F3318" w:rsidRPr="005F5DBC">
        <w:rPr>
          <w:rFonts w:ascii="ITC Avant Garde" w:hAnsi="ITC Avant Garde"/>
          <w:b/>
          <w:color w:val="000000"/>
        </w:rPr>
        <w:t>DOF</w:t>
      </w:r>
      <w:r w:rsidR="005F3318">
        <w:rPr>
          <w:rFonts w:ascii="ITC Avant Garde" w:hAnsi="ITC Avant Garde"/>
          <w:color w:val="000000"/>
        </w:rPr>
        <w:t xml:space="preserve"> </w:t>
      </w:r>
      <w:r w:rsidR="005661F7" w:rsidRPr="00B215CD">
        <w:rPr>
          <w:rFonts w:ascii="ITC Avant Garde" w:hAnsi="ITC Avant Garde"/>
          <w:color w:val="000000"/>
        </w:rPr>
        <w:t xml:space="preserve">que dicha señal se encuentra disponible para </w:t>
      </w:r>
      <w:r w:rsidR="005F5DBC">
        <w:rPr>
          <w:rFonts w:ascii="ITC Avant Garde" w:hAnsi="ITC Avant Garde"/>
          <w:b/>
          <w:color w:val="000000"/>
        </w:rPr>
        <w:t>MEGA CABLE</w:t>
      </w:r>
      <w:r w:rsidR="005661F7" w:rsidRPr="00B215CD">
        <w:rPr>
          <w:rFonts w:ascii="ITC Avant Garde" w:hAnsi="ITC Avant Garde"/>
          <w:color w:val="000000"/>
        </w:rPr>
        <w:t xml:space="preserve"> como concesionario de televisión restringida terrenal.</w:t>
      </w:r>
    </w:p>
    <w:p w14:paraId="224C4EDB" w14:textId="77777777" w:rsidR="00E2222D" w:rsidRDefault="001E197B" w:rsidP="00907F25">
      <w:pPr>
        <w:spacing w:after="240" w:line="360" w:lineRule="auto"/>
        <w:jc w:val="both"/>
        <w:rPr>
          <w:rFonts w:ascii="ITC Avant Garde" w:hAnsi="ITC Avant Garde"/>
          <w:color w:val="000000"/>
        </w:rPr>
      </w:pPr>
      <w:r w:rsidRPr="00B215CD">
        <w:rPr>
          <w:rFonts w:ascii="ITC Avant Garde" w:hAnsi="ITC Avant Garde"/>
          <w:color w:val="000000"/>
        </w:rPr>
        <w:lastRenderedPageBreak/>
        <w:t>Al respecto, s</w:t>
      </w:r>
      <w:r w:rsidR="001C2294" w:rsidRPr="00B215CD">
        <w:rPr>
          <w:rFonts w:ascii="ITC Avant Garde" w:hAnsi="ITC Avant Garde"/>
          <w:color w:val="000000"/>
        </w:rPr>
        <w:t xml:space="preserve">e consideran </w:t>
      </w:r>
      <w:r w:rsidR="001C2294" w:rsidRPr="00B215CD">
        <w:rPr>
          <w:rFonts w:ascii="ITC Avant Garde" w:hAnsi="ITC Avant Garde"/>
          <w:b/>
          <w:color w:val="000000"/>
          <w:u w:val="single"/>
        </w:rPr>
        <w:t>infundadas</w:t>
      </w:r>
      <w:r w:rsidR="001C2294" w:rsidRPr="00B215CD">
        <w:rPr>
          <w:rFonts w:ascii="ITC Avant Garde" w:hAnsi="ITC Avant Garde"/>
          <w:color w:val="000000"/>
        </w:rPr>
        <w:t xml:space="preserve"> las anteriores manifestaciones ya que </w:t>
      </w:r>
      <w:r w:rsidR="005F5DBC">
        <w:rPr>
          <w:rFonts w:ascii="ITC Avant Garde" w:eastAsia="Times New Roman" w:hAnsi="ITC Avant Garde"/>
          <w:b/>
          <w:bCs/>
          <w:smallCaps/>
          <w:color w:val="000000"/>
          <w:lang w:eastAsia="es-MX"/>
        </w:rPr>
        <w:t>MEGA CABLE</w:t>
      </w:r>
      <w:r w:rsidR="001C2294" w:rsidRPr="00B215CD">
        <w:rPr>
          <w:rFonts w:ascii="ITC Avant Garde" w:eastAsia="Times New Roman" w:hAnsi="ITC Avant Garde"/>
          <w:b/>
          <w:bCs/>
          <w:smallCaps/>
          <w:color w:val="000000"/>
          <w:lang w:eastAsia="es-MX"/>
        </w:rPr>
        <w:t xml:space="preserve"> </w:t>
      </w:r>
      <w:r w:rsidR="001C2294" w:rsidRPr="00B215CD">
        <w:rPr>
          <w:rFonts w:ascii="ITC Avant Garde" w:hAnsi="ITC Avant Garde"/>
          <w:color w:val="000000"/>
        </w:rPr>
        <w:t xml:space="preserve">realiza una interpretación parcial del contenido del artículo 12 de los </w:t>
      </w:r>
      <w:r w:rsidR="005F5DBC">
        <w:rPr>
          <w:rFonts w:ascii="ITC Avant Garde" w:hAnsi="ITC Avant Garde"/>
          <w:b/>
          <w:color w:val="000000"/>
        </w:rPr>
        <w:t>LINEAMIENTOS</w:t>
      </w:r>
      <w:r w:rsidR="001C2294" w:rsidRPr="00B215CD">
        <w:rPr>
          <w:rFonts w:ascii="ITC Avant Garde" w:hAnsi="ITC Avant Garde"/>
          <w:b/>
          <w:color w:val="000000"/>
        </w:rPr>
        <w:t xml:space="preserve"> </w:t>
      </w:r>
      <w:r w:rsidR="001C2294" w:rsidRPr="00B215CD">
        <w:rPr>
          <w:rFonts w:ascii="ITC Avant Garde" w:hAnsi="ITC Avant Garde"/>
          <w:color w:val="000000"/>
        </w:rPr>
        <w:t xml:space="preserve">ya que si bien es cierto en su primer párrafo señala que </w:t>
      </w:r>
      <w:r w:rsidR="00521A0E">
        <w:rPr>
          <w:rFonts w:ascii="ITC Avant Garde" w:hAnsi="ITC Avant Garde"/>
          <w:color w:val="000000"/>
        </w:rPr>
        <w:t>“</w:t>
      </w:r>
      <w:r w:rsidR="001C2294" w:rsidRPr="00B215CD">
        <w:rPr>
          <w:rFonts w:ascii="ITC Avant Garde" w:hAnsi="ITC Avant Garde"/>
          <w:i/>
          <w:color w:val="000000"/>
        </w:rPr>
        <w:t>Los Concesionarios de Televisión Restringida deberán retransmitir todas las Señales Radiodifundidas de Instituciones Públicas</w:t>
      </w:r>
      <w:r w:rsidR="001C2294" w:rsidRPr="00B215CD">
        <w:rPr>
          <w:rFonts w:ascii="ITC Avant Garde" w:hAnsi="ITC Avant Garde"/>
          <w:color w:val="000000"/>
        </w:rPr>
        <w:t xml:space="preserve"> </w:t>
      </w:r>
      <w:r w:rsidR="001C2294" w:rsidRPr="00B215CD">
        <w:rPr>
          <w:rFonts w:ascii="ITC Avant Garde" w:hAnsi="ITC Avant Garde"/>
          <w:i/>
          <w:color w:val="000000"/>
        </w:rPr>
        <w:t>Federales</w:t>
      </w:r>
      <w:r w:rsidR="00521A0E">
        <w:rPr>
          <w:rFonts w:ascii="ITC Avant Garde" w:hAnsi="ITC Avant Garde"/>
          <w:i/>
          <w:color w:val="000000"/>
        </w:rPr>
        <w:t>”</w:t>
      </w:r>
      <w:r w:rsidR="001C2294" w:rsidRPr="00B215CD">
        <w:rPr>
          <w:rFonts w:ascii="ITC Avant Garde" w:hAnsi="ITC Avant Garde"/>
          <w:color w:val="000000"/>
        </w:rPr>
        <w:t xml:space="preserve">, también es cierto que el párrafo tercero del mismo artículo señala que </w:t>
      </w:r>
      <w:r w:rsidR="001C2294" w:rsidRPr="00B215CD">
        <w:rPr>
          <w:rFonts w:ascii="ITC Avant Garde" w:hAnsi="ITC Avant Garde"/>
          <w:b/>
          <w:color w:val="000000"/>
          <w:u w:val="single"/>
        </w:rPr>
        <w:t xml:space="preserve">los concesionarios de televisión restringida terrenal que no tengan acceso a las señales radiodifundidas de instituciones públicas federales en su misma zona de cobertura, estarán obligados a retransmitir dichas señales una vez que el Instituto publique en el </w:t>
      </w:r>
      <w:r w:rsidR="0013793E" w:rsidRPr="00B215CD">
        <w:rPr>
          <w:rFonts w:ascii="ITC Avant Garde" w:hAnsi="ITC Avant Garde"/>
          <w:b/>
          <w:color w:val="000000"/>
          <w:u w:val="single"/>
        </w:rPr>
        <w:t>“DOF”</w:t>
      </w:r>
      <w:r w:rsidR="001C2294" w:rsidRPr="00B215CD">
        <w:rPr>
          <w:rFonts w:ascii="ITC Avant Garde" w:hAnsi="ITC Avant Garde"/>
          <w:b/>
          <w:color w:val="000000"/>
          <w:u w:val="single"/>
        </w:rPr>
        <w:t xml:space="preserve"> que las mismas se encuentren </w:t>
      </w:r>
      <w:r w:rsidR="001C2294" w:rsidRPr="005F5DBC">
        <w:rPr>
          <w:rFonts w:ascii="ITC Avant Garde" w:hAnsi="ITC Avant Garde"/>
          <w:b/>
          <w:color w:val="000000"/>
          <w:u w:val="single"/>
        </w:rPr>
        <w:t>disponibles en su zona de cobertura</w:t>
      </w:r>
      <w:r w:rsidR="001C2294" w:rsidRPr="00B215CD">
        <w:rPr>
          <w:rFonts w:ascii="ITC Avant Garde" w:hAnsi="ITC Avant Garde"/>
          <w:b/>
          <w:color w:val="000000"/>
          <w:u w:val="single"/>
        </w:rPr>
        <w:t xml:space="preserve"> por el medio que corresponda para su retransmisión</w:t>
      </w:r>
      <w:r w:rsidR="001C2294" w:rsidRPr="00B215CD">
        <w:rPr>
          <w:rFonts w:ascii="ITC Avant Garde" w:hAnsi="ITC Avant Garde"/>
          <w:color w:val="000000"/>
        </w:rPr>
        <w:t xml:space="preserve"> (entre ellos el satelital).</w:t>
      </w:r>
    </w:p>
    <w:p w14:paraId="356C908F" w14:textId="77777777" w:rsidR="00E2222D" w:rsidRDefault="001C2294"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En ese orden de ideas, su obligación no nació porque se tratara de una señal radiodifundida en su zona de cobertura como infundadamente lo pretende sostener, sino que su obligación surgió a partir de que el Instituto publicó en el </w:t>
      </w:r>
      <w:r w:rsidRPr="00B215CD">
        <w:rPr>
          <w:rFonts w:ascii="ITC Avant Garde" w:hAnsi="ITC Avant Garde"/>
          <w:b/>
          <w:color w:val="000000"/>
        </w:rPr>
        <w:t>DOF</w:t>
      </w:r>
      <w:r w:rsidRPr="00B215CD">
        <w:rPr>
          <w:rFonts w:ascii="ITC Avant Garde" w:hAnsi="ITC Avant Garde"/>
          <w:color w:val="000000"/>
        </w:rPr>
        <w:t xml:space="preserve"> las señales </w:t>
      </w:r>
      <w:r w:rsidR="001E197B" w:rsidRPr="00B215CD">
        <w:rPr>
          <w:rFonts w:ascii="ITC Avant Garde" w:hAnsi="ITC Avant Garde"/>
          <w:color w:val="000000"/>
        </w:rPr>
        <w:t xml:space="preserve">de las Instituciones Públicas Federales </w:t>
      </w:r>
      <w:r w:rsidRPr="00B215CD">
        <w:rPr>
          <w:rFonts w:ascii="ITC Avant Garde" w:hAnsi="ITC Avant Garde"/>
          <w:color w:val="000000"/>
        </w:rPr>
        <w:t>que se encontraban disponibles para ser retransmitidas por los concesionarios de televisión restringida terrenal y se hicieron de</w:t>
      </w:r>
      <w:r w:rsidR="001E197B" w:rsidRPr="00B215CD">
        <w:rPr>
          <w:rFonts w:ascii="ITC Avant Garde" w:hAnsi="ITC Avant Garde"/>
          <w:color w:val="000000"/>
        </w:rPr>
        <w:t>l</w:t>
      </w:r>
      <w:r w:rsidRPr="00B215CD">
        <w:rPr>
          <w:rFonts w:ascii="ITC Avant Garde" w:hAnsi="ITC Avant Garde"/>
          <w:color w:val="000000"/>
        </w:rPr>
        <w:t xml:space="preserve"> conocimiento de los concesionarios las características técnicas de dichas señales.</w:t>
      </w:r>
    </w:p>
    <w:p w14:paraId="137CCBAA" w14:textId="77777777" w:rsidR="00E2222D" w:rsidRDefault="001C2294" w:rsidP="00907F25">
      <w:pPr>
        <w:spacing w:after="240" w:line="360" w:lineRule="auto"/>
        <w:jc w:val="both"/>
        <w:rPr>
          <w:rFonts w:ascii="ITC Avant Garde" w:hAnsi="ITC Avant Garde"/>
          <w:color w:val="000000"/>
          <w:highlight w:val="yellow"/>
        </w:rPr>
      </w:pPr>
      <w:r w:rsidRPr="00B215CD">
        <w:rPr>
          <w:rFonts w:ascii="ITC Avant Garde" w:hAnsi="ITC Avant Garde"/>
          <w:color w:val="000000"/>
        </w:rPr>
        <w:t xml:space="preserve">A partir de lo anterior, resulta infundado que </w:t>
      </w:r>
      <w:r w:rsidR="005F5DBC">
        <w:rPr>
          <w:rFonts w:ascii="ITC Avant Garde" w:eastAsia="Times New Roman" w:hAnsi="ITC Avant Garde"/>
          <w:b/>
          <w:bCs/>
          <w:smallCaps/>
          <w:color w:val="000000"/>
          <w:lang w:eastAsia="es-MX"/>
        </w:rPr>
        <w:t>MEGA CABLE</w:t>
      </w:r>
      <w:r w:rsidRPr="00B215CD">
        <w:rPr>
          <w:rFonts w:ascii="ITC Avant Garde" w:eastAsia="Times New Roman" w:hAnsi="ITC Avant Garde"/>
          <w:b/>
          <w:bCs/>
          <w:smallCaps/>
          <w:color w:val="000000"/>
          <w:lang w:eastAsia="es-MX"/>
        </w:rPr>
        <w:t xml:space="preserve"> </w:t>
      </w:r>
      <w:r w:rsidRPr="00B215CD">
        <w:rPr>
          <w:rFonts w:ascii="ITC Avant Garde" w:hAnsi="ITC Avant Garde"/>
          <w:color w:val="000000"/>
        </w:rPr>
        <w:t xml:space="preserve">pretenda evadir su obligación de retransmitir la señal de Once Niños considerando que dicha señal no se encontraba radiodifundida en su zona de cobertura, ya que dicha señal estaba disponible para su retransmisión a partir de que el Instituto publicó en el </w:t>
      </w:r>
      <w:r w:rsidRPr="00B215CD">
        <w:rPr>
          <w:rFonts w:ascii="ITC Avant Garde" w:hAnsi="ITC Avant Garde"/>
          <w:b/>
          <w:color w:val="000000"/>
        </w:rPr>
        <w:t>DOF</w:t>
      </w:r>
      <w:r w:rsidRPr="00B215CD">
        <w:rPr>
          <w:rFonts w:ascii="ITC Avant Garde" w:hAnsi="ITC Avant Garde"/>
          <w:color w:val="000000"/>
        </w:rPr>
        <w:t xml:space="preserve"> el </w:t>
      </w:r>
      <w:r w:rsidR="005F5DBC">
        <w:rPr>
          <w:rFonts w:ascii="ITC Avant Garde" w:hAnsi="ITC Avant Garde"/>
          <w:b/>
          <w:color w:val="000000"/>
        </w:rPr>
        <w:t>LISTADO</w:t>
      </w:r>
      <w:r w:rsidRPr="00B215CD">
        <w:rPr>
          <w:rFonts w:ascii="ITC Avant Garde" w:hAnsi="ITC Avant Garde"/>
          <w:color w:val="000000"/>
        </w:rPr>
        <w:t xml:space="preserve"> y</w:t>
      </w:r>
      <w:r w:rsidR="005F5DBC">
        <w:rPr>
          <w:rFonts w:ascii="ITC Avant Garde" w:hAnsi="ITC Avant Garde"/>
          <w:color w:val="000000"/>
        </w:rPr>
        <w:t xml:space="preserve"> las </w:t>
      </w:r>
      <w:r w:rsidR="005F5DBC">
        <w:rPr>
          <w:rFonts w:ascii="ITC Avant Garde" w:hAnsi="ITC Avant Garde"/>
          <w:b/>
        </w:rPr>
        <w:t>ACTUALIZACIONES</w:t>
      </w:r>
      <w:r w:rsidRPr="00B215CD">
        <w:rPr>
          <w:rFonts w:ascii="ITC Avant Garde" w:hAnsi="ITC Avant Garde"/>
          <w:color w:val="000000"/>
        </w:rPr>
        <w:t xml:space="preserve"> en los cuales se señala expresamente la obligación de los concesionarios de televisión restringida para retransmitir las señales radiodifundidas de instituciones públicas federales.</w:t>
      </w:r>
    </w:p>
    <w:p w14:paraId="07F7FA67" w14:textId="77777777" w:rsidR="00E2222D" w:rsidRDefault="004777B5" w:rsidP="00907F25">
      <w:pPr>
        <w:spacing w:after="240" w:line="360" w:lineRule="auto"/>
        <w:jc w:val="both"/>
        <w:rPr>
          <w:rFonts w:ascii="ITC Avant Garde" w:eastAsia="Times New Roman" w:hAnsi="ITC Avant Garde"/>
          <w:b/>
          <w:bCs/>
          <w:color w:val="000000"/>
          <w:lang w:eastAsia="es-MX"/>
        </w:rPr>
      </w:pPr>
      <w:r w:rsidRPr="00B215CD">
        <w:rPr>
          <w:rFonts w:ascii="ITC Avant Garde" w:hAnsi="ITC Avant Garde"/>
          <w:color w:val="000000"/>
        </w:rPr>
        <w:t xml:space="preserve">Al respecto, </w:t>
      </w:r>
      <w:r>
        <w:rPr>
          <w:rFonts w:ascii="ITC Avant Garde" w:eastAsia="Times New Roman" w:hAnsi="ITC Avant Garde"/>
          <w:bCs/>
          <w:color w:val="000000"/>
          <w:lang w:eastAsia="es-MX"/>
        </w:rPr>
        <w:t xml:space="preserve">el </w:t>
      </w:r>
      <w:r w:rsidR="005F5DBC">
        <w:rPr>
          <w:rFonts w:ascii="ITC Avant Garde" w:eastAsia="Times New Roman" w:hAnsi="ITC Avant Garde"/>
          <w:b/>
          <w:bCs/>
          <w:color w:val="000000"/>
          <w:lang w:eastAsia="es-MX"/>
        </w:rPr>
        <w:t>LISTADO</w:t>
      </w:r>
      <w:r w:rsidRPr="00521EC6">
        <w:rPr>
          <w:rFonts w:ascii="ITC Avant Garde" w:eastAsia="Times New Roman" w:hAnsi="ITC Avant Garde"/>
          <w:b/>
          <w:bCs/>
          <w:color w:val="000000"/>
          <w:lang w:eastAsia="es-MX"/>
        </w:rPr>
        <w:t>,</w:t>
      </w:r>
      <w:r w:rsidRPr="001B0CA8">
        <w:rPr>
          <w:rFonts w:ascii="ITC Avant Garde" w:eastAsia="Times New Roman" w:hAnsi="ITC Avant Garde"/>
          <w:b/>
          <w:bCs/>
          <w:color w:val="000000"/>
          <w:lang w:eastAsia="es-MX"/>
        </w:rPr>
        <w:t xml:space="preserve"> </w:t>
      </w:r>
      <w:r w:rsidRPr="001B0CA8">
        <w:rPr>
          <w:rFonts w:ascii="ITC Avant Garde" w:eastAsia="Times New Roman" w:hAnsi="ITC Avant Garde"/>
          <w:bCs/>
          <w:color w:val="000000"/>
          <w:lang w:eastAsia="es-MX"/>
        </w:rPr>
        <w:t>establece:</w:t>
      </w:r>
    </w:p>
    <w:p w14:paraId="7B9F1389" w14:textId="77777777" w:rsidR="00E2222D" w:rsidRDefault="004777B5" w:rsidP="00907F25">
      <w:pPr>
        <w:spacing w:after="240" w:line="360" w:lineRule="auto"/>
        <w:ind w:left="851" w:right="900"/>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 xml:space="preserve">“LISTADO y características técnicas de las señales radiodifundidas de las instituciones públicas federales que se consideran disponibles para su </w:t>
      </w:r>
      <w:r w:rsidRPr="00531B1A">
        <w:rPr>
          <w:rFonts w:ascii="ITC Avant Garde" w:eastAsia="Times New Roman" w:hAnsi="ITC Avant Garde"/>
          <w:bCs/>
          <w:i/>
          <w:color w:val="000000"/>
          <w:sz w:val="20"/>
          <w:lang w:eastAsia="es-MX"/>
        </w:rPr>
        <w:lastRenderedPageBreak/>
        <w:t>retransmisión de conformidad con el artículo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 el 27 de febrero de 2014.</w:t>
      </w:r>
    </w:p>
    <w:p w14:paraId="3DC82408" w14:textId="77777777" w:rsidR="00E2222D" w:rsidRDefault="004777B5" w:rsidP="00907F25">
      <w:pPr>
        <w:spacing w:after="240" w:line="360" w:lineRule="auto"/>
        <w:ind w:left="851" w:right="900"/>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 xml:space="preserve">Con fundamento en los artículos 28 de la Constitución Política de los Estados Unidos Mexicanos; Séptimo Transitorio, cuarto párrafo; Octavo Transitorio, fracción I; y Décimo Primero Transitorio, del Decreto por el que se reforman y adicionan diversas disposiciones de los artículos 6o., 7o., 27, 28, 73, 78, 94 y 105 de la Constitución Política de los Estados Unidos Mexicanos, en materia de telecomunicaciones; en relación con el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el Diario Oficial de la Federación el 27 de febrero de 2014 (Lineamientos); </w:t>
      </w:r>
      <w:r w:rsidRPr="00531B1A">
        <w:rPr>
          <w:rFonts w:ascii="ITC Avant Garde" w:eastAsia="Times New Roman" w:hAnsi="ITC Avant Garde"/>
          <w:b/>
          <w:bCs/>
          <w:i/>
          <w:color w:val="000000"/>
          <w:sz w:val="20"/>
          <w:u w:val="single"/>
          <w:lang w:eastAsia="es-MX"/>
        </w:rPr>
        <w:t>el Pleno del Instituto Federal de Telecomunicaciones en su X Sesión Extraordinaria celebrada el 23 de abril de 2014</w:t>
      </w:r>
      <w:r w:rsidRPr="00531B1A">
        <w:rPr>
          <w:rFonts w:ascii="ITC Avant Garde" w:eastAsia="Times New Roman" w:hAnsi="ITC Avant Garde"/>
          <w:bCs/>
          <w:i/>
          <w:color w:val="000000"/>
          <w:sz w:val="20"/>
          <w:lang w:eastAsia="es-MX"/>
        </w:rPr>
        <w:t xml:space="preserve">, con fundamento en los artículos 2, 3 fracción III, 4 fracción III, 8, 9 fracción L, 13, 19 y 20 fracciones IX y XI, de su Estatuto Orgánico, </w:t>
      </w:r>
      <w:r w:rsidRPr="00531B1A">
        <w:rPr>
          <w:rFonts w:ascii="ITC Avant Garde" w:eastAsia="Times New Roman" w:hAnsi="ITC Avant Garde"/>
          <w:b/>
          <w:bCs/>
          <w:i/>
          <w:color w:val="000000"/>
          <w:sz w:val="20"/>
          <w:u w:val="single"/>
          <w:lang w:eastAsia="es-MX"/>
        </w:rPr>
        <w:t>mediante Acuerdo P/IFT/EXT/230414/98 instruyó la publicación en el Diario Oficial de la Federación del listado y características técnicas de las señales radiodifundidas de las Instituciones Públicas Federales que se consideran disponibles para su retransmisión, de conformidad con lo siguiente</w:t>
      </w:r>
      <w:r w:rsidRPr="00531B1A">
        <w:rPr>
          <w:rFonts w:ascii="ITC Avant Garde" w:eastAsia="Times New Roman" w:hAnsi="ITC Avant Garde"/>
          <w:bCs/>
          <w:i/>
          <w:color w:val="000000"/>
          <w:sz w:val="20"/>
          <w:lang w:eastAsia="es-MX"/>
        </w:rPr>
        <w:t>:</w:t>
      </w:r>
    </w:p>
    <w:p w14:paraId="4D6A270F" w14:textId="089B02D4"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 b) Instituto Politécnico Nacional. (Con modificación de 21 de octubre de 2014)</w:t>
      </w:r>
    </w:p>
    <w:p w14:paraId="7C694602" w14:textId="77777777"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 xml:space="preserve">Canal 11 </w:t>
      </w:r>
    </w:p>
    <w:p w14:paraId="6DAFB994" w14:textId="77777777"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Satélite: SATMEX 6</w:t>
      </w:r>
    </w:p>
    <w:p w14:paraId="096F508A" w14:textId="77777777"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lastRenderedPageBreak/>
        <w:t>Transpondedor: 6C1</w:t>
      </w:r>
    </w:p>
    <w:p w14:paraId="0E7175A8" w14:textId="77777777"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Compresión: DVBS2</w:t>
      </w:r>
    </w:p>
    <w:p w14:paraId="31BB785C" w14:textId="77777777"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Modulación: 8PSK</w:t>
      </w:r>
    </w:p>
    <w:p w14:paraId="00054275" w14:textId="77777777"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FEC: 2/3</w:t>
      </w:r>
    </w:p>
    <w:p w14:paraId="64D33E98" w14:textId="77777777"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Frecuencia: 3,828.95 MHz</w:t>
      </w:r>
    </w:p>
    <w:p w14:paraId="171540FD" w14:textId="77777777"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Polarización de Bajada: Horizontal</w:t>
      </w:r>
    </w:p>
    <w:p w14:paraId="256ADD3D" w14:textId="77777777"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Programa Principal: 0001</w:t>
      </w:r>
    </w:p>
    <w:p w14:paraId="5826A611" w14:textId="77777777" w:rsidR="00E2222D"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Programa Secundario: 0002…</w:t>
      </w:r>
    </w:p>
    <w:p w14:paraId="24394621" w14:textId="3A11CE5D" w:rsidR="004777B5" w:rsidRPr="00531B1A" w:rsidRDefault="004777B5" w:rsidP="00907F25">
      <w:pPr>
        <w:spacing w:after="240" w:line="360" w:lineRule="auto"/>
        <w:ind w:left="851" w:right="900"/>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La obligación de los Concesionarios de Televisión Restringida para retransmitir las señales radiodifundidas de Instituciones Públicas Federales que se enlistan, en términos de los párrafos cuarto, quinto, sexto y séptimo de los Lineamientos, se hará exigible a partir del día siguiente de la publicación del presente listado en el Diario Oficial de la Federación.”</w:t>
      </w:r>
    </w:p>
    <w:p w14:paraId="54089418" w14:textId="77777777" w:rsidR="00E2222D" w:rsidRDefault="004777B5" w:rsidP="00907F25">
      <w:pPr>
        <w:spacing w:after="240" w:line="360" w:lineRule="auto"/>
        <w:ind w:left="851" w:right="900"/>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w:t>
      </w:r>
    </w:p>
    <w:p w14:paraId="201E5A0F" w14:textId="77777777" w:rsidR="00E2222D" w:rsidRDefault="004777B5" w:rsidP="00907F25">
      <w:pPr>
        <w:spacing w:after="240" w:line="360" w:lineRule="auto"/>
        <w:jc w:val="both"/>
        <w:rPr>
          <w:rFonts w:ascii="ITC Avant Garde" w:hAnsi="ITC Avant Garde"/>
          <w:color w:val="000000"/>
          <w:highlight w:val="yellow"/>
        </w:rPr>
      </w:pPr>
      <w:r w:rsidRPr="004777B5">
        <w:rPr>
          <w:rFonts w:ascii="ITC Avant Garde" w:hAnsi="ITC Avant Garde"/>
        </w:rPr>
        <w:t xml:space="preserve">Por su </w:t>
      </w:r>
      <w:r w:rsidRPr="005F5DBC">
        <w:rPr>
          <w:rFonts w:ascii="ITC Avant Garde" w:hAnsi="ITC Avant Garde"/>
        </w:rPr>
        <w:t>parte,</w:t>
      </w:r>
      <w:r w:rsidR="005F5DBC" w:rsidRPr="005F5DBC">
        <w:rPr>
          <w:rFonts w:ascii="ITC Avant Garde" w:hAnsi="ITC Avant Garde"/>
        </w:rPr>
        <w:t xml:space="preserve"> las</w:t>
      </w:r>
      <w:r w:rsidR="005F5DBC">
        <w:rPr>
          <w:rFonts w:ascii="ITC Avant Garde" w:hAnsi="ITC Avant Garde"/>
          <w:b/>
        </w:rPr>
        <w:t xml:space="preserve"> ACTUALIZACIONES</w:t>
      </w:r>
      <w:r w:rsidR="005F5DBC">
        <w:rPr>
          <w:rFonts w:ascii="ITC Avant Garde" w:hAnsi="ITC Avant Garde"/>
          <w:color w:val="000000"/>
        </w:rPr>
        <w:t xml:space="preserve"> </w:t>
      </w:r>
      <w:r w:rsidRPr="00851E29">
        <w:rPr>
          <w:rFonts w:ascii="ITC Avant Garde" w:hAnsi="ITC Avant Garde" w:cs="Arial"/>
        </w:rPr>
        <w:t xml:space="preserve">en su parte relativa al Instituto Politécnico Nacional, </w:t>
      </w:r>
      <w:r>
        <w:rPr>
          <w:rFonts w:ascii="ITC Avant Garde" w:hAnsi="ITC Avant Garde" w:cs="Arial"/>
        </w:rPr>
        <w:t xml:space="preserve">señaló lo </w:t>
      </w:r>
      <w:r w:rsidRPr="00851E29">
        <w:rPr>
          <w:rFonts w:ascii="ITC Avant Garde" w:hAnsi="ITC Avant Garde" w:cs="Arial"/>
        </w:rPr>
        <w:t>sigu</w:t>
      </w:r>
      <w:r>
        <w:rPr>
          <w:rFonts w:ascii="ITC Avant Garde" w:hAnsi="ITC Avant Garde" w:cs="Arial"/>
        </w:rPr>
        <w:t>iente</w:t>
      </w:r>
      <w:r w:rsidRPr="00851E29">
        <w:rPr>
          <w:rFonts w:ascii="ITC Avant Garde" w:hAnsi="ITC Avant Garde" w:cs="Arial"/>
        </w:rPr>
        <w:t>:</w:t>
      </w:r>
    </w:p>
    <w:p w14:paraId="64BCBC17" w14:textId="68264B29"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w:t>
      </w:r>
    </w:p>
    <w:p w14:paraId="37889D11" w14:textId="77777777" w:rsidR="004777B5" w:rsidRPr="00531B1A" w:rsidRDefault="004777B5" w:rsidP="00907F25">
      <w:pPr>
        <w:spacing w:after="240" w:line="360" w:lineRule="auto"/>
        <w:ind w:left="851" w:right="900"/>
        <w:jc w:val="both"/>
        <w:rPr>
          <w:rFonts w:ascii="ITC Avant Garde" w:eastAsia="Times New Roman" w:hAnsi="ITC Avant Garde" w:cs="Arial"/>
          <w:b/>
          <w:i/>
          <w:sz w:val="20"/>
          <w:u w:val="single"/>
          <w:lang w:val="es-ES" w:eastAsia="es-ES"/>
        </w:rPr>
      </w:pPr>
      <w:r w:rsidRPr="00531B1A">
        <w:rPr>
          <w:rFonts w:ascii="ITC Avant Garde" w:eastAsia="Times New Roman" w:hAnsi="ITC Avant Garde" w:cs="Arial"/>
          <w:b/>
          <w:i/>
          <w:sz w:val="20"/>
          <w:u w:val="single"/>
          <w:lang w:val="es-ES" w:eastAsia="es-ES"/>
        </w:rPr>
        <w:t>b) Instituto Politécnico Nacional.</w:t>
      </w:r>
    </w:p>
    <w:p w14:paraId="0EFE5F6F" w14:textId="77777777" w:rsidR="004777B5" w:rsidRPr="00531B1A" w:rsidRDefault="004777B5" w:rsidP="00907F25">
      <w:pPr>
        <w:spacing w:after="240" w:line="360" w:lineRule="auto"/>
        <w:ind w:left="851" w:right="900"/>
        <w:jc w:val="both"/>
        <w:rPr>
          <w:rFonts w:ascii="ITC Avant Garde" w:eastAsia="Times New Roman" w:hAnsi="ITC Avant Garde" w:cs="Arial"/>
          <w:b/>
          <w:i/>
          <w:sz w:val="20"/>
          <w:u w:val="single"/>
          <w:lang w:val="es-ES" w:eastAsia="es-ES"/>
        </w:rPr>
      </w:pPr>
      <w:r w:rsidRPr="00531B1A">
        <w:rPr>
          <w:rFonts w:ascii="ITC Avant Garde" w:eastAsia="Times New Roman" w:hAnsi="ITC Avant Garde" w:cs="Arial"/>
          <w:b/>
          <w:i/>
          <w:sz w:val="20"/>
          <w:u w:val="single"/>
          <w:lang w:val="es-ES" w:eastAsia="es-ES"/>
        </w:rPr>
        <w:t>Canal 11 (junto con el canal multiprogramado 11.2)</w:t>
      </w:r>
    </w:p>
    <w:p w14:paraId="4F9FD906" w14:textId="77777777"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Satélite: SATMEX 6</w:t>
      </w:r>
    </w:p>
    <w:p w14:paraId="4255A1C2" w14:textId="77777777"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Transpondedor: 6C1</w:t>
      </w:r>
    </w:p>
    <w:p w14:paraId="6A2B5C80" w14:textId="77777777"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Compresión: DVBS2</w:t>
      </w:r>
    </w:p>
    <w:p w14:paraId="1C889037" w14:textId="77777777"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lastRenderedPageBreak/>
        <w:t>Modulación: 8PSK</w:t>
      </w:r>
    </w:p>
    <w:p w14:paraId="3E114F2B" w14:textId="77777777"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FEC: 2/3</w:t>
      </w:r>
    </w:p>
    <w:p w14:paraId="3916FF83" w14:textId="77777777"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Frecuencia: 3,828.95 MHz</w:t>
      </w:r>
    </w:p>
    <w:p w14:paraId="425504BB" w14:textId="77777777"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Polarización de Bajada: Horizontal</w:t>
      </w:r>
    </w:p>
    <w:p w14:paraId="52A33FFE" w14:textId="77777777"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Programa Principal: 0001</w:t>
      </w:r>
    </w:p>
    <w:p w14:paraId="5BDAC6BE" w14:textId="77777777" w:rsidR="004777B5" w:rsidRPr="00531B1A"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Programa Secundario: 0002</w:t>
      </w:r>
    </w:p>
    <w:p w14:paraId="70632C27" w14:textId="77777777" w:rsidR="00E2222D" w:rsidRDefault="004777B5" w:rsidP="00907F25">
      <w:pPr>
        <w:spacing w:after="240" w:line="360" w:lineRule="auto"/>
        <w:ind w:left="851" w:right="900"/>
        <w:jc w:val="both"/>
        <w:rPr>
          <w:rFonts w:ascii="ITC Avant Garde" w:eastAsia="Times New Roman" w:hAnsi="ITC Avant Garde" w:cs="Arial"/>
          <w:i/>
          <w:sz w:val="20"/>
          <w:lang w:val="es-ES" w:eastAsia="es-ES"/>
        </w:rPr>
      </w:pPr>
      <w:r w:rsidRPr="00531B1A">
        <w:rPr>
          <w:rFonts w:ascii="ITC Avant Garde" w:eastAsia="Times New Roman" w:hAnsi="ITC Avant Garde" w:cs="Arial"/>
          <w:i/>
          <w:sz w:val="20"/>
          <w:lang w:val="es-ES" w:eastAsia="es-ES"/>
        </w:rPr>
        <w:t>(…)”</w:t>
      </w:r>
    </w:p>
    <w:p w14:paraId="02D95AD1" w14:textId="77777777" w:rsidR="00E2222D" w:rsidRDefault="001C2294"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En ese sentido resultan infundados los argumentos por los que señala que no se trata de una señal radiodifundida, que no se encuentra definida y que no se radiodifunde </w:t>
      </w:r>
      <w:r w:rsidR="00876E5B">
        <w:rPr>
          <w:rFonts w:ascii="ITC Avant Garde" w:hAnsi="ITC Avant Garde"/>
          <w:color w:val="000000"/>
        </w:rPr>
        <w:t>en la población de Santiago de Querétaro</w:t>
      </w:r>
      <w:r w:rsidR="00F64145">
        <w:rPr>
          <w:rFonts w:ascii="ITC Avant Garde" w:hAnsi="ITC Avant Garde"/>
          <w:color w:val="000000"/>
        </w:rPr>
        <w:t xml:space="preserve">, ya </w:t>
      </w:r>
      <w:r w:rsidRPr="00B215CD">
        <w:rPr>
          <w:rFonts w:ascii="ITC Avant Garde" w:hAnsi="ITC Avant Garde"/>
          <w:color w:val="000000"/>
        </w:rPr>
        <w:t>que con independencia de las anteriores manifestaciones, existía disposición expresa que lo obligaba a retransmitir la señal de Once niños y se pusieron a su disposición y alcance todas las características técnicas y medios de contacto para facilitar el cumplimiento de su obligación.</w:t>
      </w:r>
    </w:p>
    <w:p w14:paraId="5CCC5DC6" w14:textId="77777777" w:rsidR="00E2222D" w:rsidRDefault="00972418" w:rsidP="00907F25">
      <w:pPr>
        <w:pStyle w:val="Listavistosa-nfasis11"/>
        <w:numPr>
          <w:ilvl w:val="0"/>
          <w:numId w:val="30"/>
        </w:numPr>
        <w:spacing w:after="240" w:line="360" w:lineRule="auto"/>
        <w:ind w:left="567" w:hanging="567"/>
        <w:rPr>
          <w:rFonts w:ascii="ITC Avant Garde" w:hAnsi="ITC Avant Garde"/>
          <w:b/>
          <w:shd w:val="clear" w:color="auto" w:fill="FFFFFF"/>
        </w:rPr>
      </w:pPr>
      <w:r w:rsidRPr="00972418">
        <w:rPr>
          <w:rFonts w:ascii="ITC Avant Garde" w:hAnsi="ITC Avant Garde"/>
          <w:b/>
          <w:shd w:val="clear" w:color="auto" w:fill="FFFFFF"/>
        </w:rPr>
        <w:t xml:space="preserve">Inaplicabilidad del artículo 298, inciso B, fracción IV de la </w:t>
      </w:r>
      <w:r w:rsidR="00250345">
        <w:rPr>
          <w:rFonts w:ascii="ITC Avant Garde" w:hAnsi="ITC Avant Garde"/>
          <w:b/>
          <w:shd w:val="clear" w:color="auto" w:fill="FFFFFF"/>
        </w:rPr>
        <w:t>LFTR</w:t>
      </w:r>
    </w:p>
    <w:p w14:paraId="6961AE45" w14:textId="77777777" w:rsidR="00E2222D" w:rsidRDefault="005661F7" w:rsidP="00907F25">
      <w:pPr>
        <w:pStyle w:val="Listavistosa-nfasis11"/>
        <w:spacing w:after="240" w:line="360" w:lineRule="auto"/>
        <w:ind w:left="0"/>
        <w:rPr>
          <w:rFonts w:ascii="ITC Avant Garde" w:hAnsi="ITC Avant Garde"/>
          <w:shd w:val="clear" w:color="auto" w:fill="FFFFFF"/>
        </w:rPr>
      </w:pPr>
      <w:r w:rsidRPr="00B215CD">
        <w:rPr>
          <w:rFonts w:ascii="ITC Avant Garde" w:hAnsi="ITC Avant Garde" w:cs="Tahoma"/>
          <w:bCs/>
          <w:color w:val="000000"/>
          <w:shd w:val="clear" w:color="auto" w:fill="FFFFFF"/>
        </w:rPr>
        <w:t xml:space="preserve">Por </w:t>
      </w:r>
      <w:r w:rsidR="00972418">
        <w:rPr>
          <w:rFonts w:ascii="ITC Avant Garde" w:hAnsi="ITC Avant Garde" w:cs="Tahoma"/>
          <w:bCs/>
          <w:color w:val="000000"/>
          <w:shd w:val="clear" w:color="auto" w:fill="FFFFFF"/>
        </w:rPr>
        <w:t>último</w:t>
      </w:r>
      <w:r w:rsidRPr="00B215CD">
        <w:rPr>
          <w:rFonts w:ascii="ITC Avant Garde" w:hAnsi="ITC Avant Garde" w:cs="Tahoma"/>
          <w:bCs/>
          <w:color w:val="000000"/>
          <w:shd w:val="clear" w:color="auto" w:fill="FFFFFF"/>
        </w:rPr>
        <w:t xml:space="preserve">, </w:t>
      </w:r>
      <w:r w:rsidRPr="00B215CD">
        <w:rPr>
          <w:rFonts w:ascii="ITC Avant Garde" w:hAnsi="ITC Avant Garde" w:cs="Tahoma"/>
          <w:b/>
          <w:bCs/>
          <w:color w:val="000000"/>
          <w:shd w:val="clear" w:color="auto" w:fill="FFFFFF"/>
        </w:rPr>
        <w:t>MEGA CABLE</w:t>
      </w:r>
      <w:r w:rsidRPr="00B215CD">
        <w:rPr>
          <w:rFonts w:ascii="ITC Avant Garde" w:hAnsi="ITC Avant Garde" w:cs="Tahoma"/>
          <w:bCs/>
          <w:color w:val="000000"/>
          <w:shd w:val="clear" w:color="auto" w:fill="FFFFFF"/>
        </w:rPr>
        <w:t xml:space="preserve"> sostiene </w:t>
      </w:r>
      <w:r w:rsidRPr="00E13FB2">
        <w:rPr>
          <w:rFonts w:ascii="ITC Avant Garde" w:hAnsi="ITC Avant Garde"/>
          <w:shd w:val="clear" w:color="auto" w:fill="FFFFFF"/>
        </w:rPr>
        <w:t>lo siguiente:</w:t>
      </w:r>
    </w:p>
    <w:p w14:paraId="15C32BD4" w14:textId="77777777" w:rsidR="00E2222D" w:rsidRDefault="005661F7" w:rsidP="00907F25">
      <w:pPr>
        <w:pStyle w:val="Listavistosa-nfasis11"/>
        <w:spacing w:after="240" w:line="360" w:lineRule="auto"/>
        <w:ind w:left="851" w:right="900"/>
        <w:jc w:val="both"/>
        <w:rPr>
          <w:rFonts w:ascii="ITC Avant Garde" w:hAnsi="ITC Avant Garde"/>
          <w:i/>
          <w:sz w:val="20"/>
          <w:shd w:val="clear" w:color="auto" w:fill="FFFFFF"/>
        </w:rPr>
      </w:pPr>
      <w:r w:rsidRPr="00531B1A">
        <w:rPr>
          <w:rFonts w:ascii="ITC Avant Garde" w:hAnsi="ITC Avant Garde"/>
          <w:i/>
          <w:sz w:val="20"/>
          <w:shd w:val="clear" w:color="auto" w:fill="FFFFFF"/>
        </w:rPr>
        <w:t xml:space="preserve">No resulta </w:t>
      </w:r>
      <w:r w:rsidR="000C57D2" w:rsidRPr="00531B1A">
        <w:rPr>
          <w:rFonts w:ascii="ITC Avant Garde" w:hAnsi="ITC Avant Garde"/>
          <w:i/>
          <w:sz w:val="20"/>
          <w:shd w:val="clear" w:color="auto" w:fill="FFFFFF"/>
        </w:rPr>
        <w:t>in</w:t>
      </w:r>
      <w:r w:rsidRPr="00531B1A">
        <w:rPr>
          <w:rFonts w:ascii="ITC Avant Garde" w:hAnsi="ITC Avant Garde"/>
          <w:i/>
          <w:sz w:val="20"/>
          <w:shd w:val="clear" w:color="auto" w:fill="FFFFFF"/>
        </w:rPr>
        <w:t xml:space="preserve">aplicable el artículo 298, aparatado B), fracción IV, de la </w:t>
      </w:r>
      <w:r w:rsidR="00250345" w:rsidRPr="00531B1A">
        <w:rPr>
          <w:rFonts w:ascii="ITC Avant Garde" w:hAnsi="ITC Avant Garde"/>
          <w:i/>
          <w:sz w:val="20"/>
          <w:shd w:val="clear" w:color="auto" w:fill="FFFFFF"/>
        </w:rPr>
        <w:t>LFTR</w:t>
      </w:r>
      <w:r w:rsidRPr="00531B1A">
        <w:rPr>
          <w:rFonts w:ascii="ITC Avant Garde" w:hAnsi="ITC Avant Garde"/>
          <w:i/>
          <w:sz w:val="20"/>
          <w:shd w:val="clear" w:color="auto" w:fill="FFFFFF"/>
        </w:rPr>
        <w:t xml:space="preserve"> para sancionar cualquier conducta relacionada con </w:t>
      </w:r>
      <w:r w:rsidR="00A13B90" w:rsidRPr="00531B1A">
        <w:rPr>
          <w:rFonts w:ascii="ITC Avant Garde" w:hAnsi="ITC Avant Garde"/>
          <w:i/>
          <w:sz w:val="20"/>
          <w:shd w:val="clear" w:color="auto" w:fill="FFFFFF"/>
        </w:rPr>
        <w:t xml:space="preserve">su </w:t>
      </w:r>
      <w:r w:rsidRPr="00531B1A">
        <w:rPr>
          <w:rFonts w:ascii="ITC Avant Garde" w:hAnsi="ITC Avant Garde"/>
          <w:i/>
          <w:sz w:val="20"/>
          <w:shd w:val="clear" w:color="auto" w:fill="FFFFFF"/>
        </w:rPr>
        <w:t xml:space="preserve">Título de Concesión ya que dicha concesión se rige por las disposiciones contenidas en la Ley Federal de Telecomunicaciones y no en la </w:t>
      </w:r>
      <w:r w:rsidR="00250345" w:rsidRPr="00531B1A">
        <w:rPr>
          <w:rFonts w:ascii="ITC Avant Garde" w:hAnsi="ITC Avant Garde"/>
          <w:i/>
          <w:sz w:val="20"/>
          <w:shd w:val="clear" w:color="auto" w:fill="FFFFFF"/>
        </w:rPr>
        <w:t>LFTR</w:t>
      </w:r>
      <w:r w:rsidRPr="00531B1A">
        <w:rPr>
          <w:rFonts w:ascii="ITC Avant Garde" w:hAnsi="ITC Avant Garde"/>
          <w:i/>
          <w:sz w:val="20"/>
          <w:shd w:val="clear" w:color="auto" w:fill="FFFFFF"/>
        </w:rPr>
        <w:t xml:space="preserve"> atento a lo dispuesto en lo</w:t>
      </w:r>
      <w:r w:rsidR="003E26F5" w:rsidRPr="00531B1A">
        <w:rPr>
          <w:rFonts w:ascii="ITC Avant Garde" w:hAnsi="ITC Avant Garde"/>
          <w:i/>
          <w:sz w:val="20"/>
          <w:shd w:val="clear" w:color="auto" w:fill="FFFFFF"/>
        </w:rPr>
        <w:t>s artículos Séptimo Transitorio</w:t>
      </w:r>
      <w:r w:rsidRPr="00531B1A">
        <w:rPr>
          <w:rFonts w:ascii="ITC Avant Garde" w:hAnsi="ITC Avant Garde"/>
          <w:i/>
          <w:sz w:val="20"/>
          <w:shd w:val="clear" w:color="auto" w:fill="FFFFFF"/>
        </w:rPr>
        <w:t xml:space="preserve"> del Decreto de Reforma Constitucional en Materia de Telecomunicaciones y Sexto y Séptimo transitorio del decreto por el que se expide la </w:t>
      </w:r>
      <w:r w:rsidR="00250345" w:rsidRPr="00531B1A">
        <w:rPr>
          <w:rFonts w:ascii="ITC Avant Garde" w:hAnsi="ITC Avant Garde"/>
          <w:i/>
          <w:sz w:val="20"/>
          <w:shd w:val="clear" w:color="auto" w:fill="FFFFFF"/>
        </w:rPr>
        <w:t>LFTR</w:t>
      </w:r>
      <w:r w:rsidR="004777B5" w:rsidRPr="00531B1A">
        <w:rPr>
          <w:rFonts w:ascii="ITC Avant Garde" w:hAnsi="ITC Avant Garde"/>
          <w:i/>
          <w:sz w:val="20"/>
          <w:shd w:val="clear" w:color="auto" w:fill="FFFFFF"/>
        </w:rPr>
        <w:t xml:space="preserve"> ya que los mismos son i</w:t>
      </w:r>
      <w:r w:rsidR="00880180" w:rsidRPr="00531B1A">
        <w:rPr>
          <w:rFonts w:ascii="ITC Avant Garde" w:hAnsi="ITC Avant Garde"/>
          <w:i/>
          <w:sz w:val="20"/>
          <w:shd w:val="clear" w:color="auto" w:fill="FFFFFF"/>
        </w:rPr>
        <w:t xml:space="preserve">mperativos en señalar que los procedimientos iniciados con anterioridad a la integración del IFT continuarían su trámite ante dicho Instituto en términos de la legislación aplicable al momento de que se hubieran iniciado dichos trámites, de lo </w:t>
      </w:r>
      <w:r w:rsidR="00880180" w:rsidRPr="00531B1A">
        <w:rPr>
          <w:rFonts w:ascii="ITC Avant Garde" w:hAnsi="ITC Avant Garde"/>
          <w:i/>
          <w:sz w:val="20"/>
          <w:shd w:val="clear" w:color="auto" w:fill="FFFFFF"/>
        </w:rPr>
        <w:lastRenderedPageBreak/>
        <w:t>contrario se desconocerían los derechos adquiridos y el régimen jurídico aplicable.</w:t>
      </w:r>
    </w:p>
    <w:p w14:paraId="582F7622" w14:textId="77777777" w:rsidR="00E2222D" w:rsidRDefault="00880180" w:rsidP="00907F25">
      <w:pPr>
        <w:pStyle w:val="Listavistosa-nfasis11"/>
        <w:spacing w:after="240" w:line="360" w:lineRule="auto"/>
        <w:ind w:left="851" w:right="900"/>
        <w:jc w:val="both"/>
        <w:rPr>
          <w:rFonts w:ascii="ITC Avant Garde" w:hAnsi="ITC Avant Garde"/>
          <w:i/>
          <w:sz w:val="20"/>
          <w:shd w:val="clear" w:color="auto" w:fill="FFFFFF"/>
        </w:rPr>
      </w:pPr>
      <w:r w:rsidRPr="00531B1A">
        <w:rPr>
          <w:rFonts w:ascii="ITC Avant Garde" w:hAnsi="ITC Avant Garde"/>
          <w:i/>
          <w:sz w:val="20"/>
          <w:shd w:val="clear" w:color="auto" w:fill="FFFFFF"/>
        </w:rPr>
        <w:t xml:space="preserve">Por otro lado, el artículo 298, apartado B), fracción IV de la </w:t>
      </w:r>
      <w:r w:rsidR="00250345" w:rsidRPr="00531B1A">
        <w:rPr>
          <w:rFonts w:ascii="ITC Avant Garde" w:hAnsi="ITC Avant Garde"/>
          <w:i/>
          <w:sz w:val="20"/>
          <w:shd w:val="clear" w:color="auto" w:fill="FFFFFF"/>
        </w:rPr>
        <w:t>LFTR</w:t>
      </w:r>
      <w:r w:rsidRPr="00531B1A">
        <w:rPr>
          <w:rFonts w:ascii="ITC Avant Garde" w:hAnsi="ITC Avant Garde"/>
          <w:i/>
          <w:sz w:val="20"/>
          <w:shd w:val="clear" w:color="auto" w:fill="FFFFFF"/>
        </w:rPr>
        <w:t xml:space="preserve"> no sanciona la violación a LOS LINEA</w:t>
      </w:r>
      <w:r w:rsidR="00CE13AD" w:rsidRPr="00531B1A">
        <w:rPr>
          <w:rFonts w:ascii="ITC Avant Garde" w:hAnsi="ITC Avant Garde"/>
          <w:i/>
          <w:sz w:val="20"/>
          <w:shd w:val="clear" w:color="auto" w:fill="FFFFFF"/>
        </w:rPr>
        <w:t>M</w:t>
      </w:r>
      <w:r w:rsidRPr="00531B1A">
        <w:rPr>
          <w:rFonts w:ascii="ITC Avant Garde" w:hAnsi="ITC Avant Garde"/>
          <w:i/>
          <w:sz w:val="20"/>
          <w:shd w:val="clear" w:color="auto" w:fill="FFFFFF"/>
        </w:rPr>
        <w:t xml:space="preserve">IENTOS, </w:t>
      </w:r>
      <w:r w:rsidR="004777B5" w:rsidRPr="00531B1A">
        <w:rPr>
          <w:rFonts w:ascii="ITC Avant Garde" w:hAnsi="ITC Avant Garde"/>
          <w:i/>
          <w:sz w:val="20"/>
          <w:shd w:val="clear" w:color="auto" w:fill="FFFFFF"/>
        </w:rPr>
        <w:t>su modificación, el LISTADO</w:t>
      </w:r>
      <w:r w:rsidRPr="00531B1A">
        <w:rPr>
          <w:rFonts w:ascii="ITC Avant Garde" w:hAnsi="ITC Avant Garde"/>
          <w:i/>
          <w:sz w:val="20"/>
          <w:shd w:val="clear" w:color="auto" w:fill="FFFFFF"/>
        </w:rPr>
        <w:t xml:space="preserve"> y sus actualizaciones, por lo que resulta improcedente e inaplicable la multa prevista en dicho numeral.</w:t>
      </w:r>
    </w:p>
    <w:p w14:paraId="6ABBC6EC" w14:textId="77777777" w:rsidR="00E2222D" w:rsidRDefault="00880180" w:rsidP="00907F25">
      <w:pPr>
        <w:spacing w:after="240" w:line="360" w:lineRule="auto"/>
        <w:jc w:val="both"/>
        <w:rPr>
          <w:rFonts w:ascii="ITC Avant Garde" w:hAnsi="ITC Avant Garde"/>
          <w:color w:val="000000"/>
        </w:rPr>
      </w:pPr>
      <w:r w:rsidRPr="00B215CD">
        <w:rPr>
          <w:rFonts w:ascii="ITC Avant Garde" w:hAnsi="ITC Avant Garde"/>
          <w:color w:val="000000"/>
        </w:rPr>
        <w:t>Dichos argumentos resulta</w:t>
      </w:r>
      <w:r w:rsidR="001B4614">
        <w:rPr>
          <w:rFonts w:ascii="ITC Avant Garde" w:hAnsi="ITC Avant Garde"/>
          <w:color w:val="000000"/>
        </w:rPr>
        <w:t>n</w:t>
      </w:r>
      <w:r w:rsidRPr="00B215CD">
        <w:rPr>
          <w:rFonts w:ascii="ITC Avant Garde" w:hAnsi="ITC Avant Garde"/>
          <w:color w:val="000000"/>
        </w:rPr>
        <w:t xml:space="preserve"> </w:t>
      </w:r>
      <w:r w:rsidRPr="00B215CD">
        <w:rPr>
          <w:rFonts w:ascii="ITC Avant Garde" w:hAnsi="ITC Avant Garde"/>
          <w:b/>
          <w:color w:val="000000"/>
          <w:u w:val="single"/>
        </w:rPr>
        <w:t>infundados</w:t>
      </w:r>
      <w:r w:rsidRPr="00B215CD">
        <w:rPr>
          <w:rFonts w:ascii="ITC Avant Garde" w:hAnsi="ITC Avant Garde"/>
          <w:color w:val="000000"/>
        </w:rPr>
        <w:t xml:space="preserve"> en atención a las siguientes consideraciones:</w:t>
      </w:r>
    </w:p>
    <w:p w14:paraId="4D58FF78" w14:textId="77777777" w:rsidR="00E2222D" w:rsidRDefault="00880180"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En principio, debe </w:t>
      </w:r>
      <w:r w:rsidR="00972418">
        <w:rPr>
          <w:rFonts w:ascii="ITC Avant Garde" w:hAnsi="ITC Avant Garde"/>
          <w:color w:val="000000"/>
        </w:rPr>
        <w:t>tenerse presente</w:t>
      </w:r>
      <w:r w:rsidRPr="00B215CD">
        <w:rPr>
          <w:rFonts w:ascii="ITC Avant Garde" w:hAnsi="ITC Avant Garde"/>
          <w:color w:val="000000"/>
        </w:rPr>
        <w:t xml:space="preserve"> que la condición </w:t>
      </w:r>
      <w:r w:rsidR="001B4614">
        <w:rPr>
          <w:rFonts w:ascii="ITC Avant Garde" w:hAnsi="ITC Avant Garde"/>
          <w:color w:val="000000"/>
        </w:rPr>
        <w:t>“</w:t>
      </w:r>
      <w:r w:rsidRPr="00B215CD">
        <w:rPr>
          <w:rFonts w:ascii="ITC Avant Garde" w:hAnsi="ITC Avant Garde"/>
          <w:color w:val="000000"/>
        </w:rPr>
        <w:t>1.</w:t>
      </w:r>
      <w:r w:rsidR="003E26F5">
        <w:rPr>
          <w:rFonts w:ascii="ITC Avant Garde" w:hAnsi="ITC Avant Garde"/>
          <w:color w:val="000000"/>
        </w:rPr>
        <w:t>6</w:t>
      </w:r>
      <w:r w:rsidRPr="00B215CD">
        <w:rPr>
          <w:rFonts w:ascii="ITC Avant Garde" w:hAnsi="ITC Avant Garde"/>
          <w:color w:val="000000"/>
        </w:rPr>
        <w:t xml:space="preserve"> Legislación</w:t>
      </w:r>
      <w:r w:rsidR="003E26F5">
        <w:rPr>
          <w:rFonts w:ascii="ITC Avant Garde" w:hAnsi="ITC Avant Garde"/>
          <w:color w:val="000000"/>
        </w:rPr>
        <w:t>, normatividad y disposiciones administrativas</w:t>
      </w:r>
      <w:r w:rsidRPr="00B215CD">
        <w:rPr>
          <w:rFonts w:ascii="ITC Avant Garde" w:hAnsi="ITC Avant Garde"/>
          <w:color w:val="000000"/>
        </w:rPr>
        <w:t xml:space="preserve"> aplicable</w:t>
      </w:r>
      <w:r w:rsidR="003E26F5">
        <w:rPr>
          <w:rFonts w:ascii="ITC Avant Garde" w:hAnsi="ITC Avant Garde"/>
          <w:color w:val="000000"/>
        </w:rPr>
        <w:t>s.</w:t>
      </w:r>
      <w:r w:rsidR="001B4614">
        <w:rPr>
          <w:rFonts w:ascii="ITC Avant Garde" w:hAnsi="ITC Avant Garde"/>
          <w:color w:val="000000"/>
        </w:rPr>
        <w:t>”</w:t>
      </w:r>
      <w:r w:rsidRPr="00B215CD">
        <w:rPr>
          <w:rFonts w:ascii="ITC Avant Garde" w:hAnsi="ITC Avant Garde"/>
          <w:color w:val="000000"/>
        </w:rPr>
        <w:t xml:space="preserve"> de su Título de concesión señala:</w:t>
      </w:r>
    </w:p>
    <w:p w14:paraId="53AE8D03" w14:textId="488A4207" w:rsidR="00880180" w:rsidRPr="00531B1A" w:rsidRDefault="00880180" w:rsidP="00907F25">
      <w:pPr>
        <w:spacing w:after="240" w:line="360" w:lineRule="auto"/>
        <w:ind w:left="851" w:right="900"/>
        <w:jc w:val="both"/>
        <w:rPr>
          <w:rFonts w:ascii="ITC Avant Garde" w:hAnsi="ITC Avant Garde"/>
          <w:i/>
          <w:color w:val="000000"/>
          <w:sz w:val="20"/>
        </w:rPr>
      </w:pPr>
      <w:r w:rsidRPr="00531B1A">
        <w:rPr>
          <w:rFonts w:ascii="ITC Avant Garde" w:hAnsi="ITC Avant Garde"/>
          <w:i/>
          <w:color w:val="000000"/>
          <w:sz w:val="20"/>
        </w:rPr>
        <w:t>“1.</w:t>
      </w:r>
      <w:r w:rsidR="003E26F5" w:rsidRPr="00531B1A">
        <w:rPr>
          <w:rFonts w:ascii="ITC Avant Garde" w:hAnsi="ITC Avant Garde"/>
          <w:i/>
          <w:color w:val="000000"/>
          <w:sz w:val="20"/>
        </w:rPr>
        <w:t>6</w:t>
      </w:r>
      <w:r w:rsidRPr="00531B1A">
        <w:rPr>
          <w:rFonts w:ascii="ITC Avant Garde" w:hAnsi="ITC Avant Garde"/>
          <w:i/>
          <w:color w:val="000000"/>
          <w:sz w:val="20"/>
        </w:rPr>
        <w:t xml:space="preserve">. </w:t>
      </w:r>
      <w:r w:rsidR="003E26F5" w:rsidRPr="00531B1A">
        <w:rPr>
          <w:rFonts w:ascii="ITC Avant Garde" w:hAnsi="ITC Avant Garde"/>
          <w:color w:val="000000"/>
          <w:sz w:val="20"/>
        </w:rPr>
        <w:t>Legislación, normatividad y disposiciones administrativas aplicables</w:t>
      </w:r>
      <w:r w:rsidRPr="00531B1A">
        <w:rPr>
          <w:rFonts w:ascii="ITC Avant Garde" w:hAnsi="ITC Avant Garde"/>
          <w:i/>
          <w:color w:val="000000"/>
          <w:sz w:val="20"/>
        </w:rPr>
        <w:t xml:space="preserve">. </w:t>
      </w:r>
      <w:r w:rsidR="003E26F5" w:rsidRPr="00531B1A">
        <w:rPr>
          <w:rFonts w:ascii="ITC Avant Garde" w:hAnsi="ITC Avant Garde"/>
          <w:i/>
          <w:color w:val="000000"/>
          <w:sz w:val="20"/>
        </w:rPr>
        <w:t>La concesión</w:t>
      </w:r>
      <w:r w:rsidR="005B63DE" w:rsidRPr="00531B1A">
        <w:rPr>
          <w:rFonts w:ascii="ITC Avant Garde" w:hAnsi="ITC Avant Garde"/>
          <w:i/>
          <w:color w:val="000000"/>
          <w:sz w:val="20"/>
        </w:rPr>
        <w:t>, incluyendo l</w:t>
      </w:r>
      <w:r w:rsidRPr="00531B1A">
        <w:rPr>
          <w:rFonts w:ascii="ITC Avant Garde" w:hAnsi="ITC Avant Garde"/>
          <w:i/>
          <w:color w:val="000000"/>
          <w:sz w:val="20"/>
        </w:rPr>
        <w:t>a instalación, operación y explotación de la Red y los servicios comprendidos en</w:t>
      </w:r>
      <w:r w:rsidR="005B63DE" w:rsidRPr="00531B1A">
        <w:rPr>
          <w:rFonts w:ascii="ITC Avant Garde" w:hAnsi="ITC Avant Garde"/>
          <w:i/>
          <w:color w:val="000000"/>
          <w:sz w:val="20"/>
        </w:rPr>
        <w:t xml:space="preserve"> el o los Anexos, </w:t>
      </w:r>
      <w:r w:rsidRPr="00531B1A">
        <w:rPr>
          <w:rFonts w:ascii="ITC Avant Garde" w:hAnsi="ITC Avant Garde"/>
          <w:i/>
          <w:color w:val="000000"/>
          <w:sz w:val="20"/>
        </w:rPr>
        <w:t xml:space="preserve">deberán sujetarse a </w:t>
      </w:r>
      <w:r w:rsidR="005B63DE" w:rsidRPr="00531B1A">
        <w:rPr>
          <w:rFonts w:ascii="ITC Avant Garde" w:hAnsi="ITC Avant Garde"/>
          <w:i/>
          <w:color w:val="000000"/>
          <w:sz w:val="20"/>
        </w:rPr>
        <w:t xml:space="preserve">lo dispuesto en la Constitución Política de los Estados Unidos Mexicanos, </w:t>
      </w:r>
      <w:r w:rsidRPr="00531B1A">
        <w:rPr>
          <w:rFonts w:ascii="ITC Avant Garde" w:hAnsi="ITC Avant Garde"/>
          <w:i/>
          <w:color w:val="000000"/>
          <w:sz w:val="20"/>
        </w:rPr>
        <w:t>la Ley, la Ley de Vías Generales de Comunicación</w:t>
      </w:r>
      <w:r w:rsidR="005B63DE" w:rsidRPr="00531B1A">
        <w:rPr>
          <w:rFonts w:ascii="ITC Avant Garde" w:hAnsi="ITC Avant Garde"/>
          <w:i/>
          <w:color w:val="000000"/>
          <w:sz w:val="20"/>
        </w:rPr>
        <w:t xml:space="preserve">, así como </w:t>
      </w:r>
      <w:r w:rsidRPr="00531B1A">
        <w:rPr>
          <w:rFonts w:ascii="ITC Avant Garde" w:hAnsi="ITC Avant Garde"/>
          <w:i/>
          <w:color w:val="000000"/>
          <w:sz w:val="20"/>
        </w:rPr>
        <w:t xml:space="preserve">a los tratados, leyes, reglamentos, decretos, normas oficiales mexicanas, </w:t>
      </w:r>
      <w:r w:rsidR="005B63DE" w:rsidRPr="00531B1A">
        <w:rPr>
          <w:rFonts w:ascii="ITC Avant Garde" w:hAnsi="ITC Avant Garde"/>
          <w:i/>
          <w:color w:val="000000"/>
          <w:sz w:val="20"/>
        </w:rPr>
        <w:t xml:space="preserve">resoluciones, </w:t>
      </w:r>
      <w:r w:rsidRPr="00531B1A">
        <w:rPr>
          <w:rFonts w:ascii="ITC Avant Garde" w:hAnsi="ITC Avant Garde"/>
          <w:i/>
          <w:color w:val="000000"/>
          <w:sz w:val="20"/>
        </w:rPr>
        <w:t xml:space="preserve">acuerdos, y demás disposiciones </w:t>
      </w:r>
      <w:r w:rsidR="005B63DE" w:rsidRPr="00531B1A">
        <w:rPr>
          <w:rFonts w:ascii="ITC Avant Garde" w:hAnsi="ITC Avant Garde"/>
          <w:i/>
          <w:color w:val="000000"/>
          <w:sz w:val="20"/>
        </w:rPr>
        <w:t xml:space="preserve">legales, reglamentarias y </w:t>
      </w:r>
      <w:r w:rsidRPr="00531B1A">
        <w:rPr>
          <w:rFonts w:ascii="ITC Avant Garde" w:hAnsi="ITC Avant Garde"/>
          <w:i/>
          <w:color w:val="000000"/>
          <w:sz w:val="20"/>
        </w:rPr>
        <w:t xml:space="preserve">administrativas que </w:t>
      </w:r>
      <w:r w:rsidR="005B63DE" w:rsidRPr="00531B1A">
        <w:rPr>
          <w:rFonts w:ascii="ITC Avant Garde" w:hAnsi="ITC Avant Garde"/>
          <w:i/>
          <w:color w:val="000000"/>
          <w:sz w:val="20"/>
        </w:rPr>
        <w:t xml:space="preserve">al efecto se </w:t>
      </w:r>
      <w:r w:rsidRPr="00531B1A">
        <w:rPr>
          <w:rFonts w:ascii="ITC Avant Garde" w:hAnsi="ITC Avant Garde"/>
          <w:i/>
          <w:color w:val="000000"/>
          <w:sz w:val="20"/>
        </w:rPr>
        <w:t>expida</w:t>
      </w:r>
      <w:r w:rsidR="005B63DE" w:rsidRPr="00531B1A">
        <w:rPr>
          <w:rFonts w:ascii="ITC Avant Garde" w:hAnsi="ITC Avant Garde"/>
          <w:i/>
          <w:color w:val="000000"/>
          <w:sz w:val="20"/>
        </w:rPr>
        <w:t>n, así como a las condiciones establecidas en la Concesión y en su o sus Anexos.</w:t>
      </w:r>
    </w:p>
    <w:p w14:paraId="3A1A8019" w14:textId="77777777" w:rsidR="00E2222D" w:rsidRDefault="00880180" w:rsidP="00907F25">
      <w:pPr>
        <w:spacing w:after="240" w:line="360" w:lineRule="auto"/>
        <w:ind w:left="851" w:right="900"/>
        <w:jc w:val="both"/>
        <w:rPr>
          <w:rFonts w:ascii="ITC Avant Garde" w:hAnsi="ITC Avant Garde"/>
          <w:i/>
          <w:color w:val="000000"/>
          <w:sz w:val="20"/>
        </w:rPr>
      </w:pPr>
      <w:r w:rsidRPr="00531B1A">
        <w:rPr>
          <w:rFonts w:ascii="ITC Avant Garde" w:hAnsi="ITC Avant Garde"/>
          <w:b/>
          <w:i/>
          <w:color w:val="000000"/>
          <w:sz w:val="20"/>
          <w:u w:val="single"/>
        </w:rPr>
        <w:t xml:space="preserve">El </w:t>
      </w:r>
      <w:r w:rsidR="005B63DE" w:rsidRPr="00531B1A">
        <w:rPr>
          <w:rFonts w:ascii="ITC Avant Garde" w:hAnsi="ITC Avant Garde"/>
          <w:b/>
          <w:i/>
          <w:color w:val="000000"/>
          <w:sz w:val="20"/>
          <w:u w:val="single"/>
        </w:rPr>
        <w:t>C</w:t>
      </w:r>
      <w:r w:rsidRPr="00531B1A">
        <w:rPr>
          <w:rFonts w:ascii="ITC Avant Garde" w:hAnsi="ITC Avant Garde"/>
          <w:b/>
          <w:i/>
          <w:color w:val="000000"/>
          <w:sz w:val="20"/>
          <w:u w:val="single"/>
        </w:rPr>
        <w:t xml:space="preserve">oncesionario acepta que si </w:t>
      </w:r>
      <w:r w:rsidR="005B63DE" w:rsidRPr="00531B1A">
        <w:rPr>
          <w:rFonts w:ascii="ITC Avant Garde" w:hAnsi="ITC Avant Garde"/>
          <w:b/>
          <w:i/>
          <w:color w:val="000000"/>
          <w:sz w:val="20"/>
          <w:u w:val="single"/>
        </w:rPr>
        <w:t xml:space="preserve">las disposiciones </w:t>
      </w:r>
      <w:r w:rsidRPr="00531B1A">
        <w:rPr>
          <w:rFonts w:ascii="ITC Avant Garde" w:hAnsi="ITC Avant Garde"/>
          <w:b/>
          <w:i/>
          <w:color w:val="000000"/>
          <w:sz w:val="20"/>
          <w:u w:val="single"/>
        </w:rPr>
        <w:t>legales</w:t>
      </w:r>
      <w:r w:rsidR="005B63DE" w:rsidRPr="00531B1A">
        <w:rPr>
          <w:rFonts w:ascii="ITC Avant Garde" w:hAnsi="ITC Avant Garde"/>
          <w:b/>
          <w:i/>
          <w:color w:val="000000"/>
          <w:sz w:val="20"/>
          <w:u w:val="single"/>
        </w:rPr>
        <w:t>, reglamentarias</w:t>
      </w:r>
      <w:r w:rsidRPr="00531B1A">
        <w:rPr>
          <w:rFonts w:ascii="ITC Avant Garde" w:hAnsi="ITC Avant Garde"/>
          <w:b/>
          <w:i/>
          <w:color w:val="000000"/>
          <w:sz w:val="20"/>
          <w:u w:val="single"/>
        </w:rPr>
        <w:t xml:space="preserve"> y administrativas a que se refiere el párrafo anterior</w:t>
      </w:r>
      <w:r w:rsidR="005B63DE" w:rsidRPr="00531B1A">
        <w:rPr>
          <w:rFonts w:ascii="ITC Avant Garde" w:hAnsi="ITC Avant Garde"/>
          <w:b/>
          <w:i/>
          <w:color w:val="000000"/>
          <w:sz w:val="20"/>
          <w:u w:val="single"/>
        </w:rPr>
        <w:t>, fueran derogadas</w:t>
      </w:r>
      <w:r w:rsidRPr="00531B1A">
        <w:rPr>
          <w:rFonts w:ascii="ITC Avant Garde" w:hAnsi="ITC Avant Garde"/>
          <w:b/>
          <w:i/>
          <w:color w:val="000000"/>
          <w:sz w:val="20"/>
          <w:u w:val="single"/>
        </w:rPr>
        <w:t>, modificados o adicionados, el Concesionario quedará sujeto a la nueva legislación y disposiciones administrativas a</w:t>
      </w:r>
      <w:r w:rsidR="005B63DE" w:rsidRPr="00531B1A">
        <w:rPr>
          <w:rFonts w:ascii="ITC Avant Garde" w:hAnsi="ITC Avant Garde"/>
          <w:b/>
          <w:i/>
          <w:color w:val="000000"/>
          <w:sz w:val="20"/>
          <w:u w:val="single"/>
        </w:rPr>
        <w:t xml:space="preserve">plicables, </w:t>
      </w:r>
      <w:r w:rsidRPr="00531B1A">
        <w:rPr>
          <w:rFonts w:ascii="ITC Avant Garde" w:hAnsi="ITC Avant Garde"/>
          <w:b/>
          <w:i/>
          <w:color w:val="000000"/>
          <w:sz w:val="20"/>
          <w:u w:val="single"/>
        </w:rPr>
        <w:t>partir de su entrada en vigor.</w:t>
      </w:r>
      <w:r w:rsidRPr="00531B1A">
        <w:rPr>
          <w:rFonts w:ascii="ITC Avant Garde" w:hAnsi="ITC Avant Garde"/>
          <w:i/>
          <w:color w:val="000000"/>
          <w:sz w:val="20"/>
        </w:rPr>
        <w:t>”</w:t>
      </w:r>
    </w:p>
    <w:p w14:paraId="16B1206D" w14:textId="77777777" w:rsidR="00E2222D" w:rsidRDefault="00880180"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Con base en lo anterior, es dable concluir que al momento de haberse derogado la Ley Federal de Telecomunicaciones y al haberse emitido la </w:t>
      </w:r>
      <w:r w:rsidR="00250345">
        <w:rPr>
          <w:rFonts w:ascii="ITC Avant Garde" w:hAnsi="ITC Avant Garde"/>
          <w:b/>
          <w:color w:val="000000"/>
        </w:rPr>
        <w:t>LFTR</w:t>
      </w:r>
      <w:r w:rsidRPr="00B215CD">
        <w:rPr>
          <w:rFonts w:ascii="ITC Avant Garde" w:hAnsi="ITC Avant Garde"/>
          <w:b/>
          <w:color w:val="000000"/>
        </w:rPr>
        <w:t xml:space="preserve"> </w:t>
      </w:r>
      <w:r w:rsidRPr="00B215CD">
        <w:rPr>
          <w:rFonts w:ascii="ITC Avant Garde" w:hAnsi="ITC Avant Garde"/>
          <w:color w:val="000000"/>
        </w:rPr>
        <w:t>el concesionario estaría sujeto a la nueva normatividad que en su caso se haya emitido.</w:t>
      </w:r>
    </w:p>
    <w:p w14:paraId="3AB80329" w14:textId="77777777" w:rsidR="00E2222D" w:rsidRDefault="00880180"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En ese sentido, </w:t>
      </w:r>
      <w:r w:rsidR="00185F16" w:rsidRPr="00B215CD">
        <w:rPr>
          <w:rFonts w:ascii="ITC Avant Garde" w:hAnsi="ITC Avant Garde"/>
          <w:color w:val="000000"/>
        </w:rPr>
        <w:t xml:space="preserve">si la conducta materia del presente procedimiento fue advertida durante las visitas de verificación practicadas los días </w:t>
      </w:r>
      <w:r w:rsidR="005B63DE">
        <w:rPr>
          <w:rFonts w:ascii="ITC Avant Garde" w:hAnsi="ITC Avant Garde"/>
          <w:color w:val="000000"/>
        </w:rPr>
        <w:t>siete, diez y once de diciembre</w:t>
      </w:r>
      <w:r w:rsidR="00185F16" w:rsidRPr="00B215CD">
        <w:rPr>
          <w:rFonts w:ascii="ITC Avant Garde" w:hAnsi="ITC Avant Garde"/>
          <w:color w:val="000000"/>
        </w:rPr>
        <w:t xml:space="preserve"> </w:t>
      </w:r>
      <w:r w:rsidR="00185F16" w:rsidRPr="00B215CD">
        <w:rPr>
          <w:rFonts w:ascii="ITC Avant Garde" w:hAnsi="ITC Avant Garde"/>
          <w:color w:val="000000"/>
        </w:rPr>
        <w:lastRenderedPageBreak/>
        <w:t xml:space="preserve">de dos mil quince, cuando ya se encontraba en vigor la </w:t>
      </w:r>
      <w:r w:rsidR="00250345">
        <w:rPr>
          <w:rFonts w:ascii="ITC Avant Garde" w:hAnsi="ITC Avant Garde"/>
          <w:b/>
          <w:color w:val="000000"/>
        </w:rPr>
        <w:t>LFTR</w:t>
      </w:r>
      <w:r w:rsidR="00185F16" w:rsidRPr="00B215CD">
        <w:rPr>
          <w:rFonts w:ascii="ITC Avant Garde" w:hAnsi="ITC Avant Garde"/>
          <w:color w:val="000000"/>
        </w:rPr>
        <w:t>,</w:t>
      </w:r>
      <w:r w:rsidR="004777B5" w:rsidRPr="00B215CD">
        <w:rPr>
          <w:rFonts w:ascii="ITC Avant Garde" w:hAnsi="ITC Avant Garde"/>
          <w:color w:val="000000"/>
        </w:rPr>
        <w:t xml:space="preserve"> </w:t>
      </w:r>
      <w:r w:rsidR="00185F16" w:rsidRPr="00B215CD">
        <w:rPr>
          <w:rFonts w:ascii="ITC Avant Garde" w:hAnsi="ITC Avant Garde"/>
          <w:color w:val="000000"/>
        </w:rPr>
        <w:t>es concluyente que la conducta que se estima infringida tendrá que ser valorada al amparo de la ley vigente</w:t>
      </w:r>
      <w:r w:rsidR="004777B5" w:rsidRPr="00B215CD">
        <w:rPr>
          <w:rFonts w:ascii="ITC Avant Garde" w:hAnsi="ITC Avant Garde"/>
          <w:color w:val="000000"/>
        </w:rPr>
        <w:t>.</w:t>
      </w:r>
    </w:p>
    <w:p w14:paraId="5B88E68A" w14:textId="7CED00DD" w:rsidR="004777B5" w:rsidRPr="00B215CD" w:rsidRDefault="004777B5" w:rsidP="00BD4E07">
      <w:pPr>
        <w:pStyle w:val="Textoindependiente"/>
        <w:tabs>
          <w:tab w:val="left" w:pos="993"/>
        </w:tabs>
        <w:spacing w:after="240" w:line="360" w:lineRule="auto"/>
        <w:jc w:val="both"/>
        <w:rPr>
          <w:rFonts w:eastAsia="Times New Roman"/>
          <w:color w:val="000000"/>
          <w:lang w:eastAsia="es-MX"/>
        </w:rPr>
      </w:pPr>
      <w:r w:rsidRPr="00B215CD">
        <w:rPr>
          <w:rFonts w:ascii="ITC Avant Garde" w:eastAsia="Times New Roman" w:hAnsi="ITC Avant Garde"/>
          <w:bCs/>
          <w:color w:val="000000"/>
          <w:lang w:eastAsia="es-MX"/>
        </w:rPr>
        <w:t>Lo anterior, es consistente con el criterio sostenido por nuestro más Alto Tribunal y por la doctrina consistente en que para determinar las normas aplicables para efectos de imponer una sanción, lo serán las vigentes al momento en que se configuran los hechos que pudieran ser sancionables, independientemente de que el acto administrativo a través del cual se imponga, se expida o discuta, sea posterior a la vigencia de las normas en las cuales se fundamenta la sanción, aun en vigencia de norma diferente a la que la origina, por tanto, la ley aplicable será aquella que esté vigente en el momento en que se cometa la infracción y no otra posterior.</w:t>
      </w:r>
      <w:r w:rsidRPr="00B215CD">
        <w:rPr>
          <w:rFonts w:ascii="ITC Avant Garde" w:eastAsia="Times New Roman" w:hAnsi="ITC Avant Garde"/>
          <w:color w:val="000000"/>
          <w:lang w:eastAsia="es-MX"/>
        </w:rPr>
        <w:t> </w:t>
      </w:r>
    </w:p>
    <w:p w14:paraId="7297746F" w14:textId="77777777" w:rsidR="00E2222D" w:rsidRDefault="004777B5" w:rsidP="00907F25">
      <w:pPr>
        <w:shd w:val="clear" w:color="auto" w:fill="FFFFFF"/>
        <w:spacing w:after="240" w:line="360" w:lineRule="auto"/>
        <w:jc w:val="both"/>
        <w:rPr>
          <w:rFonts w:ascii="ITC Avant Garde" w:eastAsia="Times New Roman" w:hAnsi="ITC Avant Garde"/>
          <w:color w:val="000000"/>
          <w:lang w:eastAsia="es-MX"/>
        </w:rPr>
      </w:pPr>
      <w:r w:rsidRPr="00B215CD">
        <w:rPr>
          <w:rFonts w:ascii="ITC Avant Garde" w:eastAsia="Times New Roman" w:hAnsi="ITC Avant Garde"/>
          <w:color w:val="000000"/>
          <w:lang w:eastAsia="es-MX"/>
        </w:rPr>
        <w:t>Así las cosas, es claro entonces que aun cuando una norma que regula una sanción se encuentre derogada o haya perdido vigencia por existir una norma posterior que la adicione, modifique o sustituya, la anterior seguirá siendo aplicable por los hechos sancionables ocurridos durante el término de su vigencia.</w:t>
      </w:r>
    </w:p>
    <w:p w14:paraId="06E162F6" w14:textId="64785DFE" w:rsidR="004777B5" w:rsidRPr="00B215CD" w:rsidRDefault="004777B5" w:rsidP="00907F25">
      <w:pPr>
        <w:shd w:val="clear" w:color="auto" w:fill="FFFFFF"/>
        <w:spacing w:after="240" w:line="360" w:lineRule="auto"/>
        <w:jc w:val="both"/>
        <w:rPr>
          <w:rFonts w:eastAsia="Times New Roman"/>
          <w:color w:val="000000"/>
          <w:lang w:eastAsia="es-MX"/>
        </w:rPr>
      </w:pPr>
      <w:r w:rsidRPr="00B215CD">
        <w:rPr>
          <w:rFonts w:ascii="ITC Avant Garde" w:eastAsia="Times New Roman" w:hAnsi="ITC Avant Garde"/>
          <w:color w:val="000000"/>
          <w:lang w:eastAsia="es-MX"/>
        </w:rPr>
        <w:t>Resultan aplicables al presente caso las siguientes tesis que a su letra señalan:</w:t>
      </w:r>
    </w:p>
    <w:p w14:paraId="0F9E2A2C" w14:textId="77777777" w:rsidR="004777B5" w:rsidRPr="00531B1A" w:rsidRDefault="00A96990" w:rsidP="00907F25">
      <w:pPr>
        <w:shd w:val="clear" w:color="auto" w:fill="FFFFFF"/>
        <w:spacing w:after="240" w:line="360" w:lineRule="auto"/>
        <w:ind w:left="851" w:right="900"/>
        <w:jc w:val="both"/>
        <w:rPr>
          <w:rFonts w:eastAsia="Times New Roman"/>
          <w:color w:val="000000"/>
          <w:sz w:val="20"/>
          <w:szCs w:val="20"/>
          <w:lang w:eastAsia="es-MX"/>
        </w:rPr>
      </w:pPr>
      <w:r w:rsidRPr="00531B1A">
        <w:rPr>
          <w:rFonts w:ascii="ITC Avant Garde" w:eastAsia="Times New Roman" w:hAnsi="ITC Avant Garde"/>
          <w:b/>
          <w:bCs/>
          <w:color w:val="000000"/>
          <w:sz w:val="20"/>
          <w:szCs w:val="20"/>
          <w:lang w:eastAsia="es-MX"/>
        </w:rPr>
        <w:t>RESPONSABILIDADES ADMINISTRATIVAS DE LOS SERVIDORES PÚBLICOS. ES APLICABLE AL PROCEDIMIENTO LA LEY DE LA MATERIA EN VIGOR A PARTIR DEL 14 DE MARZO DE 2002, CUANDO SE INICIE BAJO SU VIGENCIA, NO OBSTANTE QUE LOS HECHOS MOTIVO DEL PROCEDIMIENTO HAYAN OCURRIDO BAJO LA VIGENCIA DE LA LEY ANTERIOR.</w:t>
      </w:r>
      <w:r w:rsidRPr="00531B1A">
        <w:rPr>
          <w:rFonts w:ascii="ITC Avant Garde" w:eastAsia="Times New Roman" w:hAnsi="ITC Avant Garde"/>
          <w:color w:val="000000"/>
          <w:sz w:val="20"/>
          <w:szCs w:val="20"/>
          <w:lang w:eastAsia="es-MX"/>
        </w:rPr>
        <w:t> </w:t>
      </w:r>
      <w:r w:rsidR="004777B5" w:rsidRPr="00531B1A">
        <w:rPr>
          <w:rFonts w:ascii="ITC Avant Garde" w:eastAsia="Times New Roman" w:hAnsi="ITC Avant Garde"/>
          <w:color w:val="000000"/>
          <w:sz w:val="20"/>
          <w:szCs w:val="20"/>
          <w:lang w:eastAsia="es-MX"/>
        </w:rPr>
        <w:t>Este Tribunal Colegiado se aparta del criterio sostenido en la tesis TC01477.9AD1 que aparece con el rubro: "RESPONSABILIDADES DE LOS SERVIDORES PÚBLICOS. DEBE APLICARSE LA LEY VIGENTE EN EL MOMENTO EN QUE OCURRIERON LOS HECHOS MOTIVO DE LA SANCIÓN Y NO LA VIGENTE EN EL MOMENTO EN QUE INICIÓ EL PROCEDIMIENTO ADMINISTRATIVO PARA IMPONERLA.", porque de una nueva reflexión sobre el tema se llega a una conclusión diversa. Efectivamente, conviene recordar en principio, que el régimen disciplinario de los servidores públicos se caracteriza por su contenido mixto, es decir, </w:t>
      </w:r>
      <w:r w:rsidR="004777B5" w:rsidRPr="00531B1A">
        <w:rPr>
          <w:rFonts w:ascii="ITC Avant Garde" w:eastAsia="Times New Roman" w:hAnsi="ITC Avant Garde"/>
          <w:b/>
          <w:bCs/>
          <w:color w:val="000000"/>
          <w:sz w:val="20"/>
          <w:szCs w:val="20"/>
          <w:u w:val="single"/>
          <w:lang w:eastAsia="es-MX"/>
        </w:rPr>
        <w:t xml:space="preserve">se integra con </w:t>
      </w:r>
      <w:r w:rsidR="004777B5" w:rsidRPr="00531B1A">
        <w:rPr>
          <w:rFonts w:ascii="ITC Avant Garde" w:eastAsia="Times New Roman" w:hAnsi="ITC Avant Garde"/>
          <w:b/>
          <w:bCs/>
          <w:color w:val="000000"/>
          <w:sz w:val="20"/>
          <w:szCs w:val="20"/>
          <w:u w:val="single"/>
          <w:lang w:eastAsia="es-MX"/>
        </w:rPr>
        <w:lastRenderedPageBreak/>
        <w:t>normas de naturaleza sustantiva o de fondo (conductas, sanciones y reglas para aplicarlas) y por normas de naturaleza adjetiva o procesales (procedimientos, su regulación, autoridades, etcétera).</w:t>
      </w:r>
      <w:r w:rsidR="004777B5" w:rsidRPr="00531B1A">
        <w:rPr>
          <w:rFonts w:ascii="ITC Avant Garde" w:eastAsia="Times New Roman" w:hAnsi="ITC Avant Garde"/>
          <w:color w:val="000000"/>
          <w:sz w:val="20"/>
          <w:szCs w:val="20"/>
          <w:lang w:eastAsia="es-MX"/>
        </w:rPr>
        <w:t> Ahora bien, a partir del catorce de marzo de dos mil dos, en que entró en vigor la Ley Federal de Responsabilidades Administrativas de los Servidores Públicos, se pueden dar dos escenarios conforme al primer párrafo de su artículo sexto transitorio: A) Si el procedimiento se inició antes de esa fecha, le resulta aplicable la ley anterior, esto es, la Ley Federal de Responsabilidades de los Servidores Públicos; y, </w:t>
      </w:r>
      <w:r w:rsidR="004777B5" w:rsidRPr="00531B1A">
        <w:rPr>
          <w:rFonts w:ascii="ITC Avant Garde" w:eastAsia="Times New Roman" w:hAnsi="ITC Avant Garde"/>
          <w:b/>
          <w:bCs/>
          <w:color w:val="000000"/>
          <w:sz w:val="20"/>
          <w:szCs w:val="20"/>
          <w:u w:val="single"/>
          <w:lang w:eastAsia="es-MX"/>
        </w:rPr>
        <w:t>B) Si el procedimiento se inició en tal fecha o después, le resulta aplicable la ley nueva, o sea, la Ley Federal de Responsabilidades Administrativas de los Servidores Públicos, en lo referente a la sustanciación -reglas procedimentales- y dictado de la resolución -reglas de juzgamiento de carácter adjetivo que norman el cómo decidir-, no obstante que los hechos motivo de la infracción se hubiesen cometido antes de esa fecha, pues la ley anterior seguirá siendo aplicable sólo en cuanto al fondo del asunto como norma sustantiva que, en su caso, sería determinar si la conducta imputada implica o no responsabilidad y la sanción que le corresponde, esencialmente -contenido sustantivo de la decisión en cuanto derechos y obligaciones de las partes, el qué se decide en relación con la conducta observada-.</w:t>
      </w:r>
      <w:r w:rsidR="004777B5" w:rsidRPr="00531B1A">
        <w:rPr>
          <w:rFonts w:ascii="ITC Avant Garde" w:eastAsia="Times New Roman" w:hAnsi="ITC Avant Garde"/>
          <w:color w:val="000000"/>
          <w:sz w:val="20"/>
          <w:szCs w:val="20"/>
          <w:lang w:eastAsia="es-MX"/>
        </w:rPr>
        <w:t> Ello es así en atención a que, como lo ha expresado la Suprema Corte de Justicia de la Nación, las leyes de procedimiento no producen efectos retroactivos en virtud de que los actos procesales se encuentran regulados por la ley adjetiva vigente en el momento en que nacen o se llevan a cabo, recordando la expresión doctrinal de que las leyes procesales se apoderan de los procedimientos en el estado en que se encuentren al entrar en vigor. A mayor abundamiento, tomando en consideración la distinción que hace el artículo transitorio en cita entre los aspectos sustantivos y los procesales, </w:t>
      </w:r>
      <w:r w:rsidR="004777B5" w:rsidRPr="00531B1A">
        <w:rPr>
          <w:rFonts w:ascii="ITC Avant Garde" w:eastAsia="Times New Roman" w:hAnsi="ITC Avant Garde"/>
          <w:b/>
          <w:bCs/>
          <w:color w:val="000000"/>
          <w:sz w:val="20"/>
          <w:szCs w:val="20"/>
          <w:u w:val="single"/>
          <w:lang w:eastAsia="es-MX"/>
        </w:rPr>
        <w:t xml:space="preserve">es posible establecer que, en relación con los hechos motivo de la responsabilidad de un servidor público acaecidos con anterioridad a la entrada en vigor de la nueva ley, le será aplicable en cuanto al fondo la ley anterior y, en cambio, le será aplicable en cuanto al procedimiento la nueva, </w:t>
      </w:r>
      <w:r w:rsidR="004777B5" w:rsidRPr="00531B1A">
        <w:rPr>
          <w:rFonts w:ascii="ITC Avant Garde" w:eastAsia="Times New Roman" w:hAnsi="ITC Avant Garde"/>
          <w:b/>
          <w:bCs/>
          <w:color w:val="000000"/>
          <w:sz w:val="20"/>
          <w:szCs w:val="20"/>
          <w:u w:val="single"/>
          <w:lang w:eastAsia="es-MX"/>
        </w:rPr>
        <w:lastRenderedPageBreak/>
        <w:t>no obstante y a pesar de tratarse de hechos enjuiciables conforme a las normas sustantivas de la ley anterior.</w:t>
      </w:r>
    </w:p>
    <w:p w14:paraId="2D53EF74" w14:textId="77777777" w:rsidR="004777B5" w:rsidRPr="00531B1A" w:rsidRDefault="004777B5" w:rsidP="00907F25">
      <w:pPr>
        <w:shd w:val="clear" w:color="auto" w:fill="FFFFFF"/>
        <w:spacing w:after="240" w:line="360" w:lineRule="auto"/>
        <w:ind w:left="851" w:right="900"/>
        <w:jc w:val="both"/>
        <w:rPr>
          <w:rFonts w:eastAsia="Times New Roman"/>
          <w:color w:val="000000"/>
          <w:sz w:val="20"/>
          <w:szCs w:val="20"/>
          <w:lang w:eastAsia="es-MX"/>
        </w:rPr>
      </w:pPr>
      <w:r w:rsidRPr="00531B1A">
        <w:rPr>
          <w:rFonts w:ascii="ITC Avant Garde" w:eastAsia="Times New Roman" w:hAnsi="ITC Avant Garde"/>
          <w:color w:val="000000"/>
          <w:sz w:val="20"/>
          <w:szCs w:val="20"/>
          <w:lang w:eastAsia="es-MX"/>
        </w:rPr>
        <w:t>Época: Novena Época, Registro: 178146, Instancia: Tribunales Colegiados de Circuito, Tipo de Tesis: Aislada, Fuente: Semanario Judicial de la Federación y su Gaceta, Tomo XXI, Junio de 2005, Materia(s): Administrativa, Tesis: I.4o.A.485 A, Página: 848</w:t>
      </w:r>
    </w:p>
    <w:p w14:paraId="4F0A9EB8" w14:textId="77777777" w:rsidR="004777B5" w:rsidRPr="00531B1A" w:rsidRDefault="004777B5" w:rsidP="00907F25">
      <w:pPr>
        <w:shd w:val="clear" w:color="auto" w:fill="FFFFFF"/>
        <w:spacing w:after="240" w:line="360" w:lineRule="auto"/>
        <w:ind w:left="851" w:right="900"/>
        <w:jc w:val="both"/>
        <w:rPr>
          <w:rFonts w:eastAsia="Times New Roman"/>
          <w:color w:val="000000"/>
          <w:sz w:val="20"/>
          <w:szCs w:val="20"/>
          <w:lang w:eastAsia="es-MX"/>
        </w:rPr>
      </w:pPr>
      <w:r w:rsidRPr="00531B1A">
        <w:rPr>
          <w:rFonts w:ascii="ITC Avant Garde" w:eastAsia="Times New Roman" w:hAnsi="ITC Avant Garde"/>
          <w:b/>
          <w:bCs/>
          <w:color w:val="000000"/>
          <w:sz w:val="20"/>
          <w:szCs w:val="20"/>
          <w:lang w:eastAsia="es-MX"/>
        </w:rPr>
        <w:t>DEFRAUDACIÓN FISCAL. LA ACTUALIZACIÓN DE LAS CANTIDADES RELATIVAS AL MONTO DEL PERJUICIO A LA HACIENDA PÚBLICA SEÑALADAS EN LAS FRACCIONES I A III DEL ARTÍCULO 108 DEL CÓDIGO FISCAL DE LA FEDERACIÓN, DE CONFORMIDAD CON EL PROCEDIMIENTO ESTABLECIDO EN EL PRECEPTO 17-A -RESOLUCIÓN DE MISCELÁNEA FISCAL- NO SE TRADUCE EN UNA REFORMA A LA NORMA PENAL QUE PERMITA LA APLICACIÓN DEL PRINCIPIO DE RETROACTIVIDAD PARA LA OBTENCIÓN DE LA SUSTITUCIÓN Y CONMUTACIÓN DE SANCIONES O CUALQUIER OTRO BENEFICIO PREVISTO EN LA LEY.</w:t>
      </w:r>
      <w:r w:rsidRPr="00531B1A">
        <w:rPr>
          <w:rFonts w:ascii="ITC Avant Garde" w:eastAsia="Times New Roman" w:hAnsi="ITC Avant Garde"/>
          <w:color w:val="000000"/>
          <w:sz w:val="20"/>
          <w:szCs w:val="20"/>
          <w:lang w:eastAsia="es-MX"/>
        </w:rPr>
        <w:t xml:space="preserve"> El artículo 17-A del Código Fiscal de la Federación establece un procedimiento de actualización de las cantidades en moneda nacional referentes a las contribuciones, los aprovechamientos y las devoluciones a cargo del fisco federal, que realiza el Servicio de Administración Tributaria tomando en consideración la inflación entre otros factores; actualización que se publica en el Diario Oficial de la Federación a través del anexo de la Resolución Miscelánea Fiscal correspondiente y que en forma periódica incide en el contenido de las fracciones I a III del numeral 108 del citado código que permiten determinar el monto del perjuicio ocasionado al fisco y, con base en lo anterior, fijar la pena de prisión a imponer dentro de un mínimo y un máximo. Ahora bien, es cierto que en términos del artículo 14 constitucional, a ninguna ley se dará efecto retroactivo en perjuicio de persona alguna, de lo que se deduce que excepcionalmente sí puede tener ese efecto en su beneficio, sin embargo, respecto de las cantidades referidas, no es aplicable el principio de retroactividad antes mencionado a favor del sentenciado, porque la citada actualización deriva de una miscelánea fiscal que no es una norma legislativa o reglamentaria, sino que sus disposiciones son </w:t>
      </w:r>
      <w:r w:rsidRPr="00531B1A">
        <w:rPr>
          <w:rFonts w:ascii="ITC Avant Garde" w:eastAsia="Times New Roman" w:hAnsi="ITC Avant Garde"/>
          <w:color w:val="000000"/>
          <w:sz w:val="20"/>
          <w:szCs w:val="20"/>
          <w:lang w:eastAsia="es-MX"/>
        </w:rPr>
        <w:lastRenderedPageBreak/>
        <w:t>administrativas que una específica autoridad hacendaria puede emitir, esto es, en sentido formal no se trata de una ley aunado a que debe tenerse presente que el numeral 92, último párrafo, del Código Fiscal de la Federación, dispone que la fijación de la pena de prisión que corresponde a los delitos fiscales, de acuerdo con los límites del monto de las cantidades que constituyan el perjuicio, </w:t>
      </w:r>
      <w:r w:rsidR="00A96990" w:rsidRPr="00531B1A">
        <w:rPr>
          <w:rFonts w:ascii="ITC Avant Garde" w:eastAsia="Times New Roman" w:hAnsi="ITC Avant Garde"/>
          <w:color w:val="000000"/>
          <w:sz w:val="20"/>
          <w:szCs w:val="20"/>
          <w:lang w:eastAsia="es-MX"/>
        </w:rPr>
        <w:t>, </w:t>
      </w:r>
      <w:r w:rsidR="00A96990" w:rsidRPr="00531B1A">
        <w:rPr>
          <w:rFonts w:ascii="ITC Avant Garde" w:eastAsia="Times New Roman" w:hAnsi="ITC Avant Garde"/>
          <w:b/>
          <w:bCs/>
          <w:color w:val="000000"/>
          <w:sz w:val="20"/>
          <w:szCs w:val="20"/>
          <w:u w:val="single"/>
          <w:lang w:eastAsia="es-MX"/>
        </w:rPr>
        <w:t>será conforme al establecido cuando se efectúe la conducta ilícita de que se trate; en ese tenor, para la referida actualización no opera el mencionado principio, porque el delito se consuma desde el momento en que se realiza la descripción típica, en consecuencia, para establecer el quántum de la pena para la obtención de los beneficios de la sustitución y conmutación de sanciones o cualquier otro previsto en la ley, debe estarse a la norma vigente al momento de la consumación del hecho delictivo.</w:t>
      </w:r>
    </w:p>
    <w:p w14:paraId="2F7686B0" w14:textId="77777777" w:rsidR="00E2222D" w:rsidRDefault="004777B5" w:rsidP="00907F25">
      <w:pPr>
        <w:shd w:val="clear" w:color="auto" w:fill="FFFFFF"/>
        <w:spacing w:after="240" w:line="360" w:lineRule="auto"/>
        <w:ind w:left="851" w:right="900"/>
        <w:jc w:val="both"/>
        <w:rPr>
          <w:rFonts w:eastAsia="Times New Roman"/>
          <w:color w:val="000000"/>
          <w:sz w:val="18"/>
          <w:lang w:eastAsia="es-MX"/>
        </w:rPr>
      </w:pPr>
      <w:r w:rsidRPr="00531B1A">
        <w:rPr>
          <w:rFonts w:ascii="ITC Avant Garde" w:eastAsia="Times New Roman" w:hAnsi="ITC Avant Garde"/>
          <w:color w:val="000000"/>
          <w:sz w:val="20"/>
          <w:szCs w:val="20"/>
          <w:lang w:eastAsia="es-MX"/>
        </w:rPr>
        <w:t>Época: Décima Época, Registro: 2008078, Instancia: Primera Sala, Tipo de Tesis: Jurisprudencia, Fuente: Semanario Judicial de la Federación, Publicación: viernes 05 de diciembre de 2014 10:05 h,</w:t>
      </w:r>
      <w:r w:rsidR="00F64145">
        <w:rPr>
          <w:rFonts w:ascii="ITC Avant Garde" w:eastAsia="Times New Roman" w:hAnsi="ITC Avant Garde"/>
          <w:color w:val="000000"/>
          <w:sz w:val="20"/>
          <w:szCs w:val="20"/>
          <w:lang w:eastAsia="es-MX"/>
        </w:rPr>
        <w:t xml:space="preserve"> </w:t>
      </w:r>
      <w:r w:rsidRPr="00531B1A">
        <w:rPr>
          <w:rFonts w:ascii="ITC Avant Garde" w:eastAsia="Times New Roman" w:hAnsi="ITC Avant Garde"/>
          <w:color w:val="000000"/>
          <w:sz w:val="20"/>
          <w:szCs w:val="20"/>
          <w:lang w:eastAsia="es-MX"/>
        </w:rPr>
        <w:t>Materia(s): (Constitucional</w:t>
      </w:r>
      <w:r w:rsidR="00F64145" w:rsidRPr="00531B1A">
        <w:rPr>
          <w:rFonts w:ascii="ITC Avant Garde" w:eastAsia="Times New Roman" w:hAnsi="ITC Avant Garde"/>
          <w:color w:val="000000"/>
          <w:sz w:val="20"/>
          <w:szCs w:val="20"/>
          <w:lang w:eastAsia="es-MX"/>
        </w:rPr>
        <w:t>), Tesis</w:t>
      </w:r>
      <w:r w:rsidRPr="00531B1A">
        <w:rPr>
          <w:rFonts w:ascii="ITC Avant Garde" w:eastAsia="Times New Roman" w:hAnsi="ITC Avant Garde"/>
          <w:color w:val="000000"/>
          <w:sz w:val="20"/>
          <w:szCs w:val="20"/>
          <w:lang w:eastAsia="es-MX"/>
        </w:rPr>
        <w:t>: 1a./J. 56/2014 (10a.)</w:t>
      </w:r>
    </w:p>
    <w:p w14:paraId="0A2B2B7A" w14:textId="77777777" w:rsidR="00E2222D" w:rsidRDefault="00D728F9" w:rsidP="00907F25">
      <w:pPr>
        <w:spacing w:after="240" w:line="360" w:lineRule="auto"/>
        <w:jc w:val="both"/>
        <w:rPr>
          <w:rFonts w:ascii="ITC Avant Garde" w:hAnsi="ITC Avant Garde"/>
          <w:b/>
          <w:color w:val="000000"/>
        </w:rPr>
      </w:pPr>
      <w:r w:rsidRPr="00B215CD">
        <w:rPr>
          <w:rFonts w:ascii="ITC Avant Garde" w:hAnsi="ITC Avant Garde"/>
          <w:color w:val="000000"/>
        </w:rPr>
        <w:t xml:space="preserve">En tales consideraciones, si la conducta materia del presente procedimiento fue advertida cuando se ya ese encontraba vigente la </w:t>
      </w:r>
      <w:r w:rsidR="00250345">
        <w:rPr>
          <w:rFonts w:ascii="ITC Avant Garde" w:hAnsi="ITC Avant Garde"/>
          <w:b/>
          <w:color w:val="000000"/>
        </w:rPr>
        <w:t>LFTR</w:t>
      </w:r>
      <w:r w:rsidRPr="00B215CD">
        <w:rPr>
          <w:rFonts w:ascii="ITC Avant Garde" w:hAnsi="ITC Avant Garde"/>
          <w:color w:val="000000"/>
        </w:rPr>
        <w:t xml:space="preserve"> es dable concluir que la conducta que se considera violatoria a la normatividad de la materia, debe se</w:t>
      </w:r>
      <w:r w:rsidR="00723E5C">
        <w:rPr>
          <w:rFonts w:ascii="ITC Avant Garde" w:hAnsi="ITC Avant Garde"/>
          <w:color w:val="000000"/>
        </w:rPr>
        <w:t>r</w:t>
      </w:r>
      <w:r w:rsidRPr="00B215CD">
        <w:rPr>
          <w:rFonts w:ascii="ITC Avant Garde" w:hAnsi="ITC Avant Garde"/>
          <w:color w:val="000000"/>
        </w:rPr>
        <w:t xml:space="preserve"> sancionad</w:t>
      </w:r>
      <w:r w:rsidR="00723E5C">
        <w:rPr>
          <w:rFonts w:ascii="ITC Avant Garde" w:hAnsi="ITC Avant Garde"/>
          <w:color w:val="000000"/>
        </w:rPr>
        <w:t>a</w:t>
      </w:r>
      <w:r w:rsidRPr="00B215CD">
        <w:rPr>
          <w:rFonts w:ascii="ITC Avant Garde" w:hAnsi="ITC Avant Garde"/>
          <w:color w:val="000000"/>
        </w:rPr>
        <w:t xml:space="preserve"> al amparo de ésta y no así, a la normatividad vigente al momento en que se otorgó el Título de Concesión a </w:t>
      </w:r>
      <w:r w:rsidR="00D9383E">
        <w:rPr>
          <w:rFonts w:ascii="ITC Avant Garde" w:hAnsi="ITC Avant Garde"/>
          <w:b/>
          <w:color w:val="000000"/>
        </w:rPr>
        <w:t>MEGA CABLE</w:t>
      </w:r>
      <w:r w:rsidRPr="00B215CD">
        <w:rPr>
          <w:rFonts w:ascii="ITC Avant Garde" w:hAnsi="ITC Avant Garde"/>
          <w:b/>
          <w:color w:val="000000"/>
        </w:rPr>
        <w:t>.</w:t>
      </w:r>
    </w:p>
    <w:p w14:paraId="7ED68FD4" w14:textId="77777777" w:rsidR="00E2222D" w:rsidRDefault="00185F16"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Por lo anterior, resulta </w:t>
      </w:r>
      <w:r w:rsidRPr="00B215CD">
        <w:rPr>
          <w:rFonts w:ascii="ITC Avant Garde" w:hAnsi="ITC Avant Garde"/>
          <w:b/>
          <w:color w:val="000000"/>
          <w:u w:val="single"/>
        </w:rPr>
        <w:t>infundado</w:t>
      </w:r>
      <w:r w:rsidRPr="00B215CD">
        <w:rPr>
          <w:rFonts w:ascii="ITC Avant Garde" w:hAnsi="ITC Avant Garde"/>
          <w:color w:val="000000"/>
        </w:rPr>
        <w:t xml:space="preserve"> su argumento.</w:t>
      </w:r>
    </w:p>
    <w:p w14:paraId="4EE50AFC" w14:textId="77777777" w:rsidR="00E2222D" w:rsidRDefault="00972418" w:rsidP="00907F25">
      <w:pPr>
        <w:spacing w:after="240" w:line="360" w:lineRule="auto"/>
        <w:jc w:val="both"/>
        <w:rPr>
          <w:rFonts w:ascii="ITC Avant Garde" w:hAnsi="ITC Avant Garde"/>
          <w:shd w:val="clear" w:color="auto" w:fill="FFFFFF"/>
        </w:rPr>
      </w:pPr>
      <w:r>
        <w:rPr>
          <w:rFonts w:ascii="ITC Avant Garde" w:hAnsi="ITC Avant Garde"/>
          <w:color w:val="000000"/>
        </w:rPr>
        <w:t>Asimismo</w:t>
      </w:r>
      <w:r w:rsidR="00CE13AD" w:rsidRPr="00B215CD">
        <w:rPr>
          <w:rFonts w:ascii="ITC Avant Garde" w:hAnsi="ITC Avant Garde"/>
          <w:color w:val="000000"/>
        </w:rPr>
        <w:t xml:space="preserve">, </w:t>
      </w:r>
      <w:r w:rsidR="00D9383E">
        <w:rPr>
          <w:rFonts w:ascii="ITC Avant Garde" w:hAnsi="ITC Avant Garde"/>
          <w:b/>
          <w:color w:val="000000"/>
        </w:rPr>
        <w:t>MEGA CABLE</w:t>
      </w:r>
      <w:r w:rsidR="00CE13AD" w:rsidRPr="00B215CD">
        <w:rPr>
          <w:rFonts w:ascii="ITC Avant Garde" w:hAnsi="ITC Avant Garde"/>
          <w:b/>
          <w:color w:val="000000"/>
        </w:rPr>
        <w:t xml:space="preserve"> </w:t>
      </w:r>
      <w:r w:rsidR="00CE13AD" w:rsidRPr="00B215CD">
        <w:rPr>
          <w:rFonts w:ascii="ITC Avant Garde" w:hAnsi="ITC Avant Garde"/>
          <w:color w:val="000000"/>
        </w:rPr>
        <w:t xml:space="preserve">manifiesta que no resulta aplicable el artículo 298, apartado B), fracción IV, de la </w:t>
      </w:r>
      <w:r w:rsidR="00250345">
        <w:rPr>
          <w:rFonts w:ascii="ITC Avant Garde" w:hAnsi="ITC Avant Garde"/>
          <w:b/>
          <w:color w:val="000000"/>
        </w:rPr>
        <w:t>LFTR</w:t>
      </w:r>
      <w:r w:rsidR="00CE13AD" w:rsidRPr="00B215CD">
        <w:rPr>
          <w:rFonts w:ascii="ITC Avant Garde" w:hAnsi="ITC Avant Garde"/>
          <w:color w:val="000000"/>
        </w:rPr>
        <w:t xml:space="preserve"> puesto que en el mismo no se advierte sanción alguna por el incumplimiento a</w:t>
      </w:r>
      <w:r w:rsidR="00D9383E">
        <w:rPr>
          <w:rFonts w:ascii="ITC Avant Garde" w:hAnsi="ITC Avant Garde"/>
          <w:color w:val="000000"/>
        </w:rPr>
        <w:t xml:space="preserve"> los </w:t>
      </w:r>
      <w:r w:rsidR="00D9383E">
        <w:rPr>
          <w:rFonts w:ascii="ITC Avant Garde" w:hAnsi="ITC Avant Garde"/>
          <w:b/>
        </w:rPr>
        <w:t xml:space="preserve">LINEAMIENTOS, </w:t>
      </w:r>
      <w:r w:rsidR="00D9383E">
        <w:rPr>
          <w:rFonts w:ascii="ITC Avant Garde" w:hAnsi="ITC Avant Garde"/>
        </w:rPr>
        <w:t xml:space="preserve">sus respectivas modificaciones contenidas en el </w:t>
      </w:r>
      <w:r w:rsidR="00D9383E">
        <w:rPr>
          <w:rFonts w:ascii="ITC Avant Garde" w:hAnsi="ITC Avant Garde"/>
          <w:b/>
        </w:rPr>
        <w:t xml:space="preserve">ACUERDO MODIFICATORIO; </w:t>
      </w:r>
      <w:r w:rsidR="00D9383E">
        <w:rPr>
          <w:rFonts w:ascii="ITC Avant Garde" w:hAnsi="ITC Avant Garde"/>
        </w:rPr>
        <w:t xml:space="preserve">el </w:t>
      </w:r>
      <w:r w:rsidR="00D9383E">
        <w:rPr>
          <w:rFonts w:ascii="ITC Avant Garde" w:hAnsi="ITC Avant Garde"/>
          <w:b/>
        </w:rPr>
        <w:t xml:space="preserve">LISTADO </w:t>
      </w:r>
      <w:r w:rsidR="00D9383E">
        <w:rPr>
          <w:rFonts w:ascii="ITC Avant Garde" w:hAnsi="ITC Avant Garde"/>
        </w:rPr>
        <w:t xml:space="preserve">y sus correspondientes </w:t>
      </w:r>
      <w:r w:rsidR="00D9383E">
        <w:rPr>
          <w:rFonts w:ascii="ITC Avant Garde" w:hAnsi="ITC Avant Garde"/>
          <w:b/>
        </w:rPr>
        <w:t>ACTUALIZACIONES,</w:t>
      </w:r>
      <w:r w:rsidR="00CE13AD" w:rsidRPr="00310D70">
        <w:rPr>
          <w:rFonts w:ascii="ITC Avant Garde" w:hAnsi="ITC Avant Garde"/>
          <w:shd w:val="clear" w:color="auto" w:fill="FFFFFF"/>
        </w:rPr>
        <w:t xml:space="preserve"> por lo que resulta improcedente e inaplicable la multa prevista en dicho numeral</w:t>
      </w:r>
      <w:r w:rsidR="00CE13AD">
        <w:rPr>
          <w:rFonts w:ascii="ITC Avant Garde" w:hAnsi="ITC Avant Garde"/>
          <w:shd w:val="clear" w:color="auto" w:fill="FFFFFF"/>
        </w:rPr>
        <w:t>.</w:t>
      </w:r>
    </w:p>
    <w:p w14:paraId="036A8374" w14:textId="77777777" w:rsidR="00E2222D" w:rsidRDefault="00CE13AD" w:rsidP="00907F25">
      <w:pPr>
        <w:spacing w:after="240" w:line="360" w:lineRule="auto"/>
        <w:jc w:val="both"/>
        <w:rPr>
          <w:rFonts w:ascii="ITC Avant Garde" w:hAnsi="ITC Avant Garde"/>
          <w:shd w:val="clear" w:color="auto" w:fill="FFFFFF"/>
        </w:rPr>
      </w:pPr>
      <w:r>
        <w:rPr>
          <w:rFonts w:ascii="ITC Avant Garde" w:hAnsi="ITC Avant Garde"/>
          <w:shd w:val="clear" w:color="auto" w:fill="FFFFFF"/>
        </w:rPr>
        <w:lastRenderedPageBreak/>
        <w:t xml:space="preserve">Al respecto, vale </w:t>
      </w:r>
      <w:r w:rsidR="00D728F9">
        <w:rPr>
          <w:rFonts w:ascii="ITC Avant Garde" w:hAnsi="ITC Avant Garde"/>
          <w:shd w:val="clear" w:color="auto" w:fill="FFFFFF"/>
        </w:rPr>
        <w:t xml:space="preserve">la pena </w:t>
      </w:r>
      <w:r>
        <w:rPr>
          <w:rFonts w:ascii="ITC Avant Garde" w:hAnsi="ITC Avant Garde"/>
          <w:shd w:val="clear" w:color="auto" w:fill="FFFFFF"/>
        </w:rPr>
        <w:t>precisar el conten</w:t>
      </w:r>
      <w:r w:rsidR="0013793E">
        <w:rPr>
          <w:rFonts w:ascii="ITC Avant Garde" w:hAnsi="ITC Avant Garde"/>
          <w:shd w:val="clear" w:color="auto" w:fill="FFFFFF"/>
        </w:rPr>
        <w:t xml:space="preserve">ido </w:t>
      </w:r>
      <w:r w:rsidR="00723E5C">
        <w:rPr>
          <w:rFonts w:ascii="ITC Avant Garde" w:hAnsi="ITC Avant Garde"/>
          <w:shd w:val="clear" w:color="auto" w:fill="FFFFFF"/>
        </w:rPr>
        <w:t>de</w:t>
      </w:r>
      <w:r w:rsidR="0013793E">
        <w:rPr>
          <w:rFonts w:ascii="ITC Avant Garde" w:hAnsi="ITC Avant Garde"/>
          <w:shd w:val="clear" w:color="auto" w:fill="FFFFFF"/>
        </w:rPr>
        <w:t xml:space="preserve"> dicho numeral, </w:t>
      </w:r>
      <w:r>
        <w:rPr>
          <w:rFonts w:ascii="ITC Avant Garde" w:hAnsi="ITC Avant Garde"/>
          <w:shd w:val="clear" w:color="auto" w:fill="FFFFFF"/>
        </w:rPr>
        <w:t>el cual señala:</w:t>
      </w:r>
    </w:p>
    <w:p w14:paraId="00AC1C51" w14:textId="43E35617" w:rsidR="000F5935" w:rsidRPr="00531B1A" w:rsidRDefault="000F5935" w:rsidP="00907F25">
      <w:pPr>
        <w:tabs>
          <w:tab w:val="left" w:pos="8505"/>
        </w:tabs>
        <w:spacing w:after="240" w:line="360" w:lineRule="auto"/>
        <w:ind w:left="851" w:right="900"/>
        <w:jc w:val="both"/>
        <w:rPr>
          <w:rFonts w:ascii="ITC Avant Garde" w:hAnsi="ITC Avant Garde"/>
          <w:i/>
          <w:color w:val="000000"/>
          <w:sz w:val="20"/>
        </w:rPr>
      </w:pPr>
      <w:r w:rsidRPr="00531B1A">
        <w:rPr>
          <w:rFonts w:ascii="ITC Avant Garde" w:hAnsi="ITC Avant Garde"/>
          <w:i/>
          <w:color w:val="000000"/>
          <w:sz w:val="20"/>
        </w:rPr>
        <w:t>“</w:t>
      </w:r>
      <w:r w:rsidRPr="00531B1A">
        <w:rPr>
          <w:rFonts w:ascii="ITC Avant Garde" w:hAnsi="ITC Avant Garde"/>
          <w:b/>
          <w:i/>
          <w:color w:val="000000"/>
          <w:sz w:val="20"/>
        </w:rPr>
        <w:t>Artículo 298.</w:t>
      </w:r>
      <w:r w:rsidRPr="00531B1A">
        <w:rPr>
          <w:rFonts w:ascii="ITC Avant Garde" w:hAnsi="ITC Avant Garde"/>
          <w:i/>
          <w:color w:val="000000"/>
          <w:sz w:val="20"/>
        </w:rPr>
        <w:t xml:space="preserve"> Las infracciones a lo dispuesto en esta Ley y a las disposiciones que deriven de ella, se sancionarán por el Instituto de conformidad con lo siguiente:</w:t>
      </w:r>
    </w:p>
    <w:p w14:paraId="65C70A64" w14:textId="77777777" w:rsidR="000F5935" w:rsidRPr="00531B1A" w:rsidRDefault="000F5935" w:rsidP="00907F25">
      <w:pPr>
        <w:spacing w:after="240" w:line="360" w:lineRule="auto"/>
        <w:ind w:left="851" w:right="900"/>
        <w:jc w:val="both"/>
        <w:rPr>
          <w:rFonts w:ascii="ITC Avant Garde" w:hAnsi="ITC Avant Garde"/>
          <w:i/>
          <w:color w:val="000000"/>
          <w:sz w:val="20"/>
        </w:rPr>
      </w:pPr>
      <w:r w:rsidRPr="00531B1A">
        <w:rPr>
          <w:rFonts w:ascii="ITC Avant Garde" w:hAnsi="ITC Avant Garde"/>
          <w:i/>
          <w:color w:val="000000"/>
          <w:sz w:val="20"/>
        </w:rPr>
        <w:t>…</w:t>
      </w:r>
    </w:p>
    <w:p w14:paraId="1FE69CA9" w14:textId="77777777" w:rsidR="000F5935" w:rsidRPr="00531B1A" w:rsidRDefault="000F5935" w:rsidP="00907F25">
      <w:pPr>
        <w:spacing w:after="240" w:line="360" w:lineRule="auto"/>
        <w:ind w:left="851" w:right="900"/>
        <w:jc w:val="both"/>
        <w:rPr>
          <w:rFonts w:ascii="ITC Avant Garde" w:hAnsi="ITC Avant Garde"/>
          <w:i/>
          <w:color w:val="000000"/>
          <w:sz w:val="20"/>
        </w:rPr>
      </w:pPr>
      <w:r w:rsidRPr="00531B1A">
        <w:rPr>
          <w:rFonts w:ascii="ITC Avant Garde" w:hAnsi="ITC Avant Garde"/>
          <w:i/>
          <w:color w:val="000000"/>
          <w:sz w:val="20"/>
        </w:rPr>
        <w:t>B) Con multa por el equivalente de 1% hasta 3% de los ingresos del concesionario o autorizado por:</w:t>
      </w:r>
    </w:p>
    <w:p w14:paraId="6D14C7C6" w14:textId="77777777" w:rsidR="000F5935" w:rsidRPr="00531B1A" w:rsidRDefault="000F5935" w:rsidP="00907F25">
      <w:pPr>
        <w:spacing w:after="240" w:line="360" w:lineRule="auto"/>
        <w:ind w:left="851" w:right="900"/>
        <w:jc w:val="both"/>
        <w:rPr>
          <w:rFonts w:ascii="ITC Avant Garde" w:hAnsi="ITC Avant Garde"/>
          <w:i/>
          <w:color w:val="000000"/>
          <w:sz w:val="20"/>
        </w:rPr>
      </w:pPr>
      <w:r w:rsidRPr="00531B1A">
        <w:rPr>
          <w:rFonts w:ascii="ITC Avant Garde" w:hAnsi="ITC Avant Garde"/>
          <w:i/>
          <w:color w:val="000000"/>
          <w:sz w:val="20"/>
        </w:rPr>
        <w:t>…</w:t>
      </w:r>
    </w:p>
    <w:p w14:paraId="7D0EBDF8" w14:textId="77777777" w:rsidR="00E2222D" w:rsidRDefault="000F5935" w:rsidP="00907F25">
      <w:pPr>
        <w:spacing w:after="240" w:line="360" w:lineRule="auto"/>
        <w:ind w:left="851" w:right="900"/>
        <w:jc w:val="both"/>
        <w:rPr>
          <w:rFonts w:ascii="ITC Avant Garde" w:hAnsi="ITC Avant Garde"/>
          <w:i/>
          <w:color w:val="000000"/>
          <w:sz w:val="20"/>
        </w:rPr>
      </w:pPr>
      <w:r w:rsidRPr="00531B1A">
        <w:rPr>
          <w:rFonts w:ascii="ITC Avant Garde" w:hAnsi="ITC Avant Garde"/>
          <w:i/>
          <w:color w:val="000000"/>
          <w:sz w:val="20"/>
        </w:rPr>
        <w:t xml:space="preserve">IV. </w:t>
      </w:r>
      <w:r w:rsidRPr="00531B1A">
        <w:rPr>
          <w:rFonts w:ascii="ITC Avant Garde" w:hAnsi="ITC Avant Garde"/>
          <w:b/>
          <w:i/>
          <w:color w:val="000000"/>
          <w:sz w:val="20"/>
          <w:u w:val="single"/>
        </w:rPr>
        <w:t>Otras violaciones a</w:t>
      </w:r>
      <w:r w:rsidRPr="00531B1A">
        <w:rPr>
          <w:rFonts w:ascii="ITC Avant Garde" w:hAnsi="ITC Avant Garde"/>
          <w:i/>
          <w:color w:val="000000"/>
          <w:sz w:val="20"/>
        </w:rPr>
        <w:t xml:space="preserve"> esta Ley, a los Reglamentos, </w:t>
      </w:r>
      <w:r w:rsidRPr="00531B1A">
        <w:rPr>
          <w:rFonts w:ascii="ITC Avant Garde" w:hAnsi="ITC Avant Garde"/>
          <w:b/>
          <w:i/>
          <w:color w:val="000000"/>
          <w:sz w:val="20"/>
          <w:u w:val="single"/>
        </w:rPr>
        <w:t>a las disposiciones administrativas,</w:t>
      </w:r>
      <w:r w:rsidRPr="00531B1A">
        <w:rPr>
          <w:rFonts w:ascii="ITC Avant Garde" w:hAnsi="ITC Avant Garde"/>
          <w:i/>
          <w:color w:val="000000"/>
          <w:sz w:val="20"/>
        </w:rPr>
        <w:t xml:space="preserve"> planes técnicos fundamentales </w:t>
      </w:r>
      <w:r w:rsidRPr="00531B1A">
        <w:rPr>
          <w:rFonts w:ascii="ITC Avant Garde" w:hAnsi="ITC Avant Garde"/>
          <w:b/>
          <w:i/>
          <w:color w:val="000000"/>
          <w:sz w:val="20"/>
          <w:u w:val="single"/>
        </w:rPr>
        <w:t>y demás disposiciones emitidas por el Instituto;</w:t>
      </w:r>
      <w:r w:rsidRPr="00531B1A">
        <w:rPr>
          <w:rFonts w:ascii="ITC Avant Garde" w:hAnsi="ITC Avant Garde"/>
          <w:i/>
          <w:color w:val="000000"/>
          <w:sz w:val="20"/>
        </w:rPr>
        <w:t xml:space="preserve"> así como a las concesiones o autorizaciones que no estén expresamente contempladas en el presente capítulo.”</w:t>
      </w:r>
    </w:p>
    <w:p w14:paraId="029D8876" w14:textId="77777777" w:rsidR="00E2222D" w:rsidRDefault="00CE13AD" w:rsidP="00907F25">
      <w:pPr>
        <w:spacing w:after="240" w:line="360" w:lineRule="auto"/>
        <w:jc w:val="both"/>
        <w:rPr>
          <w:rFonts w:ascii="ITC Avant Garde" w:hAnsi="ITC Avant Garde"/>
          <w:color w:val="000000"/>
        </w:rPr>
      </w:pPr>
      <w:r w:rsidRPr="00B215CD">
        <w:rPr>
          <w:rFonts w:ascii="ITC Avant Garde" w:hAnsi="ITC Avant Garde"/>
          <w:color w:val="000000"/>
        </w:rPr>
        <w:t>D</w:t>
      </w:r>
      <w:r w:rsidR="000F5935" w:rsidRPr="00B215CD">
        <w:rPr>
          <w:rFonts w:ascii="ITC Avant Garde" w:hAnsi="ITC Avant Garde"/>
          <w:color w:val="000000"/>
        </w:rPr>
        <w:t xml:space="preserve">e la transcripción anterior se desprende que en el artículo 298 inciso B), fracción IV de la </w:t>
      </w:r>
      <w:r w:rsidR="00250345">
        <w:rPr>
          <w:rFonts w:ascii="ITC Avant Garde" w:hAnsi="ITC Avant Garde"/>
          <w:b/>
          <w:color w:val="000000"/>
        </w:rPr>
        <w:t>LFTR</w:t>
      </w:r>
      <w:r w:rsidR="000F5935" w:rsidRPr="00B215CD">
        <w:rPr>
          <w:rFonts w:ascii="ITC Avant Garde" w:hAnsi="ITC Avant Garde"/>
          <w:color w:val="000000"/>
        </w:rPr>
        <w:t xml:space="preserve"> se establece la sanción para aquellos concesionarios que no cumplan con las disposiciones administrativas, planes técnicos fundamentales </w:t>
      </w:r>
      <w:r w:rsidR="000F5935" w:rsidRPr="00B215CD">
        <w:rPr>
          <w:rFonts w:ascii="ITC Avant Garde" w:hAnsi="ITC Avant Garde"/>
          <w:b/>
          <w:color w:val="000000"/>
          <w:u w:val="single"/>
        </w:rPr>
        <w:t>y demás disposiciones emitidas por el Instituto</w:t>
      </w:r>
      <w:r w:rsidR="000F5935" w:rsidRPr="00B215CD">
        <w:rPr>
          <w:rFonts w:ascii="ITC Avant Garde" w:hAnsi="ITC Avant Garde"/>
          <w:color w:val="000000"/>
        </w:rPr>
        <w:t xml:space="preserve">, por lo que en ese sentido resulta infundado que </w:t>
      </w:r>
      <w:r w:rsidR="000F5935" w:rsidRPr="00B215CD">
        <w:rPr>
          <w:rFonts w:ascii="ITC Avant Garde" w:hAnsi="ITC Avant Garde" w:cs="Tahoma"/>
          <w:b/>
          <w:bCs/>
          <w:color w:val="000000"/>
          <w:shd w:val="clear" w:color="auto" w:fill="FFFFFF"/>
        </w:rPr>
        <w:t>MEGA CABLE</w:t>
      </w:r>
      <w:r w:rsidR="000F5935" w:rsidRPr="00B215CD">
        <w:rPr>
          <w:rFonts w:ascii="ITC Avant Garde" w:hAnsi="ITC Avant Garde"/>
          <w:color w:val="000000"/>
        </w:rPr>
        <w:t xml:space="preserve"> argumente que se le pretende imponer una sanción que no se encuentra plenamente establecida en un precepto legal.</w:t>
      </w:r>
    </w:p>
    <w:p w14:paraId="4CBE6D03" w14:textId="77777777" w:rsidR="00E2222D" w:rsidRDefault="000F5935"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Lo anterior, en virtud de que precisamente el artículo 298 inciso B), fracción IV de la </w:t>
      </w:r>
      <w:r w:rsidR="00250345">
        <w:rPr>
          <w:rFonts w:ascii="ITC Avant Garde" w:hAnsi="ITC Avant Garde"/>
          <w:b/>
          <w:color w:val="000000"/>
        </w:rPr>
        <w:t>LFTR</w:t>
      </w:r>
      <w:r w:rsidRPr="00B215CD">
        <w:rPr>
          <w:rFonts w:ascii="ITC Avant Garde" w:hAnsi="ITC Avant Garde"/>
          <w:color w:val="000000"/>
        </w:rPr>
        <w:t xml:space="preserve"> prevé expresamente cuál es la sanción para aquellos concesionarios que incumplan con las disposiciones administrativas de la materia </w:t>
      </w:r>
      <w:r w:rsidRPr="00B215CD">
        <w:rPr>
          <w:rFonts w:ascii="ITC Avant Garde" w:hAnsi="ITC Avant Garde"/>
          <w:b/>
          <w:color w:val="000000"/>
          <w:u w:val="single"/>
        </w:rPr>
        <w:t>y demás disposiciones emitidas por el Instituto</w:t>
      </w:r>
      <w:r w:rsidRPr="00B215CD">
        <w:rPr>
          <w:rFonts w:ascii="ITC Avant Garde" w:hAnsi="ITC Avant Garde"/>
          <w:color w:val="000000"/>
        </w:rPr>
        <w:t>, como en la especie lo son</w:t>
      </w:r>
      <w:r w:rsidR="00D9383E">
        <w:rPr>
          <w:rFonts w:ascii="ITC Avant Garde" w:hAnsi="ITC Avant Garde"/>
          <w:color w:val="000000"/>
        </w:rPr>
        <w:t xml:space="preserve"> los </w:t>
      </w:r>
      <w:r w:rsidR="00D9383E">
        <w:rPr>
          <w:rFonts w:ascii="ITC Avant Garde" w:hAnsi="ITC Avant Garde"/>
          <w:b/>
        </w:rPr>
        <w:t xml:space="preserve">LINEAMIENTOS, </w:t>
      </w:r>
      <w:r w:rsidR="00D9383E">
        <w:rPr>
          <w:rFonts w:ascii="ITC Avant Garde" w:hAnsi="ITC Avant Garde"/>
        </w:rPr>
        <w:t xml:space="preserve">sus respectivas modificaciones contenidas en el </w:t>
      </w:r>
      <w:r w:rsidR="00D9383E">
        <w:rPr>
          <w:rFonts w:ascii="ITC Avant Garde" w:hAnsi="ITC Avant Garde"/>
          <w:b/>
        </w:rPr>
        <w:t xml:space="preserve">ACUERDO MODIFICATORIO; </w:t>
      </w:r>
      <w:r w:rsidR="00D9383E">
        <w:rPr>
          <w:rFonts w:ascii="ITC Avant Garde" w:hAnsi="ITC Avant Garde"/>
        </w:rPr>
        <w:t xml:space="preserve">el </w:t>
      </w:r>
      <w:r w:rsidR="00D9383E">
        <w:rPr>
          <w:rFonts w:ascii="ITC Avant Garde" w:hAnsi="ITC Avant Garde"/>
          <w:b/>
        </w:rPr>
        <w:t xml:space="preserve">LISTADO </w:t>
      </w:r>
      <w:r w:rsidR="00D9383E">
        <w:rPr>
          <w:rFonts w:ascii="ITC Avant Garde" w:hAnsi="ITC Avant Garde"/>
        </w:rPr>
        <w:t xml:space="preserve">y sus correspondientes </w:t>
      </w:r>
      <w:r w:rsidR="00D9383E">
        <w:rPr>
          <w:rFonts w:ascii="ITC Avant Garde" w:hAnsi="ITC Avant Garde"/>
          <w:b/>
        </w:rPr>
        <w:t>ACTUALIZACIONES</w:t>
      </w:r>
      <w:r w:rsidR="00D9383E">
        <w:rPr>
          <w:rFonts w:ascii="ITC Avant Garde" w:hAnsi="ITC Avant Garde"/>
          <w:b/>
          <w:color w:val="000000"/>
        </w:rPr>
        <w:t xml:space="preserve">, </w:t>
      </w:r>
      <w:r w:rsidRPr="00B215CD">
        <w:rPr>
          <w:rFonts w:ascii="ITC Avant Garde" w:hAnsi="ITC Avant Garde"/>
          <w:color w:val="000000"/>
        </w:rPr>
        <w:t>por lo que en tal sentido resulta infundado lo argumentado</w:t>
      </w:r>
      <w:r w:rsidR="00723E5C">
        <w:rPr>
          <w:rFonts w:ascii="ITC Avant Garde" w:hAnsi="ITC Avant Garde"/>
          <w:color w:val="000000"/>
        </w:rPr>
        <w:t xml:space="preserve"> por </w:t>
      </w:r>
      <w:r w:rsidR="00723E5C">
        <w:rPr>
          <w:rFonts w:ascii="ITC Avant Garde" w:hAnsi="ITC Avant Garde"/>
          <w:b/>
          <w:color w:val="000000"/>
        </w:rPr>
        <w:t>MEGA CABLE</w:t>
      </w:r>
      <w:r w:rsidRPr="00B215CD">
        <w:rPr>
          <w:rFonts w:ascii="ITC Avant Garde" w:hAnsi="ITC Avant Garde"/>
          <w:color w:val="000000"/>
        </w:rPr>
        <w:t>.</w:t>
      </w:r>
    </w:p>
    <w:p w14:paraId="12133B1A" w14:textId="77777777" w:rsidR="00E2222D" w:rsidRDefault="00CE13AD" w:rsidP="00907F25">
      <w:pPr>
        <w:spacing w:after="240" w:line="360" w:lineRule="auto"/>
        <w:jc w:val="both"/>
        <w:rPr>
          <w:rFonts w:ascii="ITC Avant Garde" w:hAnsi="ITC Avant Garde"/>
          <w:color w:val="000000"/>
        </w:rPr>
      </w:pPr>
      <w:r w:rsidRPr="00B215CD">
        <w:rPr>
          <w:rFonts w:ascii="ITC Avant Garde" w:hAnsi="ITC Avant Garde"/>
          <w:color w:val="000000"/>
        </w:rPr>
        <w:lastRenderedPageBreak/>
        <w:t xml:space="preserve">Al respecto, </w:t>
      </w:r>
      <w:r w:rsidR="006F7C8B">
        <w:rPr>
          <w:rFonts w:ascii="ITC Avant Garde" w:hAnsi="ITC Avant Garde"/>
          <w:color w:val="000000"/>
        </w:rPr>
        <w:t xml:space="preserve">resulta ilustrativo </w:t>
      </w:r>
      <w:r w:rsidRPr="00B215CD">
        <w:rPr>
          <w:rFonts w:ascii="ITC Avant Garde" w:hAnsi="ITC Avant Garde"/>
          <w:color w:val="000000"/>
        </w:rPr>
        <w:t>mencionar que</w:t>
      </w:r>
      <w:r w:rsidR="006F7C8B">
        <w:rPr>
          <w:rFonts w:ascii="ITC Avant Garde" w:hAnsi="ITC Avant Garde"/>
          <w:color w:val="000000"/>
        </w:rPr>
        <w:t xml:space="preserve"> la </w:t>
      </w:r>
      <w:r w:rsidR="006F7C8B" w:rsidRPr="00B215CD">
        <w:rPr>
          <w:rFonts w:ascii="ITC Avant Garde" w:hAnsi="ITC Avant Garde"/>
          <w:color w:val="000000"/>
        </w:rPr>
        <w:t>Primera Sala de la Suprema Corte de Justicia de la Nación ha definido supuestos hipotéticos</w:t>
      </w:r>
      <w:r w:rsidRPr="00B215CD">
        <w:rPr>
          <w:rFonts w:ascii="ITC Avant Garde" w:hAnsi="ITC Avant Garde"/>
          <w:color w:val="000000"/>
        </w:rPr>
        <w:t xml:space="preserve"> denominados </w:t>
      </w:r>
      <w:r w:rsidRPr="00B215CD">
        <w:rPr>
          <w:rFonts w:ascii="ITC Avant Garde" w:hAnsi="ITC Avant Garde"/>
          <w:i/>
          <w:color w:val="000000"/>
        </w:rPr>
        <w:t>“Tipos en blanco”</w:t>
      </w:r>
      <w:r w:rsidR="006F7C8B">
        <w:rPr>
          <w:rFonts w:ascii="ITC Avant Garde" w:hAnsi="ITC Avant Garde"/>
          <w:i/>
          <w:color w:val="000000"/>
        </w:rPr>
        <w:t xml:space="preserve">, </w:t>
      </w:r>
      <w:r w:rsidR="006F7C8B" w:rsidRPr="006F7C8B">
        <w:rPr>
          <w:rFonts w:ascii="ITC Avant Garde" w:hAnsi="ITC Avant Garde"/>
          <w:color w:val="000000"/>
        </w:rPr>
        <w:t>los cuales</w:t>
      </w:r>
      <w:r w:rsidR="0013793E" w:rsidRPr="00B215CD">
        <w:rPr>
          <w:rFonts w:ascii="ITC Avant Garde" w:hAnsi="ITC Avant Garde"/>
          <w:color w:val="000000"/>
        </w:rPr>
        <w:t xml:space="preserve"> </w:t>
      </w:r>
      <w:r w:rsidR="002867A6" w:rsidRPr="00B215CD">
        <w:rPr>
          <w:rFonts w:ascii="ITC Avant Garde" w:hAnsi="ITC Avant Garde"/>
          <w:color w:val="000000"/>
        </w:rPr>
        <w:t>son constitucionales si se justifican e</w:t>
      </w:r>
      <w:r w:rsidR="002867A6">
        <w:rPr>
          <w:rFonts w:ascii="ITC Avant Garde" w:hAnsi="ITC Avant Garde"/>
          <w:color w:val="000000"/>
        </w:rPr>
        <w:t>n el modelo de Estado regulador,</w:t>
      </w:r>
      <w:r w:rsidR="002867A6" w:rsidRPr="00B215CD">
        <w:rPr>
          <w:rFonts w:ascii="ITC Avant Garde" w:hAnsi="ITC Avant Garde"/>
          <w:color w:val="000000"/>
        </w:rPr>
        <w:t xml:space="preserve"> como lo acontece en el presente asunto</w:t>
      </w:r>
      <w:r w:rsidR="002867A6">
        <w:rPr>
          <w:rFonts w:ascii="ITC Avant Garde" w:hAnsi="ITC Avant Garde"/>
          <w:color w:val="000000"/>
        </w:rPr>
        <w:t>.</w:t>
      </w:r>
    </w:p>
    <w:p w14:paraId="52D3D359" w14:textId="77777777" w:rsidR="00E2222D" w:rsidRDefault="002867A6" w:rsidP="00907F25">
      <w:pPr>
        <w:spacing w:after="240" w:line="360" w:lineRule="auto"/>
        <w:jc w:val="both"/>
        <w:rPr>
          <w:rFonts w:ascii="ITC Avant Garde" w:hAnsi="ITC Avant Garde"/>
          <w:color w:val="000000"/>
        </w:rPr>
      </w:pPr>
      <w:r>
        <w:rPr>
          <w:rFonts w:ascii="ITC Avant Garde" w:hAnsi="ITC Avant Garde"/>
          <w:color w:val="000000"/>
        </w:rPr>
        <w:t>Se afirma lo anterior, ya que</w:t>
      </w:r>
      <w:r w:rsidR="00CE13AD" w:rsidRPr="00B215CD">
        <w:rPr>
          <w:rFonts w:ascii="ITC Avant Garde" w:hAnsi="ITC Avant Garde"/>
          <w:color w:val="000000"/>
        </w:rPr>
        <w:t xml:space="preserve"> en el caso del modelo de Estado regulador, el principio de legalidad no exige un grado de satisfacción absoluto del principio de reserva de ley, </w:t>
      </w:r>
      <w:r>
        <w:rPr>
          <w:rFonts w:ascii="ITC Avant Garde" w:hAnsi="ITC Avant Garde"/>
          <w:color w:val="000000"/>
        </w:rPr>
        <w:t>pues</w:t>
      </w:r>
      <w:r w:rsidR="00CE13AD" w:rsidRPr="00B215CD">
        <w:rPr>
          <w:rFonts w:ascii="ITC Avant Garde" w:hAnsi="ITC Avant Garde"/>
          <w:color w:val="000000"/>
        </w:rPr>
        <w:t xml:space="preserve"> la regulación de ciertas cuestiones técnicas requiere de la coparticipación del Ejecutivo o de ciertos órganos constitucionales autónomos, por lo que el principio de legalidad </w:t>
      </w:r>
      <w:r>
        <w:rPr>
          <w:rFonts w:ascii="ITC Avant Garde" w:hAnsi="ITC Avant Garde"/>
          <w:color w:val="000000"/>
        </w:rPr>
        <w:t>tiene</w:t>
      </w:r>
      <w:r w:rsidR="00CE13AD" w:rsidRPr="00B215CD">
        <w:rPr>
          <w:rFonts w:ascii="ITC Avant Garde" w:hAnsi="ITC Avant Garde"/>
          <w:color w:val="000000"/>
        </w:rPr>
        <w:t xml:space="preserve"> aplicación en dos vertientes de forma diferenciada: el principio de tipicidad </w:t>
      </w:r>
      <w:r w:rsidR="00925B13">
        <w:rPr>
          <w:rFonts w:ascii="ITC Avant Garde" w:hAnsi="ITC Avant Garde"/>
          <w:color w:val="000000"/>
        </w:rPr>
        <w:t xml:space="preserve">que </w:t>
      </w:r>
      <w:r w:rsidR="00CE13AD" w:rsidRPr="00B215CD">
        <w:rPr>
          <w:rFonts w:ascii="ITC Avant Garde" w:hAnsi="ITC Avant Garde"/>
          <w:color w:val="000000"/>
        </w:rPr>
        <w:t xml:space="preserve">sigue exigiendo la predeterminación de la conducta; </w:t>
      </w:r>
      <w:r w:rsidR="00925B13">
        <w:rPr>
          <w:rFonts w:ascii="ITC Avant Garde" w:hAnsi="ITC Avant Garde"/>
          <w:color w:val="000000"/>
        </w:rPr>
        <w:t>y</w:t>
      </w:r>
      <w:r w:rsidR="00CE13AD" w:rsidRPr="00B215CD">
        <w:rPr>
          <w:rFonts w:ascii="ITC Avant Garde" w:hAnsi="ITC Avant Garde"/>
          <w:color w:val="000000"/>
        </w:rPr>
        <w:t xml:space="preserve"> el principio de reserva de ley </w:t>
      </w:r>
      <w:r w:rsidR="00925B13">
        <w:rPr>
          <w:rFonts w:ascii="ITC Avant Garde" w:hAnsi="ITC Avant Garde"/>
          <w:color w:val="000000"/>
        </w:rPr>
        <w:t xml:space="preserve">que </w:t>
      </w:r>
      <w:r w:rsidR="00CE13AD" w:rsidRPr="00B215CD">
        <w:rPr>
          <w:rFonts w:ascii="ITC Avant Garde" w:hAnsi="ITC Avant Garde"/>
          <w:color w:val="000000"/>
        </w:rPr>
        <w:t>deja de ser absoluto para ser relativo. De ahí que los </w:t>
      </w:r>
      <w:r w:rsidR="00CE13AD" w:rsidRPr="00A157BE">
        <w:rPr>
          <w:rFonts w:ascii="ITC Avant Garde" w:hAnsi="ITC Avant Garde"/>
          <w:i/>
          <w:color w:val="000000"/>
        </w:rPr>
        <w:t>tipos en blanco</w:t>
      </w:r>
      <w:r w:rsidR="00CE13AD" w:rsidRPr="00B215CD">
        <w:rPr>
          <w:rFonts w:ascii="ITC Avant Garde" w:hAnsi="ITC Avant Garde"/>
          <w:color w:val="000000"/>
        </w:rPr>
        <w:t> </w:t>
      </w:r>
      <w:r w:rsidR="00925B13">
        <w:rPr>
          <w:rFonts w:ascii="ITC Avant Garde" w:hAnsi="ITC Avant Garde"/>
          <w:color w:val="000000"/>
        </w:rPr>
        <w:t xml:space="preserve">ya sea penales o administrativos </w:t>
      </w:r>
      <w:r w:rsidR="00CE13AD" w:rsidRPr="00B215CD">
        <w:rPr>
          <w:rFonts w:ascii="ITC Avant Garde" w:hAnsi="ITC Avant Garde"/>
          <w:color w:val="000000"/>
        </w:rPr>
        <w:t>son constitucionales</w:t>
      </w:r>
      <w:r w:rsidR="00925B13">
        <w:rPr>
          <w:rFonts w:ascii="ITC Avant Garde" w:hAnsi="ITC Avant Garde"/>
          <w:color w:val="000000"/>
        </w:rPr>
        <w:t xml:space="preserve"> aun y cuando</w:t>
      </w:r>
      <w:r w:rsidR="00925B13" w:rsidRPr="00B215CD">
        <w:rPr>
          <w:rFonts w:ascii="ITC Avant Garde" w:hAnsi="ITC Avant Garde"/>
          <w:color w:val="000000"/>
        </w:rPr>
        <w:t xml:space="preserve"> n</w:t>
      </w:r>
      <w:r w:rsidR="00925B13">
        <w:rPr>
          <w:rFonts w:ascii="ITC Avant Garde" w:hAnsi="ITC Avant Garde"/>
          <w:color w:val="000000"/>
        </w:rPr>
        <w:t xml:space="preserve">o se prevé </w:t>
      </w:r>
      <w:r w:rsidR="00925B13" w:rsidRPr="00B215CD">
        <w:rPr>
          <w:rFonts w:ascii="ITC Avant Garde" w:hAnsi="ITC Avant Garde"/>
          <w:color w:val="000000"/>
        </w:rPr>
        <w:t>de manera expresa la conducta sancionada</w:t>
      </w:r>
      <w:r w:rsidR="00925B13">
        <w:rPr>
          <w:rFonts w:ascii="ITC Avant Garde" w:hAnsi="ITC Avant Garde"/>
          <w:color w:val="000000"/>
        </w:rPr>
        <w:t>.</w:t>
      </w:r>
    </w:p>
    <w:p w14:paraId="31F36072" w14:textId="77777777" w:rsidR="00E2222D" w:rsidRDefault="00925B13" w:rsidP="00907F25">
      <w:pPr>
        <w:spacing w:after="240" w:line="360" w:lineRule="auto"/>
        <w:jc w:val="both"/>
        <w:rPr>
          <w:rFonts w:ascii="ITC Avant Garde" w:hAnsi="ITC Avant Garde"/>
          <w:color w:val="000000"/>
        </w:rPr>
      </w:pPr>
      <w:r>
        <w:rPr>
          <w:rFonts w:ascii="ITC Avant Garde" w:hAnsi="ITC Avant Garde"/>
          <w:color w:val="000000"/>
        </w:rPr>
        <w:t>Lo</w:t>
      </w:r>
      <w:r w:rsidR="00CE13AD" w:rsidRPr="00B215CD">
        <w:rPr>
          <w:rFonts w:ascii="ITC Avant Garde" w:hAnsi="ITC Avant Garde"/>
          <w:color w:val="000000"/>
        </w:rPr>
        <w:t xml:space="preserve"> anterior, ha sido sostenido por la Primera Sala de la Suprema Corte de Justicia de la Nación en la siguiente tesis:</w:t>
      </w:r>
    </w:p>
    <w:p w14:paraId="6BE2883B" w14:textId="77777777" w:rsidR="00E2222D" w:rsidRDefault="00CE13AD" w:rsidP="00907F25">
      <w:pPr>
        <w:spacing w:after="240" w:line="360" w:lineRule="auto"/>
        <w:ind w:left="851" w:right="900"/>
        <w:jc w:val="both"/>
        <w:rPr>
          <w:rFonts w:ascii="ITC Avant Garde" w:hAnsi="ITC Avant Garde"/>
          <w:color w:val="000000"/>
          <w:sz w:val="20"/>
          <w:szCs w:val="20"/>
        </w:rPr>
      </w:pPr>
      <w:r w:rsidRPr="00531B1A">
        <w:rPr>
          <w:rFonts w:ascii="ITC Avant Garde" w:hAnsi="ITC Avant Garde"/>
          <w:b/>
          <w:color w:val="000000"/>
          <w:sz w:val="20"/>
          <w:szCs w:val="20"/>
        </w:rPr>
        <w:t xml:space="preserve">TIPOS ADMINISTRATIVOS EN BLANCO. SON CONSTITUCIONALES SI SE JUSTIFICAN EN EL MODELO DE ESTADO REGULADOR. </w:t>
      </w:r>
      <w:r w:rsidRPr="00531B1A">
        <w:rPr>
          <w:rFonts w:ascii="ITC Avant Garde" w:hAnsi="ITC Avant Garde"/>
          <w:color w:val="000000"/>
          <w:sz w:val="20"/>
          <w:szCs w:val="20"/>
        </w:rPr>
        <w:t xml:space="preserve">Esta Primera Sala de la Suprema Corte de Justicia de la Nación ha definido los tipos penales en blanco como aquellos supuestos hipotéticos en los que la conducta delictiva se precisa en términos abstractos y requiere de un complemento para integrarse plenamente, los cuales son inconstitucionales si su integración debe realizarse mediante la remisión a normas reglamentarias, pues ello equivale a delegar a un poder distinto al legislativo la potestad de intervenir decisivamente en la determinación del ámbito penal, cuando es facultad exclusiva e indelegable del Congreso de la Unión legislar en materia de delitos y faltas federales. Ahora bien, esta conclusión no puede transportarse en automático al derecho administrativo sancionador, pues la remisión a fuentes infralegales no es un vicio de invalidez constitucional en todos los ámbitos que la integran, por lo que es necesario considerar la específica </w:t>
      </w:r>
      <w:r w:rsidRPr="00531B1A">
        <w:rPr>
          <w:rFonts w:ascii="ITC Avant Garde" w:hAnsi="ITC Avant Garde"/>
          <w:color w:val="000000"/>
          <w:sz w:val="20"/>
          <w:szCs w:val="20"/>
        </w:rPr>
        <w:lastRenderedPageBreak/>
        <w:t xml:space="preserve">modulación del principio de legalidad exigido por el balance precisado de los valores constitucionales en juego que cada ámbito demanda; en el caso del modelo de Estado regulador, el principio de legalidad no exige un grado de satisfacción absoluto del principio de reserva de ley, ya que </w:t>
      </w:r>
      <w:r w:rsidRPr="00531B1A">
        <w:rPr>
          <w:rFonts w:ascii="ITC Avant Garde" w:hAnsi="ITC Avant Garde"/>
          <w:b/>
          <w:color w:val="000000"/>
          <w:sz w:val="20"/>
          <w:szCs w:val="20"/>
          <w:u w:val="single"/>
        </w:rPr>
        <w:t>la regulación de ciertas cuestiones técnicas requiere de la coparticipación del Ejecutivo o de ciertos órganos constitucionales autónomos, por lo que el principio de legalidad sigue teniendo aplicación en sus dos vertientes, pero de forma diferenciada: el principio de tipicidad sigue exigiendo la predeterminación inteligible de la conducta; sin embargo, el principio de reserva de ley deja de ser absoluto para ser relativo. De ahí que los tipos administrativos en blanco son constitucionales si se justifican en el modelo de Estado regulado</w:t>
      </w:r>
      <w:r w:rsidRPr="00531B1A">
        <w:rPr>
          <w:rFonts w:ascii="ITC Avant Garde" w:hAnsi="ITC Avant Garde"/>
          <w:color w:val="000000"/>
          <w:sz w:val="20"/>
          <w:szCs w:val="20"/>
        </w:rPr>
        <w:t>r.</w:t>
      </w:r>
    </w:p>
    <w:p w14:paraId="1ADBA69F" w14:textId="77777777" w:rsidR="00E2222D" w:rsidRDefault="00CE13AD" w:rsidP="00907F25">
      <w:pPr>
        <w:spacing w:after="240" w:line="360" w:lineRule="auto"/>
        <w:ind w:left="851" w:right="900"/>
        <w:jc w:val="both"/>
        <w:rPr>
          <w:rFonts w:ascii="ITC Avant Garde" w:hAnsi="ITC Avant Garde"/>
          <w:color w:val="000000"/>
          <w:sz w:val="18"/>
        </w:rPr>
      </w:pPr>
      <w:r w:rsidRPr="00531B1A">
        <w:rPr>
          <w:rFonts w:ascii="ITC Avant Garde" w:hAnsi="ITC Avant Garde"/>
          <w:color w:val="000000"/>
          <w:sz w:val="20"/>
          <w:szCs w:val="20"/>
        </w:rPr>
        <w:t xml:space="preserve">Época: Décima Época, Registro: 2007412, Instancia: Primera Sala, Tipo de Tesis: Aislada, Fuente: Gaceta del Semanario Judicial de la Federación, Libro 10, Septiembre de 2014, Tomo I, Materia(s): Constitucional, Tesis: 1a. CCCXIX/2014 (10a.), Página: 592 </w:t>
      </w:r>
    </w:p>
    <w:p w14:paraId="7DA1D43E" w14:textId="77777777" w:rsidR="00E2222D" w:rsidRDefault="00CE13AD" w:rsidP="00907F25">
      <w:pPr>
        <w:spacing w:after="240" w:line="360" w:lineRule="auto"/>
        <w:jc w:val="both"/>
        <w:rPr>
          <w:rFonts w:ascii="ITC Avant Garde" w:hAnsi="ITC Avant Garde"/>
        </w:rPr>
      </w:pPr>
      <w:r w:rsidRPr="00B215CD">
        <w:rPr>
          <w:rFonts w:ascii="ITC Avant Garde" w:hAnsi="ITC Avant Garde"/>
          <w:color w:val="000000"/>
        </w:rPr>
        <w:t>Así las cosas</w:t>
      </w:r>
      <w:r w:rsidR="00531B1A">
        <w:rPr>
          <w:rFonts w:ascii="ITC Avant Garde" w:hAnsi="ITC Avant Garde"/>
          <w:color w:val="000000"/>
        </w:rPr>
        <w:t>,</w:t>
      </w:r>
      <w:r w:rsidRPr="00B215CD">
        <w:rPr>
          <w:rFonts w:ascii="ITC Avant Garde" w:hAnsi="ITC Avant Garde"/>
          <w:color w:val="000000"/>
        </w:rPr>
        <w:t xml:space="preserve"> al disponer bajo el esquema del Modelo Regulador la posibilidad de acudir a disposiciones infra</w:t>
      </w:r>
      <w:r w:rsidR="00557B55" w:rsidRPr="00B215CD">
        <w:rPr>
          <w:rFonts w:ascii="ITC Avant Garde" w:hAnsi="ITC Avant Garde"/>
          <w:color w:val="000000"/>
        </w:rPr>
        <w:t>legales</w:t>
      </w:r>
      <w:r w:rsidRPr="00B215CD">
        <w:rPr>
          <w:rFonts w:ascii="ITC Avant Garde" w:hAnsi="ITC Avant Garde"/>
          <w:color w:val="000000"/>
        </w:rPr>
        <w:t xml:space="preserve"> </w:t>
      </w:r>
      <w:r w:rsidR="00557B55" w:rsidRPr="00B215CD">
        <w:rPr>
          <w:rFonts w:ascii="ITC Avant Garde" w:hAnsi="ITC Avant Garde"/>
          <w:color w:val="000000"/>
        </w:rPr>
        <w:t>mediante disposiciones de carácter técnico como lo son</w:t>
      </w:r>
      <w:r w:rsidR="00F52D0A">
        <w:rPr>
          <w:rFonts w:ascii="ITC Avant Garde" w:hAnsi="ITC Avant Garde"/>
          <w:color w:val="000000"/>
        </w:rPr>
        <w:t xml:space="preserve"> </w:t>
      </w:r>
      <w:r w:rsidR="006B20CD">
        <w:rPr>
          <w:rFonts w:ascii="ITC Avant Garde" w:hAnsi="ITC Avant Garde"/>
          <w:color w:val="000000"/>
        </w:rPr>
        <w:t>los</w:t>
      </w:r>
      <w:r w:rsidR="00557B55" w:rsidRPr="00B215CD">
        <w:rPr>
          <w:rFonts w:ascii="ITC Avant Garde" w:hAnsi="ITC Avant Garde"/>
          <w:color w:val="000000"/>
        </w:rPr>
        <w:t xml:space="preserve"> </w:t>
      </w:r>
      <w:r w:rsidR="006C4C0E">
        <w:rPr>
          <w:rFonts w:ascii="ITC Avant Garde" w:hAnsi="ITC Avant Garde"/>
          <w:b/>
        </w:rPr>
        <w:t xml:space="preserve">LINEAMIENTOS, </w:t>
      </w:r>
      <w:r w:rsidR="006C4C0E">
        <w:rPr>
          <w:rFonts w:ascii="ITC Avant Garde" w:hAnsi="ITC Avant Garde"/>
        </w:rPr>
        <w:t xml:space="preserve">sus respectivas modificaciones contenidas en el </w:t>
      </w:r>
      <w:r w:rsidR="006C4C0E">
        <w:rPr>
          <w:rFonts w:ascii="ITC Avant Garde" w:hAnsi="ITC Avant Garde"/>
          <w:b/>
        </w:rPr>
        <w:t xml:space="preserve">ACUERDO MODIFICATORIO; </w:t>
      </w:r>
      <w:r w:rsidR="006C4C0E">
        <w:rPr>
          <w:rFonts w:ascii="ITC Avant Garde" w:hAnsi="ITC Avant Garde"/>
        </w:rPr>
        <w:t xml:space="preserve">el </w:t>
      </w:r>
      <w:r w:rsidR="006C4C0E">
        <w:rPr>
          <w:rFonts w:ascii="ITC Avant Garde" w:hAnsi="ITC Avant Garde"/>
          <w:b/>
        </w:rPr>
        <w:t xml:space="preserve">LISTADO </w:t>
      </w:r>
      <w:r w:rsidR="006C4C0E">
        <w:rPr>
          <w:rFonts w:ascii="ITC Avant Garde" w:hAnsi="ITC Avant Garde"/>
        </w:rPr>
        <w:t xml:space="preserve">y sus correspondientes </w:t>
      </w:r>
      <w:r w:rsidR="006C4C0E">
        <w:rPr>
          <w:rFonts w:ascii="ITC Avant Garde" w:hAnsi="ITC Avant Garde"/>
          <w:b/>
        </w:rPr>
        <w:t xml:space="preserve">ACTUALIZACIONES, </w:t>
      </w:r>
      <w:r w:rsidR="00557B55">
        <w:rPr>
          <w:rFonts w:ascii="ITC Avant Garde" w:hAnsi="ITC Avant Garde"/>
        </w:rPr>
        <w:t xml:space="preserve">es dable concluir que la violación a dichas disposiciones de carácter técnico se encuentran </w:t>
      </w:r>
      <w:r w:rsidR="00D728F9">
        <w:rPr>
          <w:rFonts w:ascii="ITC Avant Garde" w:hAnsi="ITC Avant Garde"/>
        </w:rPr>
        <w:t xml:space="preserve">sancionadas </w:t>
      </w:r>
      <w:r w:rsidR="00557B55">
        <w:rPr>
          <w:rFonts w:ascii="ITC Avant Garde" w:hAnsi="ITC Avant Garde"/>
        </w:rPr>
        <w:t xml:space="preserve">en la </w:t>
      </w:r>
      <w:r w:rsidR="00250345">
        <w:rPr>
          <w:rFonts w:ascii="ITC Avant Garde" w:hAnsi="ITC Avant Garde"/>
          <w:b/>
        </w:rPr>
        <w:t>LFTR</w:t>
      </w:r>
      <w:r w:rsidR="00557B55">
        <w:rPr>
          <w:rFonts w:ascii="ITC Avant Garde" w:hAnsi="ITC Avant Garde"/>
        </w:rPr>
        <w:t xml:space="preserve"> vigente al momento en que se advirtió la comisión de la conducta.</w:t>
      </w:r>
    </w:p>
    <w:p w14:paraId="09EB11AB" w14:textId="77777777" w:rsidR="00E2222D" w:rsidRDefault="00557B55" w:rsidP="00907F25">
      <w:pPr>
        <w:spacing w:after="240" w:line="360" w:lineRule="auto"/>
        <w:jc w:val="both"/>
        <w:rPr>
          <w:rFonts w:ascii="ITC Avant Garde" w:hAnsi="ITC Avant Garde"/>
          <w:color w:val="000000"/>
        </w:rPr>
      </w:pPr>
      <w:r w:rsidRPr="00B215CD">
        <w:rPr>
          <w:rFonts w:ascii="ITC Avant Garde" w:hAnsi="ITC Avant Garde"/>
          <w:color w:val="000000"/>
        </w:rPr>
        <w:t>Cabe señalar que el Poder Judicial de la Federación se ha pronunciado de manera consistente por lo que hace a la tipicidad de este tipo de disposiciones tratándose de la Ley Federal de Telecomunicaciones dónde se ha cuestionado el principio de reserva de ley por lo que hace al artículo 71 de esa Ley abrogada, en cuyas resoluciones ha sostenido de manera reiterada que estos denominados tipos en blanco requieren como se ha señalado un complemento para su integración.</w:t>
      </w:r>
    </w:p>
    <w:p w14:paraId="2B236EE7" w14:textId="77777777" w:rsidR="00E2222D" w:rsidRDefault="00557B55" w:rsidP="00907F25">
      <w:pPr>
        <w:spacing w:after="240" w:line="360" w:lineRule="auto"/>
        <w:jc w:val="both"/>
        <w:rPr>
          <w:rFonts w:ascii="ITC Avant Garde" w:hAnsi="ITC Avant Garde"/>
          <w:color w:val="000000"/>
        </w:rPr>
      </w:pPr>
      <w:r w:rsidRPr="00B215CD">
        <w:rPr>
          <w:rFonts w:ascii="ITC Avant Garde" w:hAnsi="ITC Avant Garde"/>
          <w:color w:val="000000"/>
        </w:rPr>
        <w:lastRenderedPageBreak/>
        <w:t>En ese sentido, dichos Juzgados y Tribunales han emitido los siguientes criterios:</w:t>
      </w:r>
    </w:p>
    <w:p w14:paraId="20055E0E" w14:textId="77777777" w:rsidR="00E2222D" w:rsidRDefault="00557B55" w:rsidP="00907F25">
      <w:pPr>
        <w:pStyle w:val="Listavistosa-nfasis11"/>
        <w:numPr>
          <w:ilvl w:val="0"/>
          <w:numId w:val="37"/>
        </w:numPr>
        <w:spacing w:after="240" w:line="360" w:lineRule="auto"/>
        <w:ind w:left="567" w:hanging="567"/>
        <w:jc w:val="both"/>
        <w:rPr>
          <w:rFonts w:ascii="ITC Avant Garde" w:eastAsia="Times New Roman" w:hAnsi="ITC Avant Garde"/>
          <w:b/>
          <w:bCs/>
          <w:color w:val="000000"/>
          <w:sz w:val="20"/>
          <w:lang w:eastAsia="es-MX"/>
        </w:rPr>
      </w:pPr>
      <w:r w:rsidRPr="00531B1A">
        <w:rPr>
          <w:rFonts w:ascii="ITC Avant Garde" w:eastAsia="Times New Roman" w:hAnsi="ITC Avant Garde"/>
          <w:b/>
          <w:bCs/>
          <w:color w:val="000000"/>
          <w:sz w:val="20"/>
          <w:lang w:eastAsia="es-MX"/>
        </w:rPr>
        <w:t>Juzgado Primero de Distrito en Materia Administrativa Especializado en Competencia Económica, Radiodifusión y Telecomunicaciones con Residencia en el Distrito Federal y jurisdicción en toda la República, en el juicio de amparo 25/2015, que en la parte que interesa señala:</w:t>
      </w:r>
    </w:p>
    <w:p w14:paraId="62A8BEF8"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w:t>
      </w:r>
    </w:p>
    <w:p w14:paraId="37263543"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En el cuarto concepto de violación, el quejoso sostiene que la resolución reclamada en el punto tres del considerando segundo de esta sentencia, por medio del cual se determinó una sanción en cantidad líquida, es ilegal porque el fundamento aplicado es genérico.</w:t>
      </w:r>
    </w:p>
    <w:p w14:paraId="647731BA"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Refiere lo anterior, pues considera que el artículo 71, apartado C, fracción V, de la Ley Federal de Telecomunicaciones (anterior) viola el principio de exacta aplicación de la ley y la garantía de seguridad jurídica, debido a que la hipótesis normativa de sanción ahí contenida no establece de manera concreta y real la supuesta infracción al sancionar, es decir, la descripción de la conducta o hecho de los que dependa la sanción, lo que permite tipificar la infracción sin la existencia de un hecho punible.</w:t>
      </w:r>
    </w:p>
    <w:p w14:paraId="7778D546"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Para analizar lo anterior, debe precisarse que la porción normativa referid</w:t>
      </w:r>
      <w:r w:rsidR="00D728F9" w:rsidRPr="00531B1A">
        <w:rPr>
          <w:rFonts w:ascii="ITC Avant Garde" w:eastAsia="Times New Roman" w:hAnsi="ITC Avant Garde"/>
          <w:bCs/>
          <w:i/>
          <w:color w:val="000000"/>
          <w:sz w:val="20"/>
          <w:lang w:eastAsia="es-MX"/>
        </w:rPr>
        <w:t>a en el concepto de violación en</w:t>
      </w:r>
      <w:r w:rsidRPr="00531B1A">
        <w:rPr>
          <w:rFonts w:ascii="ITC Avant Garde" w:eastAsia="Times New Roman" w:hAnsi="ITC Avant Garde"/>
          <w:bCs/>
          <w:i/>
          <w:color w:val="000000"/>
          <w:sz w:val="20"/>
          <w:lang w:eastAsia="es-MX"/>
        </w:rPr>
        <w:t xml:space="preserve"> estudio, establece montos entre un mínimo y un máximo para la imposición de una multa por violaciones a las disposiciones de la propia ley, así como las disposiciones reglamentarias o administrativas que de ella emanen.</w:t>
      </w:r>
    </w:p>
    <w:p w14:paraId="5D394026"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 son infundados los argumentos expuestos, toda vez que, contrariamente a lo que afirma el quejoso, la disposición que refiere establece, un tipo normativo relativo a las violaciones legales, reglamentarias y administrativas, cuyas violaciones se encuentran sujetas a la respectiva sanción.</w:t>
      </w:r>
    </w:p>
    <w:p w14:paraId="6A5DAC17"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Por tanto, aun cuando la disposición de mérito no contenga de manera específica y pormenorizada todos y cada uno de los supuestos o circunstancias ante las cuales debe ser sancionada una conducta considerada violatoria de la Ley Federal de Telecomunicaciones y de las disposiciones reglamentarias y administrativas que de ella emanan, ello no implica que la sanción impuesta sea inconstitucional, en tanto que la configuración legislativa de la cual se encuentra dotada permite considerar que establece parámetros bajo los cuales se está en posibilidad de actuar la autoridad.</w:t>
      </w:r>
    </w:p>
    <w:p w14:paraId="5E7ECD6A"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lastRenderedPageBreak/>
        <w:t xml:space="preserve">En ese orden de ideas, tampoco se trata de una norma imprecisa que permita el actuar arbitrario de la autoridad, pues si bien el artículo de mérito no menciona en qué circunstancias puede ser sancionada una conducta, lo objetivamente cierto es que al establecer como infracciones “Otras violaciones a disposiciones de esta Ley y las disposiciones reglamentarias y administrativas que de ella emanen” se deduce que su desahogo se encuentra supeditado a los supuestos que las normas aplicables indiquen, lo que evidencia que no fue intención del legislador ordinario definir las circunstancias en la que procede una multa …sino sujetar su imposición a los parámetros que la Ley o los reglamentos, en lo particular…” </w:t>
      </w:r>
    </w:p>
    <w:p w14:paraId="7EAFF715" w14:textId="77777777" w:rsidR="00E2222D" w:rsidRDefault="00557B55" w:rsidP="00907F25">
      <w:pPr>
        <w:pStyle w:val="Listavistosa-nfasis11"/>
        <w:numPr>
          <w:ilvl w:val="0"/>
          <w:numId w:val="37"/>
        </w:numPr>
        <w:spacing w:after="240" w:line="360" w:lineRule="auto"/>
        <w:ind w:left="567" w:hanging="567"/>
        <w:jc w:val="both"/>
        <w:rPr>
          <w:rFonts w:ascii="ITC Avant Garde" w:eastAsia="Times New Roman" w:hAnsi="ITC Avant Garde"/>
          <w:b/>
          <w:bCs/>
          <w:color w:val="000000"/>
          <w:sz w:val="20"/>
          <w:lang w:eastAsia="es-MX"/>
        </w:rPr>
      </w:pPr>
      <w:r w:rsidRPr="00531B1A">
        <w:rPr>
          <w:rFonts w:ascii="ITC Avant Garde" w:eastAsia="Times New Roman" w:hAnsi="ITC Avant Garde"/>
          <w:b/>
          <w:bCs/>
          <w:color w:val="000000"/>
          <w:sz w:val="20"/>
          <w:lang w:eastAsia="es-MX"/>
        </w:rPr>
        <w:t>Juzgado Segundo de Distrito en Materia Administrativa Especializado en Competencia Económica, Radiodifusión y Telecomunicaciones con Residencia en el Distrito Federal y jurisdicción en toda la República, en el juicio de amparo 344/2014, que en la parte que interesa señala:</w:t>
      </w:r>
    </w:p>
    <w:p w14:paraId="3BD74270" w14:textId="419B5245" w:rsidR="00557B55" w:rsidRPr="00531B1A"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w:t>
      </w:r>
    </w:p>
    <w:p w14:paraId="7D4EBCAE"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 xml:space="preserve">Al respecto, indica que la observancia a la garantía de legalidad contenida en los artículos 14 y 16 de la Constitución Política de los Estados Unidos Mexicanos, es exigible a toda autoridad incluyendo al Poder Legislativo, lo que le </w:t>
      </w:r>
      <w:r w:rsidRPr="00531B1A">
        <w:rPr>
          <w:rFonts w:ascii="ITC Avant Garde" w:eastAsia="Times New Roman" w:hAnsi="ITC Avant Garde"/>
          <w:b/>
          <w:bCs/>
          <w:i/>
          <w:color w:val="000000"/>
          <w:sz w:val="20"/>
          <w:u w:val="single"/>
          <w:lang w:eastAsia="es-MX"/>
        </w:rPr>
        <w:t>obligaba a expedir disposiciones que en materia de derecho sancionador fueran claras y específicas, sin otorgar margen a las autoridades para que pudieran improvisar conductas de infracción</w:t>
      </w:r>
      <w:r w:rsidRPr="00531B1A">
        <w:rPr>
          <w:rFonts w:ascii="ITC Avant Garde" w:eastAsia="Times New Roman" w:hAnsi="ITC Avant Garde"/>
          <w:bCs/>
          <w:i/>
          <w:color w:val="000000"/>
          <w:sz w:val="20"/>
          <w:lang w:eastAsia="es-MX"/>
        </w:rPr>
        <w:t xml:space="preserve">. </w:t>
      </w:r>
    </w:p>
    <w:p w14:paraId="092F0054"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 xml:space="preserve">Por ello, aduce que ante la ausencia de parámetros específicos de tiempo, modo, lugar y circunstancia, la autoridad puede encuadrar cualquier conducta a efecto de que sea sancionada, debido a la amplia hipótesis normativa que posee la norma, como a su dicho ocurrió en el presente asunto, </w:t>
      </w:r>
      <w:r w:rsidRPr="00531B1A">
        <w:rPr>
          <w:rFonts w:ascii="ITC Avant Garde" w:eastAsia="Times New Roman" w:hAnsi="ITC Avant Garde"/>
          <w:b/>
          <w:bCs/>
          <w:i/>
          <w:color w:val="000000"/>
          <w:sz w:val="20"/>
          <w:u w:val="single"/>
          <w:lang w:eastAsia="es-MX"/>
        </w:rPr>
        <w:t>en virtud de que la conducta por la que se hizo acreedora a una multa no se encuentra descrita en esa fracción que combate, y todo ello como resultado de que el legislador federal no fijó límites al ejercicio discrecional de la autoridad.</w:t>
      </w:r>
    </w:p>
    <w:p w14:paraId="7A91FFB7" w14:textId="50A947A9" w:rsidR="00557B55" w:rsidRPr="00531B1A"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 xml:space="preserve">Pues bien, este Juzgado </w:t>
      </w:r>
      <w:r w:rsidRPr="00531B1A">
        <w:rPr>
          <w:rFonts w:ascii="ITC Avant Garde" w:eastAsia="Times New Roman" w:hAnsi="ITC Avant Garde"/>
          <w:b/>
          <w:bCs/>
          <w:i/>
          <w:color w:val="000000"/>
          <w:sz w:val="20"/>
          <w:u w:val="single"/>
          <w:lang w:eastAsia="es-MX"/>
        </w:rPr>
        <w:t>estima que los argumentos formulados devienen infundados, principalmente porque la parte quejosa dejó de observar que para conocer el alcance efectivo de una norma, no sólo se debe recurrir a su interpretación literal, sino que es necesario acudir a diversos métodos, como el de interpretación sistemática que atiende a la integración del ordenamiento al que pertenecen, o el teleológico, que comprende las causas y fines de la misma</w:t>
      </w:r>
      <w:r w:rsidRPr="00531B1A">
        <w:rPr>
          <w:rFonts w:ascii="ITC Avant Garde" w:eastAsia="Times New Roman" w:hAnsi="ITC Avant Garde"/>
          <w:bCs/>
          <w:i/>
          <w:color w:val="000000"/>
          <w:sz w:val="20"/>
          <w:lang w:eastAsia="es-MX"/>
        </w:rPr>
        <w:t>.</w:t>
      </w:r>
    </w:p>
    <w:p w14:paraId="1F726C2D"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lastRenderedPageBreak/>
        <w:t>…</w:t>
      </w:r>
    </w:p>
    <w:p w14:paraId="16EAD768"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El numeral transcrito establece una multa pecuniaria, como sanción por transgredir alguna de las disposiciones reglamentaras o administrativas contempladas en los títulos de concesión o permisos otorgados para la explotación de un bien dominio de la nación, la cual podrá oscilar entre 4,000 y 40,000 veces el importe del salario mínimo general vigente en el Distrito Federal, a la fecha en que se haya incurrido en la falta.</w:t>
      </w:r>
    </w:p>
    <w:p w14:paraId="725366FC" w14:textId="77777777" w:rsidR="00E2222D" w:rsidRDefault="00557B55"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
          <w:bCs/>
          <w:i/>
          <w:color w:val="000000"/>
          <w:sz w:val="20"/>
          <w:u w:val="single"/>
          <w:lang w:eastAsia="es-MX"/>
        </w:rPr>
        <w:t>Ahora bien, el hecho de que el referido artículo 71, por sí solo no contenga las conductas infractoras, no lo torna inconstitucional, pues dicho precepto se traduce en uno de los denominados “tipos administrativos en blanco”, que para su interpretación requiere de un complemento para integrarse plenamente</w:t>
      </w:r>
      <w:r w:rsidR="00D728F9" w:rsidRPr="00531B1A">
        <w:rPr>
          <w:rFonts w:ascii="ITC Avant Garde" w:eastAsia="Times New Roman" w:hAnsi="ITC Avant Garde"/>
          <w:b/>
          <w:bCs/>
          <w:i/>
          <w:color w:val="000000"/>
          <w:sz w:val="20"/>
          <w:lang w:eastAsia="es-MX"/>
        </w:rPr>
        <w:t>…</w:t>
      </w:r>
      <w:r w:rsidRPr="00531B1A">
        <w:rPr>
          <w:rFonts w:ascii="ITC Avant Garde" w:eastAsia="Times New Roman" w:hAnsi="ITC Avant Garde"/>
          <w:bCs/>
          <w:i/>
          <w:color w:val="000000"/>
          <w:sz w:val="20"/>
          <w:lang w:eastAsia="es-MX"/>
        </w:rPr>
        <w:t xml:space="preserve"> </w:t>
      </w:r>
    </w:p>
    <w:p w14:paraId="767AB74D" w14:textId="77777777" w:rsidR="00E2222D" w:rsidRDefault="00557B55" w:rsidP="00907F25">
      <w:pPr>
        <w:pStyle w:val="Listavistosa-nfasis11"/>
        <w:spacing w:after="240" w:line="360" w:lineRule="auto"/>
        <w:ind w:left="567"/>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En este punto, cabe mencionar que el derecho administrativo sancionador permite la remisión a fuentes infralegales, sin que ello se traduzca en un vicio de invalidez constitucional, debido a que la regulación de ciertas cuestiones técnicas (como las relativas a la materia de las telecomunicaciones), requiere de la coparticipación del Ejecutivo o de ciertos órganos constitucionales autónomos (en el caso, del Instituto Federal de Telecomunicaciones), circunstancia que no deja de garantizar la legalidad de la norma, porque el principio de reserva de ley pasa de ser absoluto, a ser relativo, como ocurre en este asunto.</w:t>
      </w:r>
    </w:p>
    <w:p w14:paraId="4127B2EC" w14:textId="77777777" w:rsidR="00E2222D" w:rsidRDefault="00D728F9"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w:t>
      </w:r>
    </w:p>
    <w:p w14:paraId="6A00A394" w14:textId="77777777" w:rsidR="00E2222D" w:rsidRDefault="00557B55" w:rsidP="00907F25">
      <w:pPr>
        <w:pStyle w:val="Listavistosa-nfasis11"/>
        <w:spacing w:after="240" w:line="360" w:lineRule="auto"/>
        <w:ind w:left="567"/>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 xml:space="preserve">Así, dada la naturaleza extremadamente técnica de la materia de que se trata, se encuentra justificado que el legislador haya hecho una remisión genérica a las disposiciones administrativas reglamentarias, que en el caso, se encuentran establecidas en los títulos de concesión. </w:t>
      </w:r>
    </w:p>
    <w:p w14:paraId="7D594877" w14:textId="77777777" w:rsidR="00E2222D" w:rsidRDefault="00D728F9" w:rsidP="00907F25">
      <w:pPr>
        <w:pStyle w:val="Listavistosa-nfasis11"/>
        <w:spacing w:after="240" w:line="360" w:lineRule="auto"/>
        <w:ind w:left="567"/>
        <w:jc w:val="both"/>
        <w:rPr>
          <w:rFonts w:ascii="ITC Avant Garde" w:eastAsia="Times New Roman" w:hAnsi="ITC Avant Garde"/>
          <w:bCs/>
          <w:i/>
          <w:color w:val="000000"/>
          <w:sz w:val="20"/>
          <w:lang w:eastAsia="es-MX"/>
        </w:rPr>
      </w:pPr>
      <w:r w:rsidRPr="00531B1A">
        <w:rPr>
          <w:rFonts w:ascii="ITC Avant Garde" w:eastAsia="Times New Roman" w:hAnsi="ITC Avant Garde"/>
          <w:bCs/>
          <w:i/>
          <w:color w:val="000000"/>
          <w:sz w:val="20"/>
          <w:lang w:eastAsia="es-MX"/>
        </w:rPr>
        <w:t>…</w:t>
      </w:r>
    </w:p>
    <w:p w14:paraId="13591DDE" w14:textId="77777777" w:rsidR="00E2222D" w:rsidRDefault="00557B55" w:rsidP="00907F25">
      <w:pPr>
        <w:pStyle w:val="Listavistosa-nfasis11"/>
        <w:spacing w:after="240" w:line="360" w:lineRule="auto"/>
        <w:ind w:left="567"/>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 xml:space="preserve">En efecto, la Suprema Corte de Justicia de la Nación ha establecido que los titulares de una concesión, son sujetos activos de reglas establecidas por el Estado en su función reguladora, y por tanto, se encuentran expuestos a normas punitivas que suponen un contexto diferenciado al de las normas penales, pues la legalidad de las primeras adquiere una mínima expresión del principio de reserva de ley por tratarse de sectores tecnificados y especializados. </w:t>
      </w:r>
    </w:p>
    <w:p w14:paraId="6F00773F" w14:textId="77777777" w:rsidR="00E2222D" w:rsidRDefault="00557B55" w:rsidP="00907F25">
      <w:pPr>
        <w:pStyle w:val="Listavistosa-nfasis11"/>
        <w:spacing w:after="240" w:line="360" w:lineRule="auto"/>
        <w:ind w:left="567"/>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 xml:space="preserve">Así, el Máximo Tribunal indicó que para cumplir con el principio de legalidad que rige a esas normas de derecho administrativo sancionador resulta innecesario que se </w:t>
      </w:r>
      <w:r w:rsidRPr="00531B1A">
        <w:rPr>
          <w:rFonts w:ascii="ITC Avant Garde" w:eastAsia="Times New Roman" w:hAnsi="ITC Avant Garde"/>
          <w:b/>
          <w:bCs/>
          <w:i/>
          <w:color w:val="000000"/>
          <w:sz w:val="20"/>
          <w:u w:val="single"/>
          <w:lang w:eastAsia="es-MX"/>
        </w:rPr>
        <w:lastRenderedPageBreak/>
        <w:t>encuentren establecidas en un solo precepto legal, ya que la conducta infractora puede integrarse por una pluralidad de instrumentos normativos, tales como las obligaciones y condiciones establecidas en un título de concesión, siempre y cuando guarden relación racional con el contenido de la ley y que el sujeto pasivo esté en aptitud de prever la conducta, pues de esa manera se cumple con los dos subprincipios en que se desenvuelve el principio de legalidad en comento: la reserva de ley y la tipicidad.</w:t>
      </w:r>
    </w:p>
    <w:p w14:paraId="0E80A82E" w14:textId="77777777" w:rsidR="00E2222D" w:rsidRDefault="00557B55" w:rsidP="00907F25">
      <w:pPr>
        <w:pStyle w:val="Listavistosa-nfasis11"/>
        <w:spacing w:after="240" w:line="360" w:lineRule="auto"/>
        <w:ind w:left="567"/>
        <w:jc w:val="both"/>
        <w:rPr>
          <w:rFonts w:ascii="ITC Avant Garde" w:eastAsia="Times New Roman" w:hAnsi="ITC Avant Garde"/>
          <w:b/>
          <w:bCs/>
          <w:i/>
          <w:color w:val="000000"/>
          <w:sz w:val="20"/>
          <w:u w:val="single"/>
          <w:lang w:eastAsia="es-MX"/>
        </w:rPr>
      </w:pPr>
      <w:r w:rsidRPr="00531B1A">
        <w:rPr>
          <w:rFonts w:ascii="ITC Avant Garde" w:eastAsia="Times New Roman" w:hAnsi="ITC Avant Garde"/>
          <w:b/>
          <w:bCs/>
          <w:i/>
          <w:color w:val="000000"/>
          <w:sz w:val="20"/>
          <w:u w:val="single"/>
          <w:lang w:eastAsia="es-MX"/>
        </w:rPr>
        <w:t>Bajo ese orden de ideas, se estima que la porción normativa que nos ocupa satisface el estándar constitucionalmente exigible, en virtud de que contiene una previsibilidad de la infracción (incumplir con las obligaciones y condiciones previstas en el título de concesión, aunado a que este último era del conocimiento de la parte quejosa), además de que prevé la sanción correspondiente.”</w:t>
      </w:r>
    </w:p>
    <w:p w14:paraId="0F69B326" w14:textId="77777777" w:rsidR="00E2222D" w:rsidRDefault="00557B55" w:rsidP="00907F25">
      <w:pPr>
        <w:spacing w:after="240" w:line="360" w:lineRule="auto"/>
        <w:jc w:val="both"/>
        <w:rPr>
          <w:rFonts w:ascii="ITC Avant Garde" w:eastAsia="Times New Roman" w:hAnsi="ITC Avant Garde"/>
          <w:bCs/>
          <w:color w:val="000000"/>
          <w:lang w:eastAsia="es-MX"/>
        </w:rPr>
      </w:pPr>
      <w:r w:rsidRPr="00310D70">
        <w:rPr>
          <w:rFonts w:ascii="ITC Avant Garde" w:eastAsia="Times New Roman" w:hAnsi="ITC Avant Garde"/>
          <w:bCs/>
          <w:color w:val="000000"/>
          <w:lang w:eastAsia="es-MX"/>
        </w:rPr>
        <w:t xml:space="preserve">Aunado a lo anterior, los Tribunales Primero y Segundo especializados en la materia han confirmado los criterios antes señalados en las ejecutorias emitidas en los amparos en revisión </w:t>
      </w:r>
      <w:r w:rsidRPr="00310D70">
        <w:rPr>
          <w:rFonts w:ascii="ITC Avant Garde" w:eastAsia="Times New Roman" w:hAnsi="ITC Avant Garde"/>
          <w:b/>
          <w:bCs/>
          <w:color w:val="000000"/>
          <w:lang w:eastAsia="es-MX"/>
        </w:rPr>
        <w:t>42/2015, 57/2015</w:t>
      </w:r>
      <w:r w:rsidRPr="00310D70">
        <w:rPr>
          <w:rFonts w:ascii="ITC Avant Garde" w:eastAsia="Times New Roman" w:hAnsi="ITC Avant Garde"/>
          <w:bCs/>
          <w:color w:val="000000"/>
          <w:lang w:eastAsia="es-MX"/>
        </w:rPr>
        <w:t xml:space="preserve"> y </w:t>
      </w:r>
      <w:r w:rsidRPr="00310D70">
        <w:rPr>
          <w:rFonts w:ascii="ITC Avant Garde" w:eastAsia="Times New Roman" w:hAnsi="ITC Avant Garde"/>
          <w:b/>
          <w:bCs/>
          <w:color w:val="000000"/>
          <w:lang w:eastAsia="es-MX"/>
        </w:rPr>
        <w:t>70/2015 y 55/2015</w:t>
      </w:r>
      <w:r w:rsidRPr="00310D70">
        <w:rPr>
          <w:rFonts w:ascii="ITC Avant Garde" w:eastAsia="Times New Roman" w:hAnsi="ITC Avant Garde"/>
          <w:bCs/>
          <w:color w:val="000000"/>
          <w:lang w:eastAsia="es-MX"/>
        </w:rPr>
        <w:t>, respectivamente.</w:t>
      </w:r>
    </w:p>
    <w:p w14:paraId="5DB4C322" w14:textId="77777777" w:rsidR="00E2222D" w:rsidRDefault="00557B55" w:rsidP="00907F25">
      <w:pPr>
        <w:spacing w:after="240" w:line="360" w:lineRule="auto"/>
        <w:jc w:val="both"/>
        <w:rPr>
          <w:rFonts w:ascii="ITC Avant Garde" w:eastAsia="Times New Roman" w:hAnsi="ITC Avant Garde"/>
          <w:bCs/>
          <w:color w:val="000000"/>
          <w:lang w:eastAsia="es-MX"/>
        </w:rPr>
      </w:pPr>
      <w:r w:rsidRPr="00310D70">
        <w:rPr>
          <w:rFonts w:ascii="ITC Avant Garde" w:eastAsia="Times New Roman" w:hAnsi="ITC Avant Garde"/>
          <w:bCs/>
          <w:color w:val="000000"/>
          <w:lang w:eastAsia="es-MX"/>
        </w:rPr>
        <w:t xml:space="preserve">Para una mejor </w:t>
      </w:r>
      <w:r w:rsidR="00925B13">
        <w:rPr>
          <w:rFonts w:ascii="ITC Avant Garde" w:eastAsia="Times New Roman" w:hAnsi="ITC Avant Garde"/>
          <w:bCs/>
          <w:color w:val="000000"/>
          <w:lang w:eastAsia="es-MX"/>
        </w:rPr>
        <w:t>apreciación</w:t>
      </w:r>
      <w:r w:rsidR="00925B13" w:rsidRPr="00310D70">
        <w:rPr>
          <w:rFonts w:ascii="ITC Avant Garde" w:eastAsia="Times New Roman" w:hAnsi="ITC Avant Garde"/>
          <w:bCs/>
          <w:color w:val="000000"/>
          <w:lang w:eastAsia="es-MX"/>
        </w:rPr>
        <w:t xml:space="preserve"> </w:t>
      </w:r>
      <w:r w:rsidRPr="00310D70">
        <w:rPr>
          <w:rFonts w:ascii="ITC Avant Garde" w:eastAsia="Times New Roman" w:hAnsi="ITC Avant Garde"/>
          <w:bCs/>
          <w:color w:val="000000"/>
          <w:lang w:eastAsia="es-MX"/>
        </w:rPr>
        <w:t>de dichas ejecutorias se citan a continuación:</w:t>
      </w:r>
    </w:p>
    <w:p w14:paraId="2303B973" w14:textId="77777777" w:rsidR="00E2222D" w:rsidRDefault="00557B55" w:rsidP="00907F25">
      <w:pPr>
        <w:pStyle w:val="Listavistosa-nfasis11"/>
        <w:numPr>
          <w:ilvl w:val="0"/>
          <w:numId w:val="37"/>
        </w:numPr>
        <w:spacing w:after="240" w:line="360" w:lineRule="auto"/>
        <w:ind w:left="567" w:hanging="567"/>
        <w:jc w:val="both"/>
        <w:rPr>
          <w:rFonts w:ascii="ITC Avant Garde" w:eastAsia="Times New Roman" w:hAnsi="ITC Avant Garde"/>
          <w:b/>
          <w:bCs/>
          <w:color w:val="000000"/>
          <w:sz w:val="20"/>
          <w:szCs w:val="20"/>
          <w:lang w:eastAsia="es-MX"/>
        </w:rPr>
      </w:pPr>
      <w:r w:rsidRPr="00531B1A">
        <w:rPr>
          <w:rFonts w:ascii="ITC Avant Garde" w:eastAsia="Times New Roman" w:hAnsi="ITC Avant Garde"/>
          <w:b/>
          <w:bCs/>
          <w:color w:val="000000"/>
          <w:sz w:val="20"/>
          <w:szCs w:val="20"/>
          <w:lang w:eastAsia="es-MX"/>
        </w:rPr>
        <w:t xml:space="preserve">Primer Tribunal </w:t>
      </w:r>
      <w:r w:rsidR="00531B1A" w:rsidRPr="00531B1A">
        <w:rPr>
          <w:rFonts w:ascii="ITC Avant Garde" w:eastAsia="Times New Roman" w:hAnsi="ITC Avant Garde"/>
          <w:b/>
          <w:bCs/>
          <w:color w:val="000000"/>
          <w:sz w:val="20"/>
          <w:szCs w:val="20"/>
          <w:lang w:eastAsia="es-MX"/>
        </w:rPr>
        <w:t xml:space="preserve">Colegiado en </w:t>
      </w:r>
      <w:r w:rsidRPr="00531B1A">
        <w:rPr>
          <w:rFonts w:ascii="ITC Avant Garde" w:eastAsia="Times New Roman" w:hAnsi="ITC Avant Garde"/>
          <w:b/>
          <w:bCs/>
          <w:color w:val="000000"/>
          <w:sz w:val="20"/>
          <w:szCs w:val="20"/>
          <w:lang w:eastAsia="es-MX"/>
        </w:rPr>
        <w:t>Materia Administrativa, Especializado en Competencia Económica, Radiodifusión y Telecomunicaciones, con residencia en el Distrito Federal y jurisdicción en toda la República, amparo en revisión 42/2015, que en la parte que interesa señala:</w:t>
      </w:r>
    </w:p>
    <w:p w14:paraId="4CCBD207" w14:textId="7AAEE7E8"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w:t>
      </w:r>
    </w:p>
    <w:p w14:paraId="3060E4B1"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155. En este sentido, la recurrente sostiene en esencia, que la juez no observa el principio de tipicidad, el cual debe aplicarse obligatoriamente a cualquier acto de naturaleza administrativa, pues el precepto legal que se estimó infringido no prevé infracción alguna. </w:t>
      </w:r>
    </w:p>
    <w:p w14:paraId="71015B02"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156. Por su parte, al dar respuesta a este argumento, la juez sostuvo que si bien es verdad el artículo 71, apartado C), fracción V, de la Ley Federal de Telecomunicaciones que menciona: “Las Infracciones a lo dispuesto en esta Ley, se sancionarán por la Secretaría de conformidad con lo siguiente (…) C. Con multa de 2,000 a 20,000 salarios mínimos …”, por sí solo no contiene la conducta infractora, </w:t>
      </w:r>
      <w:r w:rsidRPr="00531B1A">
        <w:rPr>
          <w:rFonts w:ascii="ITC Avant Garde" w:hAnsi="ITC Avant Garde"/>
          <w:b/>
          <w:i/>
          <w:sz w:val="20"/>
          <w:szCs w:val="20"/>
          <w:u w:val="single"/>
        </w:rPr>
        <w:t>lo cierto es que dicho precepto se traduce en uno de los denominados “tipos administrativos en blanco”, los cuales en su interpretación requieren de un complemento para integrarse plenamente</w:t>
      </w:r>
      <w:r w:rsidRPr="00531B1A">
        <w:rPr>
          <w:rFonts w:ascii="ITC Avant Garde" w:hAnsi="ITC Avant Garde"/>
          <w:i/>
          <w:sz w:val="20"/>
          <w:szCs w:val="20"/>
        </w:rPr>
        <w:t xml:space="preserve"> como en el </w:t>
      </w:r>
      <w:r w:rsidRPr="00531B1A">
        <w:rPr>
          <w:rFonts w:ascii="ITC Avant Garde" w:hAnsi="ITC Avant Garde"/>
          <w:i/>
          <w:sz w:val="20"/>
          <w:szCs w:val="20"/>
        </w:rPr>
        <w:lastRenderedPageBreak/>
        <w:t>caso sucede con el artículo 11, fracción I, de la misma ley, de ahí que deba entenderse que la conducta infractora se encuentra tipificada de forma conjunta en estos numerales, tal y como quedó establecido en la resolución reclamada.</w:t>
      </w:r>
    </w:p>
    <w:p w14:paraId="02F7BFFA" w14:textId="77777777" w:rsidR="00E2222D" w:rsidRDefault="00557B55" w:rsidP="00907F25">
      <w:pPr>
        <w:pStyle w:val="Listavistosa-nfasis11"/>
        <w:spacing w:after="240" w:line="360" w:lineRule="auto"/>
        <w:ind w:left="567"/>
        <w:jc w:val="both"/>
        <w:rPr>
          <w:rFonts w:ascii="ITC Avant Garde" w:hAnsi="ITC Avant Garde"/>
          <w:b/>
          <w:i/>
          <w:sz w:val="20"/>
          <w:szCs w:val="20"/>
          <w:u w:val="single"/>
        </w:rPr>
      </w:pPr>
      <w:r w:rsidRPr="00531B1A">
        <w:rPr>
          <w:rFonts w:ascii="ITC Avant Garde" w:hAnsi="ITC Avant Garde"/>
          <w:i/>
          <w:sz w:val="20"/>
          <w:szCs w:val="20"/>
        </w:rPr>
        <w:t xml:space="preserve">157. </w:t>
      </w:r>
      <w:r w:rsidRPr="00531B1A">
        <w:rPr>
          <w:rFonts w:ascii="ITC Avant Garde" w:hAnsi="ITC Avant Garde"/>
          <w:b/>
          <w:i/>
          <w:sz w:val="20"/>
          <w:szCs w:val="20"/>
          <w:u w:val="single"/>
        </w:rPr>
        <w:t xml:space="preserve">Así, la juez básicamente sostiene que se está en presencia de un tipo administrativo en blanco que para su configuración necesita de la lectura en conjunto </w:t>
      </w:r>
      <w:r w:rsidRPr="00531B1A">
        <w:rPr>
          <w:rFonts w:ascii="ITC Avant Garde" w:hAnsi="ITC Avant Garde"/>
          <w:i/>
          <w:sz w:val="20"/>
          <w:szCs w:val="20"/>
        </w:rPr>
        <w:t xml:space="preserve">de los artículo 71, apartado C), fracción V, y 11, fracción I, de la Ley Federal de Telecomunicaciones, pues al haberse incumplido con la obligación prevista en el último de los numerales citados, es que se aplicó la sanción prevista en el primero, </w:t>
      </w:r>
      <w:r w:rsidRPr="00531B1A">
        <w:rPr>
          <w:rFonts w:ascii="ITC Avant Garde" w:hAnsi="ITC Avant Garde"/>
          <w:b/>
          <w:i/>
          <w:sz w:val="20"/>
          <w:szCs w:val="20"/>
          <w:u w:val="single"/>
        </w:rPr>
        <w:t xml:space="preserve">de ahí que no exista violación al principio de tipicidad. </w:t>
      </w:r>
    </w:p>
    <w:p w14:paraId="2C128E6A"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158. Consideraciones que no son desvirtuadas en modo alguno por la ahora recurrente, por lo que </w:t>
      </w:r>
      <w:r w:rsidRPr="00531B1A">
        <w:rPr>
          <w:rFonts w:ascii="ITC Avant Garde" w:hAnsi="ITC Avant Garde"/>
          <w:b/>
          <w:i/>
          <w:sz w:val="20"/>
          <w:szCs w:val="20"/>
          <w:u w:val="single"/>
        </w:rPr>
        <w:t>deben desestimarse por inoperantes</w:t>
      </w:r>
      <w:r w:rsidRPr="00531B1A">
        <w:rPr>
          <w:rFonts w:ascii="ITC Avant Garde" w:hAnsi="ITC Avant Garde"/>
          <w:i/>
          <w:sz w:val="20"/>
          <w:szCs w:val="20"/>
        </w:rPr>
        <w:t>.”</w:t>
      </w:r>
    </w:p>
    <w:p w14:paraId="7619862D" w14:textId="77777777" w:rsidR="00E2222D" w:rsidRDefault="00557B55" w:rsidP="00907F25">
      <w:pPr>
        <w:pStyle w:val="Listavistosa-nfasis11"/>
        <w:numPr>
          <w:ilvl w:val="0"/>
          <w:numId w:val="37"/>
        </w:numPr>
        <w:spacing w:after="240" w:line="360" w:lineRule="auto"/>
        <w:ind w:left="567" w:hanging="567"/>
        <w:jc w:val="both"/>
        <w:rPr>
          <w:rFonts w:ascii="ITC Avant Garde" w:eastAsia="Times New Roman" w:hAnsi="ITC Avant Garde"/>
          <w:b/>
          <w:bCs/>
          <w:color w:val="000000"/>
          <w:sz w:val="20"/>
          <w:szCs w:val="20"/>
          <w:lang w:eastAsia="es-MX"/>
        </w:rPr>
      </w:pPr>
      <w:r w:rsidRPr="00531B1A">
        <w:rPr>
          <w:rFonts w:ascii="ITC Avant Garde" w:eastAsia="Times New Roman" w:hAnsi="ITC Avant Garde"/>
          <w:b/>
          <w:bCs/>
          <w:color w:val="000000"/>
          <w:sz w:val="20"/>
          <w:szCs w:val="20"/>
          <w:lang w:eastAsia="es-MX"/>
        </w:rPr>
        <w:t xml:space="preserve">Primer Tribunal Colegiado </w:t>
      </w:r>
      <w:r w:rsidRPr="00531B1A">
        <w:rPr>
          <w:rStyle w:val="apple-converted-space"/>
          <w:rFonts w:ascii="ITC Avant Garde" w:hAnsi="ITC Avant Garde" w:cs="Arial"/>
          <w:color w:val="666666"/>
          <w:sz w:val="20"/>
          <w:szCs w:val="20"/>
          <w:shd w:val="clear" w:color="auto" w:fill="FBF9F0"/>
        </w:rPr>
        <w:t> </w:t>
      </w:r>
      <w:r w:rsidRPr="00531B1A">
        <w:rPr>
          <w:rFonts w:ascii="ITC Avant Garde" w:eastAsia="Times New Roman" w:hAnsi="ITC Avant Garde"/>
          <w:b/>
          <w:bCs/>
          <w:color w:val="000000"/>
          <w:sz w:val="20"/>
          <w:szCs w:val="20"/>
          <w:lang w:eastAsia="es-MX"/>
        </w:rPr>
        <w:t>en Materia Administrativa, Especializado en Competencia Económica, Radiodifusión y Telecomunicaciones, con residencia en el Distrito Federal y jurisdicción en toda la República, amparo en revisión 70/2015, que en la parte que interesa señala:</w:t>
      </w:r>
    </w:p>
    <w:p w14:paraId="0EB4639E" w14:textId="5EEE46A8"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w:t>
      </w:r>
    </w:p>
    <w:p w14:paraId="6A047FC8"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ii) El artículo 71 Apartados B, fracción IV, y C, fracción V, de la LFT, no prevé como conducta sancionable el que se hubiere presentado un documento para acreditar los avances tecnológicos aun cuando a éste no se le otorgue valor probatorio alguno. </w:t>
      </w:r>
    </w:p>
    <w:p w14:paraId="25EB31E3"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La ahora recurrente aduce que la jueza de distrito incorrectamente señaló que la autoridad responsable fundó y motivo debidamente la resolución reclamada en la que se le impusieron tres multas, sin tomar en cuenta que la autoridad responsable emitió tal determinación en contravención al principio de legalidad, ya que las conductas por las que se le sancionó no se encuentran expresamente previstas en el artículo 71, apartado B, fracción IV, y apartado C, fracción IV, de la LFT; además que no incumplió las condiciones 1.15 y 3.3 de su título de concesión y 10 del anexo del acuerdo por el que se modificó la concesión; empero, dicha inconforme no combate las consideraciones por la que la jueza de distrito estableció que: </w:t>
      </w:r>
    </w:p>
    <w:p w14:paraId="6579DD12"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 es infundada la aseveración de la sociedad quejosa, respecto de que la autoridad responsable no fundó ni motivó debidamente su resolución, al haberle impuesto una sanción por conductas que no se encuentran expresamente previstas en el artículo 71, </w:t>
      </w:r>
      <w:r w:rsidRPr="00531B1A">
        <w:rPr>
          <w:rFonts w:ascii="ITC Avant Garde" w:hAnsi="ITC Avant Garde"/>
          <w:i/>
          <w:sz w:val="20"/>
          <w:szCs w:val="20"/>
        </w:rPr>
        <w:lastRenderedPageBreak/>
        <w:t xml:space="preserve">apartado B, fracción IV, y apartado C, fracción IV, de la Ley Federal de Telecomunicaciones (foja 47). </w:t>
      </w:r>
    </w:p>
    <w:p w14:paraId="48188820"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Para sustentar tal aserto, es menester precisar el contenido del precepto legal en comento, el cual es del tenor siguiente: </w:t>
      </w:r>
    </w:p>
    <w:p w14:paraId="3C1E1D85"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“Artículo 71. Las infracciones a lo dispuesto en esta Ley, se sancionarán por la Secretaría de conformidad con lo siguiente: […] B. Con multa de ********** salarios mínimos por:</w:t>
      </w:r>
    </w:p>
    <w:p w14:paraId="6036CEB5" w14:textId="702AFC4E"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 IV. No cumplir con las obligaciones o condiciones establecidas en los títulos de concesión o permiso. </w:t>
      </w:r>
    </w:p>
    <w:p w14:paraId="31A4DC7B" w14:textId="77777777"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 </w:t>
      </w:r>
    </w:p>
    <w:p w14:paraId="1CAB35A6" w14:textId="77777777"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C. Con multa de ********** salarios mínimos por: […] IV. Incurrir en violaciones a las disposiciones de información y registro contempladas en la presente Ley, y </w:t>
      </w:r>
    </w:p>
    <w:p w14:paraId="635D985C"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w:t>
      </w:r>
    </w:p>
    <w:p w14:paraId="70CF46CC"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Como se observa, el numeral transcrito establece sendas multas, las cuales podrán oscilar entre ********** veces el importe del salario mínimo general vigente en el Distrito Federal, en la fecha en que se incurra en la falta, por incumplir con las obligaciones o condiciones establecidas en los títulos de concesión, o entre ********** por incurrir en violaciones a las disposiciones de información y registro contempladas en la propia Ley Federal de Telecomunicaciones.</w:t>
      </w:r>
    </w:p>
    <w:p w14:paraId="197FFFA9" w14:textId="18AAF03E"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En ese sentido, si se toma en consideración que las tres multas que le impusieron, se debieron al incumplimiento de las condiciones 1.15 de su título de concesión, y 10 del anexo del Acuerdo que modificó su título de concesión, publicado en el Diario Oficial de la Federación el siete de octubre de dos mil tres, así como a la diversa condición 3.3, en relación con el artículo 68 de la Ley Federal de Telecomunicaciones, por no haber acreditado la realización de las labores de investigación a que se encontraba constreñida, la homologación de los equipos que utilizaba para el servicio de transmisión bidireccional de datos, ni la autorización previa de sus sistema de facturación, resulta factible estimar que con su incumplimiento se actualizan las hipótesis contenidas en el artículo 71, apartado B, fracción IV, y apartado C, fracción IV, de la Ley Federal de Telecomunicaciones.</w:t>
      </w:r>
    </w:p>
    <w:p w14:paraId="448094C2"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De lo que se sigue que, en contraposición a lo argumentado por la parte quejosa, el precepto jurídico a que se hizo referencia en el considerando quinto de la resolución </w:t>
      </w:r>
      <w:r w:rsidRPr="00531B1A">
        <w:rPr>
          <w:rFonts w:ascii="ITC Avant Garde" w:hAnsi="ITC Avant Garde"/>
          <w:i/>
          <w:sz w:val="20"/>
          <w:szCs w:val="20"/>
        </w:rPr>
        <w:lastRenderedPageBreak/>
        <w:t>reclamada, sí regula las conductas por las cuales se determinó la imposición de la sanción pecuniaria de que se trata.</w:t>
      </w:r>
    </w:p>
    <w:p w14:paraId="5537BDBA"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En la inteligencia de que si bien el referido artículo 71, por sí solo no contiene las conductas infractoras, lo cierto es que dicho precepto se traduce en uno de los denominados “tipos administrativos en blanco”, que para su interpretación requieren de un complemento para integrarse plenamente, como en el caso sucede con el propio título de concesión de la parte impetrante de amparo, y el diverso numeral 68 de la misma ley; de ahí que deba entenderse que la conducta infractora se encuentra tipificada de forma conjunta en estas disposiciones, tal como quedó establecido en la resolución reclamada.</w:t>
      </w:r>
    </w:p>
    <w:p w14:paraId="15E3D0BE"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Sirve de sustento a lo anterior, la tesis aislada 1a. CCCXIX/2014 (10a.), emitida por la Primera Sala de la Suprema Corte de Justicia de la Nación, consultable en la Gaceta del Semanario Judicial de la Federación, Décima Época, libro 10, septiembre de dos mil catorce, tomo I, página 592, que indica:</w:t>
      </w:r>
    </w:p>
    <w:p w14:paraId="285891A9"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‘TIPOS ADMINISTRATIVOS EN BLANCO. SON CONSTITUCIONALES SI SE JUSTIFICAN EN EL MODELO DE ESTADO REGULADOR.’ (Se transcribe contenido).</w:t>
      </w:r>
    </w:p>
    <w:p w14:paraId="620823AA"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Habida cuenta de que la parte quejosa es titular de una concesión para instalar, operar y explotar una red pública de telecomunicaciones, por lo cual es sujeto activo en un mercado regulado y sus obligaciones tienen distintas fuentes jurídicas vinculantes y no sólo leyes, por lo que es constitucionalmente válido que una norma legal disponga que se le ha de sancionar cuando incumpla obligaciones establecidas en la propia ley o en las condiciones de su título de concesión, siempre que constituya una predeterminación inteligible, esto es, que no se trate de obligaciones imprecisas o vagas, y que se prevea la sanción correspondiente, lo cual en el caso sí aconteció.</w:t>
      </w:r>
    </w:p>
    <w:p w14:paraId="444B0B53"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Sobre el tema, resulta ilustrativa la tesis aislada 1ª.CCCXVIII/2014 (10ª.), de la referida Primera Sala del Máximo Tribunal, consultable en la página 588, del Libro 10, septiembre de dos mil catorce, tomo I, del Semanario Judicial de la Federación y su Gaceta, Décima Época, de rubro y texto :</w:t>
      </w:r>
    </w:p>
    <w:p w14:paraId="70627D03"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“PRINCIPIO DE LEGALIDAD. MODULACIÓN APLICABLE A LA VERTIENTE SANCIONATORIA DEL MODELO DEL ESTADO REGULADOR.’ (Se transcribe contenido).</w:t>
      </w:r>
    </w:p>
    <w:p w14:paraId="20546CEA"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En efecto, la Suprema Corte de Justicia de la Nación ha establecido que el principio de legalidad no requiere que la ley agote toda su regulación en un solo artículo, ya que la conducta puede integrarse mediante distintas previsiones, que guardan relación </w:t>
      </w:r>
      <w:r w:rsidRPr="00531B1A">
        <w:rPr>
          <w:rFonts w:ascii="ITC Avant Garde" w:hAnsi="ITC Avant Garde"/>
          <w:i/>
          <w:sz w:val="20"/>
          <w:szCs w:val="20"/>
        </w:rPr>
        <w:lastRenderedPageBreak/>
        <w:t>sistemática, ni tampoco exige que todos los elementos principales y accesorios de la conducta se agoten en estas previsiones legales, pues se ha aceptado que la conducta infractora se integre con lo establecido en los reglamentos y lo prescrito en los permisos, concesiones, autorización o demás actos administrativos adquiriendo suficiencia constitucional cuando el sujeto pasivo está en aptitud de prever la multa por su conducta y el contenido obligacional a que esté vinculado el particular esté estrechamente relacionado con la ley, pues así se cumple con los dos subprincipios en que se desenvuelve el principio de legalidad: la reserva de ley y la tipicidad.”.</w:t>
      </w:r>
    </w:p>
    <w:p w14:paraId="603C9CB0"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De la transcripción precedente, se aprecia que la jueza estableció lo siguiente:</w:t>
      </w:r>
    </w:p>
    <w:p w14:paraId="7E12EFEB"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a) Las multas se impusieron por incumplirse las condiciones 1.15 de la aludida concesión, y 10 del anexo del Acuerdo que modificó la concesión, publicado en el Diario Oficial de la Federación el siete de octubre de dos mil tres, así como a la diversa condición 3.3, en relación con el artículo 68 de la LFT, por no haber acreditado la realización de las labores de investigación a que se encontraba constreñida, la homologación de los equipos que utilizaba para el servicio de transmisión bidireccional de datos ni la autorización previa de sus sistema de facturación, lo que dio lugar a que la autoridad responsable determinara que ese incumplimiento daba lugar a que se actualizara la hipótesis contenida en el artículo 71, apartado B, fracción IV, y apartado C, fracción IV, de la LFT.</w:t>
      </w:r>
    </w:p>
    <w:p w14:paraId="71300B82" w14:textId="1053E8B4"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b) Si bien en el precepto legal aludido no se consigna expresamente la conducta infractora, es inconcuso que sí se está en el supuesto denominado “tipo administrativo en blanco” en el que para su interpretación requiere de un complemento para integrarse plenamente, como en el caso sucede con el propio título de concesión de la parte impetrante de amparo, y el diverso numeral 68 de la misma ley; de ahí que, deba entenderse que la conducta infractora se encuentra tipificada de forma conjunta en estas disposiciones, tal como quedó establecido en la resolución reclamada</w:t>
      </w:r>
    </w:p>
    <w:p w14:paraId="6AF96864"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c) La quejosa es titular de una concesión para instalar, operar y explotar una red pública de telecomunicaciones, por lo que atendiendo a esa circunstancia se le considera que participa activamente en un mercado regulado, por lo que sus obligaciones derivan de distintas fuentes jurídicas vinculantes y no sólo de leyes; por tanto, es constitucionalmente válido que una norma legal disponga que se le habrá de sancionar cuando incumpla obligaciones establecidas en la propia ley o en las condiciones de su título de concesión, siempre que constituya una predeterminación inteligible, esto es, que no se trate de </w:t>
      </w:r>
      <w:r w:rsidRPr="00531B1A">
        <w:rPr>
          <w:rFonts w:ascii="ITC Avant Garde" w:hAnsi="ITC Avant Garde"/>
          <w:i/>
          <w:sz w:val="20"/>
          <w:szCs w:val="20"/>
        </w:rPr>
        <w:lastRenderedPageBreak/>
        <w:t>obligaciones imprecisas o vagas, y que se prevea la sanción correspondiente, lo cual en el caso sí aconteció.</w:t>
      </w:r>
    </w:p>
    <w:p w14:paraId="539C03BC" w14:textId="77777777" w:rsidR="00E2222D" w:rsidRDefault="006D3532"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 </w:t>
      </w:r>
    </w:p>
    <w:p w14:paraId="232D7B63" w14:textId="77777777" w:rsidR="00E2222D" w:rsidRDefault="00557B55" w:rsidP="00907F25">
      <w:pPr>
        <w:pStyle w:val="Listavistosa-nfasis11"/>
        <w:numPr>
          <w:ilvl w:val="0"/>
          <w:numId w:val="37"/>
        </w:numPr>
        <w:spacing w:after="240" w:line="360" w:lineRule="auto"/>
        <w:ind w:left="567" w:hanging="567"/>
        <w:jc w:val="both"/>
        <w:rPr>
          <w:rFonts w:ascii="ITC Avant Garde" w:eastAsia="Times New Roman" w:hAnsi="ITC Avant Garde"/>
          <w:b/>
          <w:bCs/>
          <w:color w:val="000000"/>
          <w:sz w:val="20"/>
          <w:szCs w:val="20"/>
          <w:lang w:eastAsia="es-MX"/>
        </w:rPr>
      </w:pPr>
      <w:r w:rsidRPr="00531B1A">
        <w:rPr>
          <w:rFonts w:ascii="ITC Avant Garde" w:eastAsia="Times New Roman" w:hAnsi="ITC Avant Garde"/>
          <w:b/>
          <w:bCs/>
          <w:color w:val="000000"/>
          <w:sz w:val="20"/>
          <w:szCs w:val="20"/>
          <w:lang w:eastAsia="es-MX"/>
        </w:rPr>
        <w:t>Segundo Tribunal Colegiado</w:t>
      </w:r>
      <w:r w:rsidRPr="00531B1A">
        <w:rPr>
          <w:rStyle w:val="apple-converted-space"/>
          <w:rFonts w:ascii="ITC Avant Garde" w:hAnsi="ITC Avant Garde" w:cs="Arial"/>
          <w:color w:val="666666"/>
          <w:sz w:val="20"/>
          <w:szCs w:val="20"/>
          <w:shd w:val="clear" w:color="auto" w:fill="FBF9F0"/>
        </w:rPr>
        <w:t> </w:t>
      </w:r>
      <w:r w:rsidRPr="00531B1A">
        <w:rPr>
          <w:rFonts w:ascii="ITC Avant Garde" w:eastAsia="Times New Roman" w:hAnsi="ITC Avant Garde"/>
          <w:b/>
          <w:bCs/>
          <w:color w:val="000000"/>
          <w:sz w:val="20"/>
          <w:szCs w:val="20"/>
          <w:lang w:eastAsia="es-MX"/>
        </w:rPr>
        <w:t>en Materia Administrativa, Especializado en Competencia Económica, Radiodifusión y Telecomunicaciones, con residencia en el Distrito Federal y jurisdicción en toda la República, amparo en revisión 55/2015, que en la parte que interesa señala:</w:t>
      </w:r>
    </w:p>
    <w:p w14:paraId="7A0105A8" w14:textId="23482E85"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w:t>
      </w:r>
    </w:p>
    <w:p w14:paraId="025AD454"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La juez de distrito dijo que la regulación a partir de la cual se había sancionado a la quejosa no era vaga o imprecisa ni, por ende, violatoria del principio de tipicidad, en tanto que la adminiculación del artículo 71, apartado B, fracción IV, de la Ley Federal de Telecomunicaciones y la condición 2.4 de su título de concesión, conducía a considerar, como una predeterminación inteligible, que la conducta infractora estaba constituida por el incumplimiento de las obligaciones plasmadas en dicho título de concesión, particularmente aquélla relativa a la calibración de su equipo de medición de calidad de la red y a proporcionar los resultados respectivos; y, que la sanción respectiva oscilaba entre cuatro mil y cuarenta mil salarios mínimos.</w:t>
      </w:r>
    </w:p>
    <w:p w14:paraId="49FB44B4"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Consideración que se ajusta a derecho; sobre lo cual conviene señalar que el principio de tipicidad está tutelado por el artículo 14, párrafo tercero, constitucional y exige la determinación clara y precisa en la ley de la conducta que se considere contraria a derecho, así como la sanción correspondiente; pero, tratándose de derecho administrativo sancionador, es factible que la ley aplicable remita a fuentes infralegales, de tal manera que la integración entre ambas genere certeza al gobernado sobre la conducta infractora y su sanción -tipos abiertos o blancos-.</w:t>
      </w:r>
    </w:p>
    <w:p w14:paraId="36026C9B"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 xml:space="preserve">Es aplicable la tesis aislada CCCXIX/2014, visible en la página quinientos noventa y dos, libro 10, septiembre de 2014, tomo I, Primera Sala de la Suprema Corte de Justicia de la Nación, Décima Época, Gaceta del Semanario Judicial de la Federación, que dice: </w:t>
      </w:r>
    </w:p>
    <w:p w14:paraId="759D6C52" w14:textId="47878B93"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“TIPOS ADMINISTRATIVOS EN BLANCO. SON CONSTITUCIONALES SI SE JUSTIFICAN EN EL MODELO DE ESTADO REGULADOR. (TRANSCRIBE)</w:t>
      </w:r>
    </w:p>
    <w:p w14:paraId="16642384"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w:t>
      </w:r>
    </w:p>
    <w:p w14:paraId="0485D5C4" w14:textId="160D46DC" w:rsidR="00557B55" w:rsidRPr="00531B1A"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lastRenderedPageBreak/>
        <w:t>Esto es, que es infracción a dicha ley el incumplimiento de las obligaciones y/o condiciones introducidas en los títulos de concesión o permiso y que tal infracción es sancionable con multa de cuatro mil a cuarenta mil salarios mínimos.</w:t>
      </w:r>
    </w:p>
    <w:p w14:paraId="6968A332"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Por su parte, la condición 2.4. Equipo de medición y control de calidad, del título de concesión de la quejosa, anteriormente transcrita y que se consideró incumplida en la especie, establece, en la parte que interesa, que el concesionario queda obligado a proporcionar a la autoridad respectiva los resultados de las pruebas de calibración que efectúe sobre los equipos que utilice para la medición de la calidad y para la facturación de los servicios.</w:t>
      </w:r>
    </w:p>
    <w:p w14:paraId="1CD6A7CA"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La adminiculación de los anteriores elementos conduce a concluir que la conducta infractora está constituida por la omisión de la concesionaria de cumplir la condición últimamente referida y, en ese sentido, de proporcionar a la autoridad respectiva los resultados de las pruebas de calibración que efectúe sobre los equipos que utilice para la medición de la calidad y para la facturación de los servicios; y, que a dicha conducta infractora corresponde una sanción consistente en una multa que oscila entre cuatro mil y cuarenta mil salarios mínimos.</w:t>
      </w:r>
    </w:p>
    <w:p w14:paraId="123177CD" w14:textId="77777777" w:rsidR="00E2222D" w:rsidRDefault="00557B55" w:rsidP="00907F25">
      <w:pPr>
        <w:pStyle w:val="Listavistosa-nfasis11"/>
        <w:spacing w:after="240" w:line="360" w:lineRule="auto"/>
        <w:ind w:left="567"/>
        <w:jc w:val="both"/>
        <w:rPr>
          <w:rFonts w:ascii="ITC Avant Garde" w:hAnsi="ITC Avant Garde"/>
          <w:i/>
          <w:sz w:val="20"/>
          <w:szCs w:val="20"/>
        </w:rPr>
      </w:pPr>
      <w:r w:rsidRPr="00531B1A">
        <w:rPr>
          <w:rFonts w:ascii="ITC Avant Garde" w:hAnsi="ITC Avant Garde"/>
          <w:i/>
          <w:sz w:val="20"/>
          <w:szCs w:val="20"/>
        </w:rPr>
        <w:t>Así pues, dado que las fuentes legal e infralegal anteriormente aludidas indican de manera clara y precisa, tanto la conducta infractora, como su sanción, es evidente que, tal como resolvió la juez federal, no existe contravención al principio de tipicidad.”</w:t>
      </w:r>
    </w:p>
    <w:p w14:paraId="067E5C6E" w14:textId="77777777" w:rsidR="00E2222D" w:rsidRDefault="00557B55" w:rsidP="00907F25">
      <w:pPr>
        <w:spacing w:after="240" w:line="360" w:lineRule="auto"/>
        <w:jc w:val="both"/>
        <w:rPr>
          <w:rFonts w:ascii="ITC Avant Garde" w:hAnsi="ITC Avant Garde"/>
          <w:color w:val="000000"/>
        </w:rPr>
      </w:pPr>
      <w:r w:rsidRPr="00B215CD">
        <w:rPr>
          <w:rFonts w:ascii="ITC Avant Garde" w:hAnsi="ITC Avant Garde"/>
          <w:color w:val="000000"/>
        </w:rPr>
        <w:t xml:space="preserve">De </w:t>
      </w:r>
      <w:r w:rsidR="00972418">
        <w:rPr>
          <w:rFonts w:ascii="ITC Avant Garde" w:hAnsi="ITC Avant Garde"/>
          <w:color w:val="000000"/>
        </w:rPr>
        <w:t xml:space="preserve">todo lo anterior </w:t>
      </w:r>
      <w:r w:rsidRPr="00B215CD">
        <w:rPr>
          <w:rFonts w:ascii="ITC Avant Garde" w:hAnsi="ITC Avant Garde"/>
          <w:color w:val="000000"/>
        </w:rPr>
        <w:t xml:space="preserve">se concluye que, </w:t>
      </w:r>
      <w:r w:rsidR="006D3532" w:rsidRPr="00B215CD">
        <w:rPr>
          <w:rFonts w:ascii="ITC Avant Garde" w:hAnsi="ITC Avant Garde"/>
          <w:color w:val="000000"/>
        </w:rPr>
        <w:t xml:space="preserve">resulta aplicable al presente asunto la sanción a que se refiere el artículo 298, apartado B), fracción IV, de la </w:t>
      </w:r>
      <w:r w:rsidR="00250345">
        <w:rPr>
          <w:rFonts w:ascii="ITC Avant Garde" w:hAnsi="ITC Avant Garde"/>
          <w:b/>
          <w:color w:val="000000"/>
        </w:rPr>
        <w:t>LFTR</w:t>
      </w:r>
      <w:r w:rsidR="006D3532" w:rsidRPr="00B215CD">
        <w:rPr>
          <w:rFonts w:ascii="ITC Avant Garde" w:hAnsi="ITC Avant Garde"/>
          <w:b/>
          <w:color w:val="000000"/>
        </w:rPr>
        <w:t xml:space="preserve"> </w:t>
      </w:r>
      <w:r w:rsidRPr="00B215CD">
        <w:rPr>
          <w:rFonts w:ascii="ITC Avant Garde" w:hAnsi="ITC Avant Garde"/>
          <w:color w:val="000000"/>
        </w:rPr>
        <w:t xml:space="preserve">y por tanto, su argumento resulta </w:t>
      </w:r>
      <w:r w:rsidRPr="00B215CD">
        <w:rPr>
          <w:rFonts w:ascii="ITC Avant Garde" w:hAnsi="ITC Avant Garde"/>
          <w:b/>
          <w:color w:val="000000"/>
          <w:u w:val="single"/>
        </w:rPr>
        <w:t>infundado</w:t>
      </w:r>
      <w:r w:rsidRPr="00B215CD">
        <w:rPr>
          <w:rFonts w:ascii="ITC Avant Garde" w:hAnsi="ITC Avant Garde"/>
          <w:color w:val="000000"/>
        </w:rPr>
        <w:t>.</w:t>
      </w:r>
    </w:p>
    <w:p w14:paraId="51D69DB8" w14:textId="77777777" w:rsidR="00E2222D" w:rsidRDefault="00FA2617" w:rsidP="00907F25">
      <w:pPr>
        <w:spacing w:after="240" w:line="360" w:lineRule="auto"/>
        <w:jc w:val="both"/>
        <w:rPr>
          <w:rFonts w:ascii="ITC Avant Garde" w:hAnsi="ITC Avant Garde"/>
          <w:b/>
          <w:color w:val="000000"/>
        </w:rPr>
      </w:pPr>
      <w:r>
        <w:rPr>
          <w:rFonts w:ascii="ITC Avant Garde" w:hAnsi="ITC Avant Garde"/>
          <w:b/>
          <w:color w:val="000000"/>
        </w:rPr>
        <w:t>SEXTO</w:t>
      </w:r>
      <w:r w:rsidR="008F00F9" w:rsidRPr="008F00F9">
        <w:rPr>
          <w:rFonts w:ascii="ITC Avant Garde" w:hAnsi="ITC Avant Garde"/>
          <w:b/>
          <w:color w:val="000000"/>
        </w:rPr>
        <w:t xml:space="preserve">. </w:t>
      </w:r>
      <w:r w:rsidR="008F00F9" w:rsidRPr="008F00F9">
        <w:rPr>
          <w:rFonts w:ascii="ITC Avant Garde" w:hAnsi="ITC Avant Garde"/>
          <w:b/>
          <w:smallCaps/>
          <w:color w:val="000000"/>
        </w:rPr>
        <w:t>Análisis de las pruebas ofrecidas por Mega Cable</w:t>
      </w:r>
      <w:r w:rsidR="008F00F9">
        <w:rPr>
          <w:rFonts w:ascii="ITC Avant Garde" w:hAnsi="ITC Avant Garde"/>
          <w:b/>
          <w:color w:val="000000"/>
        </w:rPr>
        <w:t>.</w:t>
      </w:r>
    </w:p>
    <w:p w14:paraId="511FF709" w14:textId="77777777" w:rsidR="00E2222D" w:rsidRDefault="008F00F9" w:rsidP="00907F25">
      <w:pPr>
        <w:tabs>
          <w:tab w:val="left" w:pos="284"/>
          <w:tab w:val="center" w:pos="1134"/>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relación con el estudio, análisis y valoración de las pruebas ofrecidas por </w:t>
      </w:r>
      <w:r w:rsidRPr="00B215CD">
        <w:rPr>
          <w:rFonts w:ascii="ITC Avant Garde" w:hAnsi="ITC Avant Garde" w:cs="Arial"/>
          <w:b/>
          <w:bCs/>
          <w:color w:val="000000"/>
        </w:rPr>
        <w:t>MEGA CABLE</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se menciona lo siguiente:</w:t>
      </w:r>
    </w:p>
    <w:p w14:paraId="2161A146" w14:textId="77777777" w:rsidR="00E2222D" w:rsidRDefault="008F00F9" w:rsidP="00907F25">
      <w:pPr>
        <w:pStyle w:val="Prrafodelista"/>
        <w:numPr>
          <w:ilvl w:val="0"/>
          <w:numId w:val="42"/>
        </w:numPr>
        <w:tabs>
          <w:tab w:val="left" w:pos="851"/>
        </w:tabs>
        <w:spacing w:after="240" w:line="360" w:lineRule="auto"/>
        <w:jc w:val="both"/>
        <w:rPr>
          <w:rFonts w:ascii="ITC Avant Garde" w:hAnsi="ITC Avant Garde"/>
        </w:rPr>
      </w:pPr>
      <w:r w:rsidRPr="008F00F9">
        <w:rPr>
          <w:rFonts w:ascii="ITC Avant Garde" w:hAnsi="ITC Avant Garde"/>
          <w:b/>
        </w:rPr>
        <w:t>La presuncional legal y humana</w:t>
      </w:r>
      <w:r w:rsidRPr="008F00F9">
        <w:rPr>
          <w:rFonts w:ascii="ITC Avant Garde" w:hAnsi="ITC Avant Garde"/>
        </w:rPr>
        <w:t xml:space="preserve">, así como la </w:t>
      </w:r>
      <w:r w:rsidRPr="008F00F9">
        <w:rPr>
          <w:rFonts w:ascii="ITC Avant Garde" w:hAnsi="ITC Avant Garde"/>
          <w:b/>
        </w:rPr>
        <w:t>Instrumental de actuaciones</w:t>
      </w:r>
      <w:r w:rsidRPr="008F00F9">
        <w:rPr>
          <w:rFonts w:ascii="ITC Avant Garde" w:hAnsi="ITC Avant Garde"/>
        </w:rPr>
        <w:t>.</w:t>
      </w:r>
    </w:p>
    <w:p w14:paraId="4F9348AC" w14:textId="77777777" w:rsidR="00E2222D" w:rsidRDefault="008F00F9" w:rsidP="00907F25">
      <w:pPr>
        <w:pStyle w:val="Prrafodelista"/>
        <w:numPr>
          <w:ilvl w:val="0"/>
          <w:numId w:val="43"/>
        </w:numPr>
        <w:tabs>
          <w:tab w:val="left" w:pos="851"/>
        </w:tabs>
        <w:spacing w:after="240" w:line="360" w:lineRule="auto"/>
        <w:jc w:val="both"/>
        <w:rPr>
          <w:rFonts w:ascii="ITC Avant Garde" w:hAnsi="ITC Avant Garde"/>
        </w:rPr>
      </w:pPr>
      <w:r>
        <w:rPr>
          <w:rFonts w:ascii="ITC Avant Garde" w:hAnsi="ITC Avant Garde" w:cs="Arial"/>
          <w:b/>
          <w:bCs/>
          <w:color w:val="000000"/>
        </w:rPr>
        <w:t>MEGA CABLE</w:t>
      </w:r>
      <w:r w:rsidRPr="008F00F9">
        <w:rPr>
          <w:rFonts w:ascii="ITC Avant Garde" w:hAnsi="ITC Avant Garde"/>
          <w:b/>
        </w:rPr>
        <w:t xml:space="preserve"> </w:t>
      </w:r>
      <w:r w:rsidRPr="008F00F9">
        <w:rPr>
          <w:rFonts w:ascii="ITC Avant Garde" w:hAnsi="ITC Avant Garde"/>
        </w:rPr>
        <w:t xml:space="preserve">ofreció y se tuvieron por admitidas y desahogadas la instrumental de actuaciones y </w:t>
      </w:r>
      <w:r>
        <w:rPr>
          <w:rFonts w:ascii="ITC Avant Garde" w:hAnsi="ITC Avant Garde"/>
        </w:rPr>
        <w:t xml:space="preserve">la </w:t>
      </w:r>
      <w:r w:rsidRPr="008F00F9">
        <w:rPr>
          <w:rFonts w:ascii="ITC Avant Garde" w:hAnsi="ITC Avant Garde"/>
        </w:rPr>
        <w:t xml:space="preserve">presuncional en su doble aspecto legal y humana, a las cuales se les otorgó pleno valor probatorio, sin embargo de autos no se </w:t>
      </w:r>
      <w:r w:rsidRPr="008F00F9">
        <w:rPr>
          <w:rFonts w:ascii="ITC Avant Garde" w:hAnsi="ITC Avant Garde"/>
        </w:rPr>
        <w:lastRenderedPageBreak/>
        <w:t>desprende elemento de convicción alguno que permita presumir la existencia de algún hecho o disposición legal que desvirtúe las imputaciones realizadas en el inicio del procedimiento de sanción</w:t>
      </w:r>
      <w:r>
        <w:rPr>
          <w:rFonts w:ascii="ITC Avant Garde" w:hAnsi="ITC Avant Garde"/>
        </w:rPr>
        <w:t>.</w:t>
      </w:r>
    </w:p>
    <w:p w14:paraId="662232C5" w14:textId="3974C416" w:rsidR="008F00F9" w:rsidRPr="008F00F9" w:rsidRDefault="008F00F9" w:rsidP="00907F25">
      <w:pPr>
        <w:pStyle w:val="Prrafodelista"/>
        <w:numPr>
          <w:ilvl w:val="0"/>
          <w:numId w:val="43"/>
        </w:numPr>
        <w:tabs>
          <w:tab w:val="left" w:pos="851"/>
        </w:tabs>
        <w:spacing w:after="240" w:line="360" w:lineRule="auto"/>
        <w:jc w:val="both"/>
        <w:rPr>
          <w:rFonts w:ascii="ITC Avant Garde" w:hAnsi="ITC Avant Garde"/>
        </w:rPr>
      </w:pPr>
      <w:r>
        <w:rPr>
          <w:rFonts w:ascii="ITC Avant Garde" w:hAnsi="ITC Avant Garde"/>
        </w:rPr>
        <w:t>A</w:t>
      </w:r>
      <w:r w:rsidRPr="008F00F9">
        <w:rPr>
          <w:rFonts w:ascii="ITC Avant Garde" w:hAnsi="ITC Avant Garde"/>
        </w:rPr>
        <w:t>l momento de emitir la presente resolución serán analizadas y valoradas todas y cada una de las constancias que integran el expediente en que se actúa</w:t>
      </w:r>
      <w:r w:rsidRPr="008F00F9">
        <w:rPr>
          <w:rFonts w:ascii="ITC Avant Garde" w:hAnsi="ITC Avant Garde"/>
          <w:b/>
        </w:rPr>
        <w:t>.</w:t>
      </w:r>
    </w:p>
    <w:p w14:paraId="23C69D27" w14:textId="77777777" w:rsidR="00E2222D" w:rsidRDefault="00FA2617" w:rsidP="00907F25">
      <w:pPr>
        <w:pStyle w:val="Textoindependiente"/>
        <w:tabs>
          <w:tab w:val="left" w:pos="851"/>
        </w:tabs>
        <w:spacing w:after="240" w:line="360" w:lineRule="auto"/>
        <w:jc w:val="both"/>
        <w:rPr>
          <w:rFonts w:ascii="ITC Avant Garde" w:hAnsi="ITC Avant Garde"/>
          <w:smallCaps/>
          <w:color w:val="000000"/>
        </w:rPr>
      </w:pPr>
      <w:r>
        <w:rPr>
          <w:rFonts w:ascii="ITC Avant Garde" w:hAnsi="ITC Avant Garde"/>
          <w:b/>
          <w:color w:val="000000"/>
        </w:rPr>
        <w:t>SÉPTIMO</w:t>
      </w:r>
      <w:r w:rsidR="000F5935" w:rsidRPr="00B215CD">
        <w:rPr>
          <w:rFonts w:ascii="ITC Avant Garde" w:hAnsi="ITC Avant Garde"/>
          <w:b/>
          <w:color w:val="000000"/>
        </w:rPr>
        <w:t xml:space="preserve">. </w:t>
      </w:r>
      <w:r w:rsidR="008F00F9" w:rsidRPr="008F00F9">
        <w:rPr>
          <w:rFonts w:ascii="ITC Avant Garde" w:hAnsi="ITC Avant Garde"/>
          <w:b/>
          <w:smallCaps/>
          <w:color w:val="000000"/>
        </w:rPr>
        <w:t>Análisis de los alegatos.</w:t>
      </w:r>
    </w:p>
    <w:p w14:paraId="1004B118" w14:textId="77777777" w:rsidR="00E2222D" w:rsidRDefault="000F5935" w:rsidP="00907F25">
      <w:pPr>
        <w:spacing w:after="240" w:line="360" w:lineRule="auto"/>
        <w:jc w:val="both"/>
        <w:rPr>
          <w:rFonts w:ascii="ITC Avant Garde" w:hAnsi="ITC Avant Garde" w:cs="Arial"/>
          <w:bCs/>
          <w:color w:val="000000"/>
        </w:rPr>
      </w:pPr>
      <w:r w:rsidRPr="00B215CD">
        <w:rPr>
          <w:rFonts w:ascii="ITC Avant Garde" w:hAnsi="ITC Avant Garde" w:cs="Arial"/>
          <w:bCs/>
          <w:color w:val="000000"/>
        </w:rPr>
        <w:t xml:space="preserve">Siguiendo las etapas del debido proceso, esta autoridad mediante acuerdo de </w:t>
      </w:r>
      <w:r w:rsidR="00A10D0B">
        <w:rPr>
          <w:rFonts w:ascii="ITC Avant Garde" w:hAnsi="ITC Avant Garde" w:cs="Arial"/>
          <w:bCs/>
          <w:color w:val="000000"/>
        </w:rPr>
        <w:t>primero</w:t>
      </w:r>
      <w:r w:rsidR="00F6518A">
        <w:rPr>
          <w:rFonts w:ascii="ITC Avant Garde" w:hAnsi="ITC Avant Garde" w:cs="Arial"/>
          <w:bCs/>
          <w:color w:val="000000"/>
        </w:rPr>
        <w:t xml:space="preserve"> de junio</w:t>
      </w:r>
      <w:r w:rsidRPr="00B215CD">
        <w:rPr>
          <w:rFonts w:ascii="ITC Avant Garde" w:hAnsi="ITC Avant Garde" w:cs="Arial"/>
          <w:bCs/>
          <w:color w:val="000000"/>
        </w:rPr>
        <w:t xml:space="preserve"> de dos mil dieciséis notificado el </w:t>
      </w:r>
      <w:r w:rsidR="00A10D0B">
        <w:rPr>
          <w:rFonts w:ascii="ITC Avant Garde" w:hAnsi="ITC Avant Garde" w:cs="Arial"/>
          <w:bCs/>
          <w:color w:val="000000"/>
        </w:rPr>
        <w:t>ocho de junio</w:t>
      </w:r>
      <w:r w:rsidRPr="00B215CD">
        <w:rPr>
          <w:rFonts w:ascii="ITC Avant Garde" w:hAnsi="ITC Avant Garde" w:cs="Arial"/>
          <w:bCs/>
          <w:color w:val="000000"/>
        </w:rPr>
        <w:t xml:space="preserve"> siguiente, le otorgó </w:t>
      </w:r>
      <w:r w:rsidR="006D3532" w:rsidRPr="00B215CD">
        <w:rPr>
          <w:rFonts w:ascii="ITC Avant Garde" w:hAnsi="ITC Avant Garde" w:cs="Arial"/>
          <w:bCs/>
          <w:color w:val="000000"/>
        </w:rPr>
        <w:t xml:space="preserve">a </w:t>
      </w:r>
      <w:r w:rsidR="006D3532" w:rsidRPr="00B215CD">
        <w:rPr>
          <w:rFonts w:ascii="ITC Avant Garde" w:hAnsi="ITC Avant Garde" w:cs="Arial"/>
          <w:b/>
          <w:bCs/>
          <w:color w:val="000000"/>
        </w:rPr>
        <w:t xml:space="preserve">MEGA CABLE </w:t>
      </w:r>
      <w:r w:rsidRPr="00B215CD">
        <w:rPr>
          <w:rFonts w:ascii="ITC Avant Garde" w:hAnsi="ITC Avant Garde" w:cs="Arial"/>
          <w:bCs/>
          <w:color w:val="000000"/>
        </w:rPr>
        <w:t xml:space="preserve">un plazo de diez días hábiles para que formulara los alegatos que considerara convenientes, derecho que fue ejercido a través de la presentación del escrito </w:t>
      </w:r>
      <w:r w:rsidR="00D92340">
        <w:rPr>
          <w:rFonts w:ascii="ITC Avant Garde" w:hAnsi="ITC Avant Garde" w:cs="Arial"/>
          <w:bCs/>
          <w:color w:val="000000"/>
        </w:rPr>
        <w:t xml:space="preserve">de </w:t>
      </w:r>
      <w:r w:rsidR="00F6518A">
        <w:rPr>
          <w:rFonts w:ascii="ITC Avant Garde" w:hAnsi="ITC Avant Garde" w:cs="Arial"/>
          <w:bCs/>
          <w:color w:val="000000"/>
        </w:rPr>
        <w:t>veintidós de junio</w:t>
      </w:r>
      <w:r w:rsidR="00D92340">
        <w:rPr>
          <w:rFonts w:ascii="ITC Avant Garde" w:hAnsi="ITC Avant Garde" w:cs="Arial"/>
          <w:bCs/>
          <w:color w:val="000000"/>
        </w:rPr>
        <w:t xml:space="preserve"> de </w:t>
      </w:r>
      <w:r w:rsidR="00512051">
        <w:rPr>
          <w:rFonts w:ascii="ITC Avant Garde" w:hAnsi="ITC Avant Garde" w:cs="Arial"/>
          <w:bCs/>
          <w:color w:val="000000"/>
        </w:rPr>
        <w:t>dos mil dieciséis</w:t>
      </w:r>
      <w:r w:rsidR="00972418">
        <w:rPr>
          <w:rFonts w:ascii="ITC Avant Garde" w:hAnsi="ITC Avant Garde" w:cs="Arial"/>
          <w:bCs/>
          <w:color w:val="000000"/>
        </w:rPr>
        <w:t>.</w:t>
      </w:r>
    </w:p>
    <w:p w14:paraId="784CFAAC" w14:textId="77777777" w:rsidR="00E2222D" w:rsidRDefault="000F5935" w:rsidP="00907F25">
      <w:pPr>
        <w:pStyle w:val="Textoindependiente"/>
        <w:tabs>
          <w:tab w:val="left" w:pos="851"/>
        </w:tabs>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Antes de analizar los alegatos presentados, se debe precisar lo sostenido por nuestro Máximo Tribunal de Justicia, en el sentido de que los alegatos no son la etapa procesal a través de la cual deban hacerse manifestaciones a efecto de desvirtuar las imputaciones hechas para iniciar el procedimiento sancionador.</w:t>
      </w:r>
    </w:p>
    <w:p w14:paraId="08756BC2" w14:textId="77777777" w:rsidR="00E2222D" w:rsidRDefault="000F5935" w:rsidP="00907F25">
      <w:pPr>
        <w:pStyle w:val="Textoindependiente"/>
        <w:tabs>
          <w:tab w:val="left" w:pos="851"/>
        </w:tabs>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Estos argumentos, se traducen en el acto mediante el cual, una parte expone en forma metódica y razonada los fundamentos de hecho y de derecho sobre los méritos de la prueba aportada, y el demérito de las ofrecidas por la contraparte, es decir, reafirmar los planteamientos aportados a la contienda en el momento procesal oportuno, esencialmente en la demanda o su ampliación o sus respectivas contestaciones.</w:t>
      </w:r>
    </w:p>
    <w:p w14:paraId="55281DAF" w14:textId="77777777" w:rsidR="00E2222D" w:rsidRDefault="000F5935" w:rsidP="00907F25">
      <w:pPr>
        <w:spacing w:after="240" w:line="360" w:lineRule="auto"/>
        <w:jc w:val="both"/>
        <w:rPr>
          <w:rFonts w:ascii="ITC Avant Garde" w:hAnsi="ITC Avant Garde" w:cs="Arial"/>
          <w:bCs/>
          <w:color w:val="000000"/>
        </w:rPr>
      </w:pPr>
      <w:r w:rsidRPr="00B215CD">
        <w:rPr>
          <w:rFonts w:ascii="ITC Avant Garde" w:eastAsia="Times New Roman" w:hAnsi="ITC Avant Garde"/>
          <w:bCs/>
          <w:color w:val="000000"/>
          <w:lang w:eastAsia="es-MX"/>
        </w:rPr>
        <w:t>En efecto, los alegatos son las argumentaciones que formulan las partes una vez concluidas las fases postulatoria y probat</w:t>
      </w:r>
      <w:r w:rsidR="00F76CCE">
        <w:rPr>
          <w:rFonts w:ascii="ITC Avant Garde" w:eastAsia="Times New Roman" w:hAnsi="ITC Avant Garde"/>
          <w:bCs/>
          <w:color w:val="000000"/>
          <w:lang w:eastAsia="es-MX"/>
        </w:rPr>
        <w:t xml:space="preserve">oria; lo cual fue atendido por </w:t>
      </w:r>
      <w:r w:rsidRPr="00B215CD">
        <w:rPr>
          <w:rFonts w:ascii="ITC Avant Garde" w:eastAsia="Times New Roman" w:hAnsi="ITC Avant Garde"/>
          <w:b/>
          <w:bCs/>
          <w:color w:val="000000"/>
          <w:lang w:eastAsia="es-MX"/>
        </w:rPr>
        <w:t xml:space="preserve">MEGA </w:t>
      </w:r>
      <w:r w:rsidR="00F76CCE">
        <w:rPr>
          <w:rFonts w:ascii="ITC Avant Garde" w:eastAsia="Times New Roman" w:hAnsi="ITC Avant Garde"/>
          <w:b/>
          <w:bCs/>
          <w:color w:val="000000"/>
          <w:lang w:eastAsia="es-MX"/>
        </w:rPr>
        <w:t>CABLE</w:t>
      </w:r>
      <w:r w:rsidRPr="00B215CD">
        <w:rPr>
          <w:rFonts w:ascii="ITC Avant Garde" w:eastAsia="Times New Roman" w:hAnsi="ITC Avant Garde"/>
          <w:b/>
          <w:bCs/>
          <w:color w:val="000000"/>
          <w:lang w:eastAsia="es-MX"/>
        </w:rPr>
        <w:t xml:space="preserve"> </w:t>
      </w:r>
      <w:r w:rsidRPr="00B215CD">
        <w:rPr>
          <w:rFonts w:ascii="ITC Avant Garde" w:eastAsia="Times New Roman" w:hAnsi="ITC Avant Garde"/>
          <w:bCs/>
          <w:color w:val="000000"/>
          <w:lang w:eastAsia="es-MX"/>
        </w:rPr>
        <w:t xml:space="preserve">mediante escrito recibido el </w:t>
      </w:r>
      <w:r w:rsidR="00A10D0B">
        <w:rPr>
          <w:rFonts w:ascii="ITC Avant Garde" w:eastAsia="Times New Roman" w:hAnsi="ITC Avant Garde"/>
          <w:bCs/>
          <w:color w:val="000000"/>
          <w:lang w:eastAsia="es-MX"/>
        </w:rPr>
        <w:t>veintidós de junio</w:t>
      </w:r>
      <w:r w:rsidRPr="00B215CD">
        <w:rPr>
          <w:rFonts w:ascii="ITC Avant Garde" w:eastAsia="Times New Roman" w:hAnsi="ITC Avant Garde"/>
          <w:bCs/>
          <w:color w:val="000000"/>
          <w:lang w:eastAsia="es-MX"/>
        </w:rPr>
        <w:t xml:space="preserve"> de dos mil dieciséis</w:t>
      </w:r>
      <w:r w:rsidRPr="00B215CD">
        <w:rPr>
          <w:rFonts w:ascii="ITC Avant Garde" w:hAnsi="ITC Avant Garde" w:cs="Arial"/>
          <w:bCs/>
          <w:color w:val="000000"/>
        </w:rPr>
        <w:t xml:space="preserve">, en los cuales </w:t>
      </w:r>
      <w:r w:rsidR="00A96990" w:rsidRPr="00B215CD">
        <w:rPr>
          <w:rFonts w:ascii="ITC Avant Garde" w:hAnsi="ITC Avant Garde" w:cs="Arial"/>
          <w:bCs/>
          <w:color w:val="000000"/>
        </w:rPr>
        <w:t xml:space="preserve">realizó diversas manifestaciones </w:t>
      </w:r>
      <w:r w:rsidR="00A96990" w:rsidRPr="00B215CD">
        <w:rPr>
          <w:rFonts w:ascii="ITC Avant Garde" w:eastAsia="Times New Roman" w:hAnsi="ITC Avant Garde"/>
          <w:bCs/>
          <w:color w:val="000000"/>
          <w:lang w:eastAsia="es-MX"/>
        </w:rPr>
        <w:t>reafirmando los planteamientos aportados en su escrito de manifestaciones, mismos que ya fueron puntualment</w:t>
      </w:r>
      <w:r w:rsidRPr="00B215CD">
        <w:rPr>
          <w:rFonts w:ascii="ITC Avant Garde" w:eastAsia="Times New Roman" w:hAnsi="ITC Avant Garde"/>
          <w:bCs/>
          <w:color w:val="000000"/>
          <w:lang w:eastAsia="es-MX"/>
        </w:rPr>
        <w:t>e atendidos durante el desarrollo de la presente resolución</w:t>
      </w:r>
      <w:r w:rsidRPr="00B215CD">
        <w:rPr>
          <w:rFonts w:ascii="ITC Avant Garde" w:hAnsi="ITC Avant Garde" w:cs="Arial"/>
          <w:bCs/>
          <w:color w:val="000000"/>
        </w:rPr>
        <w:t>.</w:t>
      </w:r>
    </w:p>
    <w:p w14:paraId="243762E8" w14:textId="77777777" w:rsidR="00E2222D" w:rsidRDefault="000F5935" w:rsidP="00907F25">
      <w:pPr>
        <w:spacing w:after="240" w:line="360" w:lineRule="auto"/>
        <w:jc w:val="both"/>
        <w:rPr>
          <w:rFonts w:ascii="ITC Avant Garde" w:hAnsi="ITC Avant Garde" w:cs="Arial"/>
          <w:bCs/>
          <w:color w:val="000000"/>
        </w:rPr>
      </w:pPr>
      <w:r w:rsidRPr="00B215CD">
        <w:rPr>
          <w:rFonts w:ascii="ITC Avant Garde" w:hAnsi="ITC Avant Garde" w:cs="Arial"/>
          <w:bCs/>
          <w:color w:val="000000"/>
        </w:rPr>
        <w:lastRenderedPageBreak/>
        <w:t>Sirve de aplicación por analogía la siguiente Tesis que a la letra señala:</w:t>
      </w:r>
    </w:p>
    <w:p w14:paraId="62E4D519" w14:textId="421B1668" w:rsidR="00E2222D" w:rsidRDefault="000F5935" w:rsidP="00907F25">
      <w:pPr>
        <w:spacing w:after="240" w:line="360" w:lineRule="auto"/>
        <w:ind w:left="567" w:right="851"/>
        <w:jc w:val="both"/>
        <w:rPr>
          <w:rFonts w:ascii="ITC Avant Garde" w:hAnsi="ITC Avant Garde" w:cs="Arial"/>
          <w:bCs/>
          <w:color w:val="000000"/>
          <w:sz w:val="20"/>
        </w:rPr>
      </w:pPr>
      <w:r w:rsidRPr="00972418">
        <w:rPr>
          <w:rFonts w:ascii="ITC Avant Garde" w:hAnsi="ITC Avant Garde" w:cs="Arial"/>
          <w:b/>
          <w:bCs/>
          <w:color w:val="000000"/>
          <w:sz w:val="20"/>
        </w:rPr>
        <w:t>“ALEGATOS EN EL JUICIO DE NULIDAD. NO PROCEDE CONCEDER EL AMPARO PARA EL EFECTO DE QUE SE HAGA SU ESTUDIO EN FORMA DESTACADA, SI LA SALA FISCAL, EN FORMA IMPLÍCITA, ABORDÓ LAS CUESTIONES EN ELLOS PLANTEADAS Y LAS CONSIDERÓ INFUNDADAS, PUES EN TAL SUPUESTO NO VARIARÍA EL SENTIDO DEL FALLO (APLICACIÓN DE LA JURISPRUDENCIA 2a./J. 62/2001).</w:t>
      </w:r>
      <w:r w:rsidRPr="00972418">
        <w:rPr>
          <w:rFonts w:ascii="ITC Avant Garde" w:hAnsi="ITC Avant Garde" w:cs="Arial"/>
          <w:bCs/>
          <w:color w:val="000000"/>
          <w:sz w:val="20"/>
        </w:rPr>
        <w:t xml:space="preserve"> En la citada jurisprudencia, la Segunda Sala de la Suprema Corte de Justicia de la Nación estableció que debe ampararse al quejoso, cuando la respectiva Sala del Tribunal Federal de Justicia Fiscal y Administrativa haya omitido analizar los alegatos de bien probado o aquellos en los que se controvierten los argumentos expuestos en la contestación de la demanda o se objetan o refutan las pruebas aportadas por la contraparte. Sin embargo, el otorgamiento de la protección constitucional por ese motivo se encuentra supeditada a que la omisión pueda trascender al sentido de la sentencia, es decir, que de realizarse el estudio de tales cuestionamientos, pueda derivar una nueva reflexión y cambiar el sentido en que previamente se resolvió, pues de lo contrario no se justificaría ordenar su examen, si finalmente no tendrían relevancia para la emisión de la nueva resolución. Por tanto, no procede conceder el amparo al quejoso, cuando la Sala Fiscal haya omitido hacer un pronunciamiento destacado acerca de dichos alegatos, si en forma implícita abordó las cuestiones en ellos planteadas y las estimó infundadas, pues con ello no podría variarse el sentido del fallo; por consiguiente, a nada práctico conduciría conceder el amparo por ese motivo, si a la postre la responsable emitiría un nuevo fallo en el mismo sentido que el reclamado.”</w:t>
      </w:r>
    </w:p>
    <w:p w14:paraId="6A62D101" w14:textId="77777777" w:rsidR="00E2222D" w:rsidRDefault="000F5935" w:rsidP="00907F25">
      <w:pPr>
        <w:spacing w:after="240" w:line="360" w:lineRule="auto"/>
        <w:ind w:left="567" w:right="851"/>
        <w:jc w:val="both"/>
        <w:rPr>
          <w:rFonts w:ascii="ITC Avant Garde" w:hAnsi="ITC Avant Garde" w:cs="Arial"/>
          <w:bCs/>
          <w:color w:val="000000"/>
          <w:sz w:val="18"/>
        </w:rPr>
      </w:pPr>
      <w:r w:rsidRPr="00B215CD">
        <w:rPr>
          <w:rFonts w:ascii="ITC Avant Garde" w:hAnsi="ITC Avant Garde" w:cs="Arial"/>
          <w:bCs/>
          <w:color w:val="000000"/>
          <w:sz w:val="18"/>
        </w:rPr>
        <w:t>Época: Novena Época, Registro: 176761, Instancia: Tribunales Colegiados de Circuito, Tipo de Tesis: Aislada, Fuente: Semanario Judicial de la Federación y su Gaceta, Tomo XXII, Noviembre de 2005, Materia(s): Administrativa, Tesis: V.5o.2 A, Página: 835.</w:t>
      </w:r>
    </w:p>
    <w:p w14:paraId="4CB87BA0" w14:textId="77777777" w:rsidR="00E2222D" w:rsidRDefault="000F5935" w:rsidP="00907F25">
      <w:pPr>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 xml:space="preserve">En ese sentido como se puede advertir del criterio trascrito, es claro que no existe la necesidad de que se transcriban los alegatos para cumplir con los principios de congruencia y exhaustividad en la presente resolución, pues tales principios se </w:t>
      </w:r>
      <w:r w:rsidRPr="00B215CD">
        <w:rPr>
          <w:rFonts w:ascii="ITC Avant Garde" w:eastAsia="Times New Roman" w:hAnsi="ITC Avant Garde"/>
          <w:bCs/>
          <w:color w:val="000000"/>
          <w:lang w:eastAsia="es-MX"/>
        </w:rPr>
        <w:lastRenderedPageBreak/>
        <w:t xml:space="preserve">satisficieron al precisar los puntos sujetos a debate y </w:t>
      </w:r>
      <w:r w:rsidRPr="00B215CD">
        <w:rPr>
          <w:rFonts w:ascii="ITC Avant Garde" w:eastAsia="Times New Roman" w:hAnsi="ITC Avant Garde"/>
          <w:b/>
          <w:bCs/>
          <w:color w:val="000000"/>
          <w:u w:val="single"/>
          <w:lang w:eastAsia="es-MX"/>
        </w:rPr>
        <w:t xml:space="preserve">al haber sido atendidas todas las cuestiones planteadas en los mismos en el considerando </w:t>
      </w:r>
      <w:r w:rsidR="008F00F9" w:rsidRPr="00B215CD">
        <w:rPr>
          <w:rFonts w:ascii="ITC Avant Garde" w:eastAsia="Times New Roman" w:hAnsi="ITC Avant Garde"/>
          <w:b/>
          <w:bCs/>
          <w:color w:val="000000"/>
          <w:u w:val="single"/>
          <w:lang w:eastAsia="es-MX"/>
        </w:rPr>
        <w:t>CUARTO</w:t>
      </w:r>
      <w:r w:rsidRPr="00B215CD">
        <w:rPr>
          <w:rFonts w:ascii="ITC Avant Garde" w:eastAsia="Times New Roman" w:hAnsi="ITC Avant Garde"/>
          <w:b/>
          <w:bCs/>
          <w:color w:val="000000"/>
          <w:u w:val="single"/>
          <w:lang w:eastAsia="es-MX"/>
        </w:rPr>
        <w:t>, por lo que en su caso deberá estarse a lo establecido en dicho considerando</w:t>
      </w:r>
      <w:r w:rsidRPr="00B215CD">
        <w:rPr>
          <w:rFonts w:ascii="ITC Avant Garde" w:eastAsia="Times New Roman" w:hAnsi="ITC Avant Garde"/>
          <w:bCs/>
          <w:color w:val="000000"/>
          <w:lang w:eastAsia="es-MX"/>
        </w:rPr>
        <w:t>.</w:t>
      </w:r>
    </w:p>
    <w:p w14:paraId="7C93DB58" w14:textId="77777777" w:rsidR="00E2222D" w:rsidRDefault="000F5935" w:rsidP="00907F25">
      <w:pPr>
        <w:tabs>
          <w:tab w:val="left" w:pos="709"/>
          <w:tab w:val="left" w:pos="851"/>
        </w:tabs>
        <w:spacing w:after="240" w:line="360" w:lineRule="auto"/>
        <w:jc w:val="both"/>
        <w:rPr>
          <w:rFonts w:ascii="ITC Avant Garde" w:hAnsi="ITC Avant Garde" w:cs="Tahoma"/>
          <w:bCs/>
          <w:color w:val="000000"/>
          <w:shd w:val="clear" w:color="auto" w:fill="FFFFFF"/>
        </w:rPr>
      </w:pPr>
      <w:r w:rsidRPr="00B215CD">
        <w:rPr>
          <w:rFonts w:ascii="ITC Avant Garde" w:eastAsia="Times New Roman" w:hAnsi="ITC Avant Garde"/>
          <w:bCs/>
          <w:color w:val="000000"/>
          <w:lang w:eastAsia="es-MX"/>
        </w:rPr>
        <w:t>Por</w:t>
      </w:r>
      <w:r w:rsidRPr="00B215CD">
        <w:rPr>
          <w:rFonts w:ascii="ITC Avant Garde" w:hAnsi="ITC Avant Garde" w:cs="Tahoma"/>
          <w:bCs/>
          <w:color w:val="000000"/>
          <w:shd w:val="clear" w:color="auto" w:fill="FFFFFF"/>
        </w:rPr>
        <w:t xml:space="preserve"> lo anterior, al no existir análisis pendiente por realizar se emite la presente resolución atendiendo a los elementos que causan plenitud convictiva en esta autoridad, siguiendo los principios procesales que rigen todo procedimiento.</w:t>
      </w:r>
    </w:p>
    <w:p w14:paraId="47E774A3" w14:textId="7BDA30ED" w:rsidR="00E2222D" w:rsidRDefault="000F5935" w:rsidP="00907F25">
      <w:pPr>
        <w:tabs>
          <w:tab w:val="left" w:pos="851"/>
        </w:tabs>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Sirve de aplicación por analogía la siguiente Jurisprudencia que señala:</w:t>
      </w:r>
    </w:p>
    <w:p w14:paraId="60C9D208" w14:textId="77777777" w:rsidR="00E2222D" w:rsidRDefault="000F5935" w:rsidP="00907F25">
      <w:pPr>
        <w:tabs>
          <w:tab w:val="left" w:pos="8080"/>
        </w:tabs>
        <w:spacing w:after="240" w:line="360" w:lineRule="auto"/>
        <w:ind w:left="567" w:right="567"/>
        <w:jc w:val="both"/>
        <w:rPr>
          <w:rFonts w:ascii="ITC Avant Garde" w:eastAsia="Times New Roman" w:hAnsi="ITC Avant Garde"/>
          <w:bCs/>
          <w:color w:val="000000"/>
          <w:sz w:val="20"/>
          <w:lang w:eastAsia="es-MX"/>
        </w:rPr>
      </w:pPr>
      <w:r w:rsidRPr="008F00F9">
        <w:rPr>
          <w:rFonts w:ascii="ITC Avant Garde" w:eastAsia="Times New Roman" w:hAnsi="ITC Avant Garde"/>
          <w:b/>
          <w:bCs/>
          <w:color w:val="000000"/>
          <w:sz w:val="20"/>
          <w:lang w:eastAsia="es-MX"/>
        </w:rPr>
        <w:t>“DERECHO AL DEBIDO PROCESO. SU CONTENIDO.</w:t>
      </w:r>
      <w:r w:rsidRPr="008F00F9">
        <w:rPr>
          <w:rFonts w:ascii="ITC Avant Garde" w:eastAsia="Times New Roman" w:hAnsi="ITC Avant Garde"/>
          <w:bCs/>
          <w:color w:val="000000"/>
          <w:sz w:val="20"/>
          <w:lang w:eastAsia="es-MX"/>
        </w:rPr>
        <w:t xml:space="preserve"> 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w:t>
      </w:r>
      <w:r w:rsidRPr="008F00F9">
        <w:rPr>
          <w:rFonts w:ascii="ITC Avant Garde" w:eastAsia="Times New Roman" w:hAnsi="ITC Avant Garde"/>
          <w:bCs/>
          <w:color w:val="000000"/>
          <w:sz w:val="20"/>
          <w:lang w:eastAsia="es-MX"/>
        </w:rPr>
        <w:lastRenderedPageBreak/>
        <w:t>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363D388F" w14:textId="77777777" w:rsidR="00E2222D" w:rsidRDefault="000F5935" w:rsidP="00907F25">
      <w:pPr>
        <w:tabs>
          <w:tab w:val="left" w:pos="1276"/>
        </w:tabs>
        <w:spacing w:after="240" w:line="360" w:lineRule="auto"/>
        <w:ind w:left="567" w:right="567"/>
        <w:jc w:val="both"/>
        <w:rPr>
          <w:rFonts w:ascii="ITC Avant Garde" w:eastAsia="Times New Roman" w:hAnsi="ITC Avant Garde"/>
          <w:bCs/>
          <w:color w:val="000000"/>
          <w:sz w:val="18"/>
          <w:lang w:eastAsia="es-MX"/>
        </w:rPr>
      </w:pPr>
      <w:r w:rsidRPr="00B215CD">
        <w:rPr>
          <w:rFonts w:ascii="ITC Avant Garde" w:eastAsia="Times New Roman" w:hAnsi="ITC Avant Garde"/>
          <w:bCs/>
          <w:color w:val="000000"/>
          <w:sz w:val="18"/>
          <w:lang w:eastAsia="es-MX"/>
        </w:rPr>
        <w:t>Época: Décima Época, Registro: 2005716, Instancia: Primera Sala, Tipo de Tesis: Jurisprudencia, Fuente: Gaceta del Semanario Judicial de la Federación, Libro 3, Febrero de 2014, Tomo I, Materia(s): Constitucional, Tesis: 1a./J. 11/2014 (10a.), Página: 396.</w:t>
      </w:r>
    </w:p>
    <w:p w14:paraId="76DA9EF3" w14:textId="4F52CADC" w:rsidR="00E2222D" w:rsidRDefault="00FA2617" w:rsidP="00907F25">
      <w:pPr>
        <w:tabs>
          <w:tab w:val="left" w:pos="993"/>
        </w:tabs>
        <w:spacing w:after="240" w:line="360" w:lineRule="auto"/>
        <w:jc w:val="both"/>
        <w:rPr>
          <w:rFonts w:ascii="ITC Avant Garde" w:eastAsia="Times New Roman" w:hAnsi="ITC Avant Garde"/>
          <w:b/>
          <w:bCs/>
          <w:smallCaps/>
          <w:color w:val="000000"/>
          <w:lang w:eastAsia="es-MX"/>
        </w:rPr>
      </w:pPr>
      <w:r>
        <w:rPr>
          <w:rFonts w:ascii="ITC Avant Garde" w:eastAsia="Times New Roman" w:hAnsi="ITC Avant Garde"/>
          <w:b/>
          <w:bCs/>
          <w:smallCaps/>
          <w:color w:val="000000"/>
          <w:lang w:eastAsia="es-MX"/>
        </w:rPr>
        <w:t>Octavo</w:t>
      </w:r>
      <w:r w:rsidR="008F00F9">
        <w:rPr>
          <w:rFonts w:ascii="ITC Avant Garde" w:eastAsia="Times New Roman" w:hAnsi="ITC Avant Garde"/>
          <w:b/>
          <w:bCs/>
          <w:smallCaps/>
          <w:color w:val="000000"/>
          <w:lang w:eastAsia="es-MX"/>
        </w:rPr>
        <w:t>. Análisis de la conducta y consecuencias jurídicas</w:t>
      </w:r>
    </w:p>
    <w:p w14:paraId="6C710C8C" w14:textId="77777777" w:rsidR="00E2222D" w:rsidRDefault="003F1EBC"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Derivado de lo expuesto, se considera que existen elementos probatorios suficientes y determinantes para acreditar que </w:t>
      </w:r>
      <w:r w:rsidR="00BF2F8B">
        <w:rPr>
          <w:rFonts w:ascii="ITC Avant Garde" w:hAnsi="ITC Avant Garde" w:cs="Tahoma"/>
          <w:b/>
          <w:bCs/>
          <w:color w:val="000000"/>
          <w:shd w:val="clear" w:color="auto" w:fill="FFFFFF"/>
        </w:rPr>
        <w:t>MEGA CABLE</w:t>
      </w:r>
      <w:r w:rsidRPr="00B215CD">
        <w:rPr>
          <w:rFonts w:ascii="ITC Avant Garde" w:hAnsi="ITC Avant Garde"/>
          <w:b/>
        </w:rPr>
        <w:t xml:space="preserve"> </w:t>
      </w:r>
      <w:r w:rsidRPr="00B215CD">
        <w:rPr>
          <w:rFonts w:ascii="ITC Avant Garde" w:hAnsi="ITC Avant Garde"/>
        </w:rPr>
        <w:t xml:space="preserve">incumplió con lo dispuesto por </w:t>
      </w:r>
      <w:r w:rsidRPr="00B215CD">
        <w:rPr>
          <w:rFonts w:ascii="ITC Avant Garde" w:hAnsi="ITC Avant Garde"/>
          <w:color w:val="000000"/>
        </w:rPr>
        <w:t xml:space="preserve">el </w:t>
      </w:r>
      <w:r w:rsidR="00BF2F8B">
        <w:rPr>
          <w:rFonts w:ascii="ITC Avant Garde" w:hAnsi="ITC Avant Garde"/>
          <w:b/>
        </w:rPr>
        <w:t>Artículo 12</w:t>
      </w:r>
      <w:r w:rsidR="00BF2F8B">
        <w:rPr>
          <w:rFonts w:ascii="ITC Avant Garde" w:hAnsi="ITC Avant Garde"/>
        </w:rPr>
        <w:t xml:space="preserve"> de los </w:t>
      </w:r>
      <w:r w:rsidR="00BF2F8B">
        <w:rPr>
          <w:rFonts w:ascii="ITC Avant Garde" w:hAnsi="ITC Avant Garde"/>
          <w:b/>
        </w:rPr>
        <w:t xml:space="preserve">LINEAMIENTOS, </w:t>
      </w:r>
      <w:r w:rsidR="00BF2F8B">
        <w:rPr>
          <w:rFonts w:ascii="ITC Avant Garde" w:hAnsi="ITC Avant Garde"/>
        </w:rPr>
        <w:t xml:space="preserve">sus respectivas modificaciones contenidas en el </w:t>
      </w:r>
      <w:r w:rsidR="00BF2F8B">
        <w:rPr>
          <w:rFonts w:ascii="ITC Avant Garde" w:hAnsi="ITC Avant Garde"/>
          <w:b/>
        </w:rPr>
        <w:t xml:space="preserve">ACUERDO MODIFICATORIO; </w:t>
      </w:r>
      <w:r w:rsidR="00BF2F8B">
        <w:rPr>
          <w:rFonts w:ascii="ITC Avant Garde" w:hAnsi="ITC Avant Garde"/>
        </w:rPr>
        <w:t xml:space="preserve">el </w:t>
      </w:r>
      <w:r w:rsidR="00BF2F8B">
        <w:rPr>
          <w:rFonts w:ascii="ITC Avant Garde" w:hAnsi="ITC Avant Garde"/>
          <w:b/>
        </w:rPr>
        <w:t xml:space="preserve">LISTADO </w:t>
      </w:r>
      <w:r w:rsidR="00BF2F8B">
        <w:rPr>
          <w:rFonts w:ascii="ITC Avant Garde" w:hAnsi="ITC Avant Garde"/>
        </w:rPr>
        <w:t xml:space="preserve">y sus correspondientes </w:t>
      </w:r>
      <w:r w:rsidR="00BF2F8B">
        <w:rPr>
          <w:rFonts w:ascii="ITC Avant Garde" w:hAnsi="ITC Avant Garde"/>
          <w:b/>
        </w:rPr>
        <w:t>ACTUALIZACIONES.</w:t>
      </w:r>
    </w:p>
    <w:p w14:paraId="0FFA35FB" w14:textId="77777777" w:rsidR="00E2222D" w:rsidRDefault="003F1EBC" w:rsidP="00907F25">
      <w:pPr>
        <w:tabs>
          <w:tab w:val="left" w:pos="993"/>
        </w:tabs>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Cs/>
          <w:color w:val="000000"/>
          <w:lang w:eastAsia="es-MX"/>
        </w:rPr>
        <w:t>En ese sentido dichos elementos son los siguientes:</w:t>
      </w:r>
    </w:p>
    <w:p w14:paraId="433DF970" w14:textId="77777777" w:rsidR="00E2222D" w:rsidRDefault="006D3532" w:rsidP="00907F25">
      <w:pPr>
        <w:numPr>
          <w:ilvl w:val="0"/>
          <w:numId w:val="26"/>
        </w:numPr>
        <w:spacing w:after="240" w:line="360" w:lineRule="auto"/>
        <w:ind w:left="714" w:hanging="357"/>
        <w:contextualSpacing/>
        <w:jc w:val="both"/>
        <w:rPr>
          <w:rFonts w:ascii="ITC Avant Garde" w:hAnsi="ITC Avant Garde"/>
          <w:color w:val="000000"/>
        </w:rPr>
      </w:pPr>
      <w:r w:rsidRPr="00B215CD">
        <w:rPr>
          <w:rFonts w:ascii="ITC Avant Garde" w:hAnsi="ITC Avant Garde"/>
          <w:color w:val="000000"/>
        </w:rPr>
        <w:t xml:space="preserve">El artículo 12 de </w:t>
      </w:r>
      <w:r w:rsidR="00BF2F8B">
        <w:rPr>
          <w:rFonts w:ascii="ITC Avant Garde" w:hAnsi="ITC Avant Garde"/>
          <w:color w:val="000000"/>
        </w:rPr>
        <w:t>los</w:t>
      </w:r>
      <w:r w:rsidR="00BF2F8B">
        <w:rPr>
          <w:rFonts w:ascii="ITC Avant Garde" w:hAnsi="ITC Avant Garde"/>
          <w:b/>
          <w:color w:val="000000"/>
        </w:rPr>
        <w:t xml:space="preserve"> LINEAMIENTOS</w:t>
      </w:r>
      <w:r w:rsidRPr="00B215CD">
        <w:rPr>
          <w:rFonts w:ascii="ITC Avant Garde" w:hAnsi="ITC Avant Garde"/>
          <w:color w:val="000000"/>
        </w:rPr>
        <w:t xml:space="preserve"> establece que </w:t>
      </w:r>
    </w:p>
    <w:p w14:paraId="42D320C7" w14:textId="0CF58D64" w:rsidR="006D3532" w:rsidRPr="006D3532" w:rsidRDefault="006D3532" w:rsidP="00907F25">
      <w:pPr>
        <w:spacing w:after="240" w:line="360" w:lineRule="auto"/>
        <w:ind w:left="709"/>
        <w:jc w:val="both"/>
        <w:rPr>
          <w:rFonts w:ascii="ITC Avant Garde" w:hAnsi="ITC Avant Garde" w:cs="Arial"/>
          <w:b/>
          <w:i/>
          <w:lang w:val="es-ES"/>
        </w:rPr>
      </w:pPr>
      <w:r w:rsidRPr="006D3532">
        <w:rPr>
          <w:rFonts w:ascii="ITC Avant Garde" w:hAnsi="ITC Avant Garde" w:cs="Arial"/>
          <w:b/>
          <w:i/>
          <w:lang w:val="es-ES"/>
        </w:rPr>
        <w:t xml:space="preserve">“ … </w:t>
      </w:r>
    </w:p>
    <w:p w14:paraId="2F124058" w14:textId="77777777" w:rsidR="00E2222D" w:rsidRDefault="006D3532" w:rsidP="00907F25">
      <w:pPr>
        <w:spacing w:after="240" w:line="360" w:lineRule="auto"/>
        <w:ind w:left="709"/>
        <w:jc w:val="both"/>
        <w:rPr>
          <w:rFonts w:ascii="ITC Avant Garde" w:hAnsi="ITC Avant Garde" w:cs="Arial"/>
          <w:i/>
          <w:lang w:val="es-ES"/>
        </w:rPr>
      </w:pPr>
      <w:r w:rsidRPr="006D3532">
        <w:rPr>
          <w:rFonts w:ascii="ITC Avant Garde" w:hAnsi="ITC Avant Garde" w:cs="Arial"/>
          <w:b/>
          <w:i/>
          <w:u w:val="single"/>
          <w:lang w:val="es-ES"/>
        </w:rPr>
        <w:t xml:space="preserve">Los Concesionarios de Televisión Restringida deberán retransmitir todas las Señales Radiodifundidas de Instituciones Públicas Federales, de Manera Gratuita y No Discriminatoria, en Forma Íntegra y Sin Modificaciones, Simultánea, </w:t>
      </w:r>
      <w:r w:rsidRPr="006D3532">
        <w:rPr>
          <w:rFonts w:ascii="ITC Avant Garde" w:hAnsi="ITC Avant Garde" w:cs="Arial"/>
          <w:b/>
          <w:i/>
          <w:u w:val="single"/>
          <w:lang w:val="es-ES"/>
        </w:rPr>
        <w:lastRenderedPageBreak/>
        <w:t>incluyendo, en su caso, la publicidad, y con la Misma Calidad de la Señal Radiodifundida.</w:t>
      </w:r>
      <w:r w:rsidRPr="006D3532">
        <w:rPr>
          <w:rFonts w:ascii="ITC Avant Garde" w:hAnsi="ITC Avant Garde" w:cs="Arial"/>
          <w:i/>
          <w:lang w:val="es-ES"/>
        </w:rPr>
        <w:t xml:space="preserve"> </w:t>
      </w:r>
      <w:r w:rsidRPr="006D3532">
        <w:rPr>
          <w:rFonts w:ascii="ITC Avant Garde" w:hAnsi="ITC Avant Garde" w:cs="Arial"/>
          <w:b/>
          <w:i/>
          <w:u w:val="single"/>
          <w:lang w:val="es-ES"/>
        </w:rPr>
        <w:t>También deberán incluir aquélla realizada a través de Multiprogramación,</w:t>
      </w:r>
      <w:r w:rsidRPr="006D3532">
        <w:rPr>
          <w:rFonts w:ascii="ITC Avant Garde" w:hAnsi="ITC Avant Garde" w:cs="Arial"/>
          <w:i/>
          <w:lang w:val="es-ES"/>
        </w:rPr>
        <w:t xml:space="preserve"> salvo que el Canal de Programación no corresponda al de una Institución Pública Federal.</w:t>
      </w:r>
    </w:p>
    <w:p w14:paraId="7EC504CB" w14:textId="77777777" w:rsidR="00E2222D" w:rsidRDefault="006D3532" w:rsidP="00907F25">
      <w:pPr>
        <w:spacing w:after="240" w:line="360" w:lineRule="auto"/>
        <w:ind w:left="709"/>
        <w:jc w:val="both"/>
        <w:rPr>
          <w:rFonts w:ascii="ITC Avant Garde" w:hAnsi="ITC Avant Garde" w:cs="Arial"/>
          <w:i/>
          <w:lang w:val="es-ES"/>
        </w:rPr>
      </w:pPr>
      <w:r w:rsidRPr="006D3532">
        <w:rPr>
          <w:rFonts w:ascii="ITC Avant Garde" w:hAnsi="ITC Avant Garde" w:cs="Arial"/>
          <w:b/>
          <w:i/>
          <w:u w:val="single"/>
          <w:lang w:val="es-ES"/>
        </w:rPr>
        <w:t>Las Instituciones Públicas Federales que transmiten señales radiodifundidas al día de hoy son</w:t>
      </w:r>
      <w:r w:rsidRPr="006D3532">
        <w:rPr>
          <w:rFonts w:ascii="ITC Avant Garde" w:hAnsi="ITC Avant Garde" w:cs="Arial"/>
          <w:i/>
          <w:lang w:val="es-ES"/>
        </w:rPr>
        <w:t>, por su propia naturaleza jurídica, la</w:t>
      </w:r>
      <w:r w:rsidRPr="006D3532">
        <w:rPr>
          <w:rFonts w:ascii="ITC Avant Garde" w:hAnsi="ITC Avant Garde" w:cs="Arial"/>
          <w:b/>
          <w:i/>
          <w:u w:val="single"/>
          <w:lang w:val="es-ES"/>
        </w:rPr>
        <w:t xml:space="preserve"> </w:t>
      </w:r>
      <w:r w:rsidRPr="006D3532">
        <w:rPr>
          <w:rFonts w:ascii="ITC Avant Garde" w:hAnsi="ITC Avant Garde" w:cs="Arial"/>
          <w:i/>
          <w:lang w:val="es-ES"/>
        </w:rPr>
        <w:t>Universidad Nacional Autónoma de México,</w:t>
      </w:r>
      <w:r w:rsidRPr="006D3532">
        <w:rPr>
          <w:rFonts w:ascii="ITC Avant Garde" w:hAnsi="ITC Avant Garde" w:cs="Arial"/>
          <w:b/>
          <w:i/>
          <w:u w:val="single"/>
          <w:lang w:val="es-ES"/>
        </w:rPr>
        <w:t xml:space="preserve"> el Instituto Politécnico Nacional, </w:t>
      </w:r>
      <w:r w:rsidRPr="006D3532">
        <w:rPr>
          <w:rFonts w:ascii="ITC Avant Garde" w:hAnsi="ITC Avant Garde" w:cs="Arial"/>
          <w:i/>
          <w:lang w:val="es-ES"/>
        </w:rPr>
        <w:t>el Organismo Promotor de Medios Audiovisuales y Televisión Metropolitana, S.A. de C.V.</w:t>
      </w:r>
    </w:p>
    <w:p w14:paraId="610AC6A7" w14:textId="77777777" w:rsidR="00E2222D" w:rsidRDefault="006D3532" w:rsidP="00907F25">
      <w:pPr>
        <w:spacing w:after="240" w:line="360" w:lineRule="auto"/>
        <w:ind w:left="709"/>
        <w:jc w:val="both"/>
        <w:rPr>
          <w:rFonts w:ascii="ITC Avant Garde" w:hAnsi="ITC Avant Garde" w:cs="Arial"/>
          <w:b/>
          <w:i/>
          <w:u w:val="single"/>
          <w:lang w:val="es-ES"/>
        </w:rPr>
      </w:pPr>
      <w:r w:rsidRPr="006D3532">
        <w:rPr>
          <w:rFonts w:ascii="ITC Avant Garde" w:hAnsi="ITC Avant Garde" w:cs="Arial"/>
          <w:b/>
          <w:i/>
          <w:u w:val="single"/>
          <w:lang w:val="es-ES"/>
        </w:rPr>
        <w:t>Para efectos de claridad, el Instituto mantendrá y actualizará permanentemente en su sitio electrónico, el listado completo de las instituciones públicas federales para los efectos que nos ocupan.</w:t>
      </w:r>
    </w:p>
    <w:p w14:paraId="76954518" w14:textId="77777777" w:rsidR="00E2222D" w:rsidRDefault="006D3532" w:rsidP="00907F25">
      <w:pPr>
        <w:spacing w:after="240" w:line="360" w:lineRule="auto"/>
        <w:ind w:left="709"/>
        <w:jc w:val="both"/>
        <w:rPr>
          <w:rFonts w:ascii="ITC Avant Garde" w:hAnsi="ITC Avant Garde"/>
          <w:color w:val="000000"/>
        </w:rPr>
      </w:pPr>
      <w:r w:rsidRPr="006D3532">
        <w:rPr>
          <w:rFonts w:ascii="ITC Avant Garde" w:hAnsi="ITC Avant Garde" w:cs="Arial"/>
          <w:b/>
          <w:i/>
          <w:u w:val="single"/>
          <w:lang w:val="es-ES"/>
        </w:rPr>
        <w:t>Los Concesionarios de Televisión Restringida Terrenal que no tengan acceso a las Señales Radiodifundidas de Instituciones Públicas Federales en la Misma Zona de Cobertura, estarán obligados a retransmitir dichas señales una vez que el Instituto publique en el Diario Oficial de la Federación que las mismas se encuentren disponibles en su zona de cobertura por el medio que corresponda para su retransmisión, ya sea satélite, microondas, fibra óptica o cualquier otro idóneo, en términos de este artículo.</w:t>
      </w:r>
    </w:p>
    <w:p w14:paraId="2FDD60A4" w14:textId="77777777" w:rsidR="00E2222D" w:rsidRDefault="003F1EBC" w:rsidP="00907F25">
      <w:pPr>
        <w:numPr>
          <w:ilvl w:val="0"/>
          <w:numId w:val="26"/>
        </w:numPr>
        <w:spacing w:after="240" w:line="360" w:lineRule="auto"/>
        <w:ind w:left="714" w:hanging="357"/>
        <w:contextualSpacing/>
        <w:jc w:val="both"/>
        <w:rPr>
          <w:rFonts w:ascii="ITC Avant Garde" w:hAnsi="ITC Avant Garde"/>
          <w:color w:val="000000"/>
        </w:rPr>
      </w:pPr>
      <w:r w:rsidRPr="00B215CD">
        <w:rPr>
          <w:rFonts w:ascii="ITC Avant Garde" w:hAnsi="ITC Avant Garde"/>
          <w:color w:val="000000"/>
        </w:rPr>
        <w:t xml:space="preserve">La señal de </w:t>
      </w:r>
      <w:r w:rsidRPr="00B215CD">
        <w:rPr>
          <w:rFonts w:ascii="ITC Avant Garde" w:hAnsi="ITC Avant Garde"/>
          <w:b/>
          <w:color w:val="000000"/>
        </w:rPr>
        <w:t>Once Niños</w:t>
      </w:r>
      <w:r w:rsidRPr="00B215CD">
        <w:rPr>
          <w:rFonts w:ascii="ITC Avant Garde" w:hAnsi="ITC Avant Garde"/>
          <w:color w:val="000000"/>
        </w:rPr>
        <w:t xml:space="preserve"> estaba disponible para su retransmisión ya que el Instituto publicó el </w:t>
      </w:r>
      <w:r w:rsidR="006D3532" w:rsidRPr="00B215CD">
        <w:rPr>
          <w:rFonts w:ascii="ITC Avant Garde" w:hAnsi="ITC Avant Garde"/>
          <w:color w:val="000000"/>
        </w:rPr>
        <w:t xml:space="preserve">seis de mayo de dos mil catorce en el </w:t>
      </w:r>
      <w:r w:rsidR="00BF2F8B">
        <w:rPr>
          <w:rFonts w:ascii="ITC Avant Garde" w:hAnsi="ITC Avant Garde"/>
          <w:b/>
          <w:color w:val="000000"/>
        </w:rPr>
        <w:t>DOF</w:t>
      </w:r>
      <w:r w:rsidRPr="00B215CD">
        <w:rPr>
          <w:rFonts w:ascii="ITC Avant Garde" w:hAnsi="ITC Avant Garde"/>
          <w:color w:val="000000"/>
        </w:rPr>
        <w:t xml:space="preserve"> el </w:t>
      </w:r>
      <w:r w:rsidR="00BF2F8B">
        <w:rPr>
          <w:rFonts w:ascii="ITC Avant Garde" w:hAnsi="ITC Avant Garde"/>
          <w:b/>
          <w:color w:val="000000"/>
        </w:rPr>
        <w:t>LISTADO</w:t>
      </w:r>
      <w:r w:rsidR="007C16CD" w:rsidRPr="00B215CD">
        <w:rPr>
          <w:rFonts w:ascii="ITC Avant Garde" w:hAnsi="ITC Avant Garde"/>
          <w:b/>
          <w:color w:val="000000"/>
        </w:rPr>
        <w:t xml:space="preserve"> </w:t>
      </w:r>
      <w:r w:rsidR="007C16CD" w:rsidRPr="00B215CD">
        <w:rPr>
          <w:rFonts w:ascii="ITC Avant Garde" w:hAnsi="ITC Avant Garde"/>
          <w:color w:val="000000"/>
        </w:rPr>
        <w:t>y su correspondiente actualización el veintiuno de octubre de dos mil catorce</w:t>
      </w:r>
      <w:r w:rsidRPr="00B215CD">
        <w:rPr>
          <w:rFonts w:ascii="ITC Avant Garde" w:hAnsi="ITC Avant Garde"/>
          <w:color w:val="000000"/>
        </w:rPr>
        <w:t>, en el cual, en su último párrafo señaló expresamente que la obligación de los concesionarios de televisión restringida para retransmitir las señales radiodifundidas de las Instituciones Públicas Federales enlistadas.</w:t>
      </w:r>
    </w:p>
    <w:p w14:paraId="265DE40B" w14:textId="77777777" w:rsidR="00E2222D" w:rsidRDefault="003F1EBC" w:rsidP="00907F25">
      <w:pPr>
        <w:numPr>
          <w:ilvl w:val="0"/>
          <w:numId w:val="26"/>
        </w:numPr>
        <w:spacing w:after="240" w:line="360" w:lineRule="auto"/>
        <w:ind w:left="714" w:hanging="357"/>
        <w:contextualSpacing/>
        <w:jc w:val="both"/>
        <w:rPr>
          <w:rFonts w:ascii="ITC Avant Garde" w:hAnsi="ITC Avant Garde"/>
          <w:color w:val="000000"/>
        </w:rPr>
      </w:pPr>
      <w:r w:rsidRPr="00B215CD">
        <w:rPr>
          <w:rFonts w:ascii="ITC Avant Garde" w:hAnsi="ITC Avant Garde"/>
          <w:color w:val="000000"/>
        </w:rPr>
        <w:t xml:space="preserve">Existía disposición expresa que lo obligaba a retransmitir la señal de </w:t>
      </w:r>
      <w:r w:rsidRPr="00B215CD">
        <w:rPr>
          <w:rFonts w:ascii="ITC Avant Garde" w:hAnsi="ITC Avant Garde"/>
          <w:b/>
          <w:color w:val="000000"/>
        </w:rPr>
        <w:t>Once Niños</w:t>
      </w:r>
      <w:r w:rsidRPr="00B215CD">
        <w:rPr>
          <w:rFonts w:ascii="ITC Avant Garde" w:hAnsi="ITC Avant Garde"/>
          <w:color w:val="000000"/>
        </w:rPr>
        <w:t xml:space="preserve"> y se pusieron a su disposición y alcance todas las características técnicas y medios de contacto para facilitar el cumplimiento de su obligación.</w:t>
      </w:r>
    </w:p>
    <w:p w14:paraId="1F26DAA8" w14:textId="77777777" w:rsidR="00E2222D" w:rsidRDefault="003F1EBC" w:rsidP="00907F25">
      <w:pPr>
        <w:numPr>
          <w:ilvl w:val="0"/>
          <w:numId w:val="26"/>
        </w:numPr>
        <w:spacing w:after="240" w:line="360" w:lineRule="auto"/>
        <w:ind w:left="714" w:hanging="357"/>
        <w:contextualSpacing/>
        <w:jc w:val="both"/>
        <w:rPr>
          <w:rFonts w:ascii="ITC Avant Garde" w:hAnsi="ITC Avant Garde"/>
          <w:color w:val="000000"/>
        </w:rPr>
      </w:pPr>
      <w:r w:rsidRPr="00B215CD">
        <w:rPr>
          <w:rFonts w:ascii="ITC Avant Garde" w:hAnsi="ITC Avant Garde"/>
          <w:color w:val="000000"/>
        </w:rPr>
        <w:lastRenderedPageBreak/>
        <w:t xml:space="preserve">Existe la manifestación expresa de </w:t>
      </w:r>
      <w:r w:rsidRPr="00B215CD">
        <w:rPr>
          <w:rFonts w:ascii="ITC Avant Garde" w:hAnsi="ITC Avant Garde" w:cs="Tahoma"/>
          <w:b/>
          <w:bCs/>
          <w:color w:val="000000"/>
          <w:shd w:val="clear" w:color="auto" w:fill="FFFFFF"/>
        </w:rPr>
        <w:t xml:space="preserve">MEGA CABLE </w:t>
      </w:r>
      <w:r w:rsidRPr="00B215CD">
        <w:rPr>
          <w:rFonts w:ascii="ITC Avant Garde" w:hAnsi="ITC Avant Garde"/>
          <w:color w:val="000000"/>
        </w:rPr>
        <w:t xml:space="preserve">en el sentido de que no retransmitía la señal de </w:t>
      </w:r>
      <w:r w:rsidRPr="00B215CD">
        <w:rPr>
          <w:rFonts w:ascii="ITC Avant Garde" w:hAnsi="ITC Avant Garde"/>
          <w:b/>
          <w:color w:val="000000"/>
        </w:rPr>
        <w:t>Once Niños</w:t>
      </w:r>
      <w:r w:rsidRPr="00B215CD">
        <w:rPr>
          <w:rFonts w:ascii="ITC Avant Garde" w:hAnsi="ITC Avant Garde"/>
          <w:color w:val="000000"/>
        </w:rPr>
        <w:t>.</w:t>
      </w:r>
    </w:p>
    <w:p w14:paraId="61EC1304" w14:textId="77777777" w:rsidR="00E2222D" w:rsidRDefault="003F1EBC" w:rsidP="00907F25">
      <w:pPr>
        <w:tabs>
          <w:tab w:val="left" w:pos="851"/>
        </w:tabs>
        <w:spacing w:after="240" w:line="360" w:lineRule="auto"/>
        <w:jc w:val="both"/>
        <w:rPr>
          <w:rFonts w:ascii="ITC Avant Garde" w:hAnsi="ITC Avant Garde"/>
          <w:b/>
          <w:color w:val="000000"/>
          <w:sz w:val="20"/>
        </w:rPr>
      </w:pPr>
      <w:r w:rsidRPr="00B215CD">
        <w:rPr>
          <w:rFonts w:ascii="ITC Avant Garde" w:eastAsia="Times New Roman" w:hAnsi="ITC Avant Garde"/>
          <w:bCs/>
          <w:color w:val="000000"/>
          <w:lang w:eastAsia="es-MX"/>
        </w:rPr>
        <w:t xml:space="preserve">De lo expuesto se considera que existen elementos de convicción suficientes para considerar que </w:t>
      </w:r>
      <w:r w:rsidR="00BF2F8B">
        <w:rPr>
          <w:rFonts w:ascii="ITC Avant Garde" w:hAnsi="ITC Avant Garde"/>
          <w:b/>
          <w:color w:val="000000"/>
        </w:rPr>
        <w:t>MEGA CABLE</w:t>
      </w:r>
      <w:r w:rsidRPr="00B215CD">
        <w:rPr>
          <w:rFonts w:ascii="ITC Avant Garde" w:hAnsi="ITC Avant Garde"/>
          <w:b/>
          <w:color w:val="000000"/>
        </w:rPr>
        <w:t xml:space="preserve"> </w:t>
      </w:r>
      <w:r w:rsidRPr="00B215CD">
        <w:rPr>
          <w:rFonts w:ascii="ITC Avant Garde" w:eastAsia="Times New Roman" w:hAnsi="ITC Avant Garde"/>
          <w:bCs/>
          <w:color w:val="000000"/>
          <w:lang w:eastAsia="es-MX"/>
        </w:rPr>
        <w:t xml:space="preserve">incumplió lo </w:t>
      </w:r>
      <w:r w:rsidRPr="00B215CD">
        <w:rPr>
          <w:rFonts w:ascii="ITC Avant Garde" w:hAnsi="ITC Avant Garde"/>
          <w:color w:val="000000"/>
        </w:rPr>
        <w:t xml:space="preserve">establecido en el </w:t>
      </w:r>
      <w:r w:rsidR="00BF2F8B">
        <w:rPr>
          <w:rFonts w:ascii="ITC Avant Garde" w:hAnsi="ITC Avant Garde"/>
          <w:b/>
        </w:rPr>
        <w:t>Artículo 12</w:t>
      </w:r>
      <w:r w:rsidR="00BF2F8B">
        <w:rPr>
          <w:rFonts w:ascii="ITC Avant Garde" w:hAnsi="ITC Avant Garde"/>
        </w:rPr>
        <w:t xml:space="preserve"> de los </w:t>
      </w:r>
      <w:r w:rsidR="00BF2F8B">
        <w:rPr>
          <w:rFonts w:ascii="ITC Avant Garde" w:hAnsi="ITC Avant Garde"/>
          <w:b/>
        </w:rPr>
        <w:t xml:space="preserve">LINEAMIENTOS, </w:t>
      </w:r>
      <w:r w:rsidR="00BF2F8B">
        <w:rPr>
          <w:rFonts w:ascii="ITC Avant Garde" w:hAnsi="ITC Avant Garde"/>
        </w:rPr>
        <w:t xml:space="preserve">sus respectivas modificaciones contenidas en el </w:t>
      </w:r>
      <w:r w:rsidR="00BF2F8B">
        <w:rPr>
          <w:rFonts w:ascii="ITC Avant Garde" w:hAnsi="ITC Avant Garde"/>
          <w:b/>
        </w:rPr>
        <w:t xml:space="preserve">ACUERDO MODIFICATORIO; </w:t>
      </w:r>
      <w:r w:rsidR="00BF2F8B">
        <w:rPr>
          <w:rFonts w:ascii="ITC Avant Garde" w:hAnsi="ITC Avant Garde"/>
        </w:rPr>
        <w:t xml:space="preserve">el </w:t>
      </w:r>
      <w:r w:rsidR="00BF2F8B">
        <w:rPr>
          <w:rFonts w:ascii="ITC Avant Garde" w:hAnsi="ITC Avant Garde"/>
          <w:b/>
        </w:rPr>
        <w:t xml:space="preserve">LISTADO </w:t>
      </w:r>
      <w:r w:rsidR="00BF2F8B">
        <w:rPr>
          <w:rFonts w:ascii="ITC Avant Garde" w:hAnsi="ITC Avant Garde"/>
        </w:rPr>
        <w:t xml:space="preserve">y sus correspondientes </w:t>
      </w:r>
      <w:r w:rsidR="00BF2F8B">
        <w:rPr>
          <w:rFonts w:ascii="ITC Avant Garde" w:hAnsi="ITC Avant Garde"/>
          <w:b/>
        </w:rPr>
        <w:t>ACTUALIZACIONES</w:t>
      </w:r>
      <w:r w:rsidRPr="00B215CD">
        <w:rPr>
          <w:rFonts w:ascii="ITC Avant Garde" w:eastAsia="Times New Roman" w:hAnsi="ITC Avant Garde"/>
          <w:bCs/>
          <w:color w:val="000000"/>
          <w:lang w:eastAsia="es-MX"/>
        </w:rPr>
        <w:t xml:space="preserve"> y en consecuencia lo procedente es imponer una sanción en términos de lo previsto en el artículo 298, Apartado B, fracción IV de la</w:t>
      </w:r>
      <w:r w:rsidR="00BF2F8B">
        <w:rPr>
          <w:rFonts w:ascii="ITC Avant Garde" w:eastAsia="Times New Roman" w:hAnsi="ITC Avant Garde"/>
          <w:b/>
          <w:bCs/>
          <w:color w:val="000000"/>
          <w:lang w:eastAsia="es-MX"/>
        </w:rPr>
        <w:t xml:space="preserve"> </w:t>
      </w:r>
      <w:r w:rsidR="00250345">
        <w:rPr>
          <w:rFonts w:ascii="ITC Avant Garde" w:eastAsia="Times New Roman" w:hAnsi="ITC Avant Garde"/>
          <w:b/>
          <w:bCs/>
          <w:color w:val="000000"/>
          <w:lang w:eastAsia="es-MX"/>
        </w:rPr>
        <w:t>LFTR</w:t>
      </w:r>
      <w:r w:rsidRPr="00B215CD">
        <w:rPr>
          <w:rFonts w:ascii="ITC Avant Garde" w:eastAsia="Times New Roman" w:hAnsi="ITC Avant Garde"/>
          <w:b/>
          <w:bCs/>
          <w:color w:val="000000"/>
          <w:lang w:eastAsia="es-MX"/>
        </w:rPr>
        <w:t>.</w:t>
      </w:r>
    </w:p>
    <w:p w14:paraId="4BD58E39" w14:textId="77777777" w:rsidR="00E2222D" w:rsidRDefault="00FA2617" w:rsidP="00907F25">
      <w:pPr>
        <w:pStyle w:val="Textoindependiente"/>
        <w:tabs>
          <w:tab w:val="left" w:pos="993"/>
        </w:tabs>
        <w:spacing w:after="240" w:line="360" w:lineRule="auto"/>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NOVENO</w:t>
      </w:r>
      <w:r w:rsidR="003F1EBC" w:rsidRPr="00B215CD">
        <w:rPr>
          <w:rFonts w:ascii="ITC Avant Garde" w:eastAsia="Times New Roman" w:hAnsi="ITC Avant Garde"/>
          <w:b/>
          <w:bCs/>
          <w:color w:val="000000"/>
          <w:lang w:eastAsia="es-MX"/>
        </w:rPr>
        <w:t xml:space="preserve">. </w:t>
      </w:r>
      <w:r w:rsidR="003F1EBC" w:rsidRPr="00B215CD">
        <w:rPr>
          <w:rFonts w:ascii="ITC Avant Garde" w:hAnsi="ITC Avant Garde"/>
          <w:b/>
          <w:smallCaps/>
          <w:color w:val="000000"/>
        </w:rPr>
        <w:t>Determinación y cuantificación de la sanción.</w:t>
      </w:r>
    </w:p>
    <w:p w14:paraId="0620084E" w14:textId="38A277AA" w:rsidR="00EF2FD1" w:rsidRDefault="00EF2FD1" w:rsidP="00907F25">
      <w:pPr>
        <w:tabs>
          <w:tab w:val="left" w:pos="993"/>
        </w:tabs>
        <w:spacing w:after="240" w:line="360" w:lineRule="auto"/>
        <w:jc w:val="both"/>
        <w:rPr>
          <w:rFonts w:ascii="ITC Avant Garde" w:eastAsia="Times New Roman" w:hAnsi="ITC Avant Garde"/>
          <w:bCs/>
          <w:color w:val="000000"/>
          <w:lang w:eastAsia="es-MX"/>
        </w:rPr>
      </w:pPr>
      <w:r w:rsidRPr="001E768E">
        <w:rPr>
          <w:rFonts w:ascii="ITC Avant Garde" w:eastAsia="Times New Roman" w:hAnsi="ITC Avant Garde"/>
          <w:bCs/>
          <w:color w:val="000000"/>
          <w:lang w:eastAsia="es-MX"/>
        </w:rPr>
        <w:t xml:space="preserve">Una vez reiteradas todas las </w:t>
      </w:r>
      <w:r>
        <w:rPr>
          <w:rFonts w:ascii="ITC Avant Garde" w:eastAsia="Times New Roman" w:hAnsi="ITC Avant Garde"/>
          <w:bCs/>
          <w:color w:val="000000"/>
          <w:lang w:eastAsia="es-MX"/>
        </w:rPr>
        <w:t>consideraciones de la resolución originalmente emitida y en cumplimiento a la ejecutoria de amparo</w:t>
      </w:r>
      <w:r w:rsidR="006A4C95">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se procede a realizar el análisis de la determinación del monto de la sanción de conformidad con lo establecido en la ejecutoria emitida en el amparo en revisión </w:t>
      </w:r>
      <w:r w:rsidRPr="00FA2617">
        <w:rPr>
          <w:rFonts w:ascii="ITC Avant Garde" w:eastAsia="Times New Roman" w:hAnsi="ITC Avant Garde"/>
          <w:b/>
          <w:bCs/>
          <w:color w:val="000000"/>
          <w:lang w:eastAsia="es-MX"/>
        </w:rPr>
        <w:t>210/2017</w:t>
      </w:r>
      <w:r>
        <w:rPr>
          <w:rFonts w:ascii="ITC Avant Garde" w:eastAsia="Times New Roman" w:hAnsi="ITC Avant Garde"/>
          <w:bCs/>
          <w:color w:val="000000"/>
          <w:lang w:eastAsia="es-MX"/>
        </w:rPr>
        <w:t xml:space="preserve"> del índice de la Segunda Sala de la Suprema Corte de Justicia de la Nación.</w:t>
      </w:r>
    </w:p>
    <w:p w14:paraId="448F668D" w14:textId="77777777"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ese sentido, para estar en posibilidad de atender a cabalidad lo ordenado por el Poder Judicial de la Federación, resulta indispensable tener en consideración lo señalado en la ejecutoria de referencia, la cual en la parte que interesa establece lo siguiente:</w:t>
      </w:r>
    </w:p>
    <w:p w14:paraId="4C8913C3"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szCs w:val="20"/>
          <w:lang w:eastAsia="es-MX"/>
        </w:rPr>
      </w:pPr>
      <w:r w:rsidRPr="002549EF">
        <w:rPr>
          <w:rFonts w:ascii="ITC Avant Garde" w:eastAsia="Times New Roman" w:hAnsi="ITC Avant Garde"/>
          <w:bCs/>
          <w:color w:val="000000"/>
          <w:sz w:val="20"/>
          <w:szCs w:val="20"/>
          <w:lang w:eastAsia="es-MX"/>
        </w:rPr>
        <w:t xml:space="preserve">“El agravio hecho valer por la quejosa hoy recurrente en el que subraya los vicios que le atribuye al artículo 298, inciso B), fracción IV de la Ley Federal de Telecomunicaciones y Radiodifusión, por violación al diverso 22 de la Constitución Federal, es fundado, ya que esta Segunda Sala al resolver el amparo en revisión **********, sostuvo que esa disposición es inconstitucional en la porción normativa que establece un porcentaje de sanción mínima del 1% (uno por ciento) del ingreso del infractor, autorizado o concesionario, pues sanciona en el mismo porcentaje mínimo tanto a las conductas que producen efectos poco dañinos, como a aquellas que causan una seria afectación jurídica o material, por lo que tal porcentaje de sanción mínimo </w:t>
      </w:r>
      <w:r w:rsidRPr="002549EF">
        <w:rPr>
          <w:rFonts w:ascii="ITC Avant Garde" w:eastAsia="Times New Roman" w:hAnsi="ITC Avant Garde"/>
          <w:bCs/>
          <w:color w:val="000000"/>
          <w:sz w:val="20"/>
          <w:szCs w:val="20"/>
          <w:lang w:eastAsia="es-MX"/>
        </w:rPr>
        <w:lastRenderedPageBreak/>
        <w:t xml:space="preserve">resulta excesivo al no poder analizarse la conducta particular atribuida y los efectos causados por ésta, a efecto de determinar la afectación causada y así imponer una sanción en un porcentaje aún menor al 1% (uno por ciento) del ingreso del infractor. </w:t>
      </w:r>
    </w:p>
    <w:p w14:paraId="319F846A"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szCs w:val="20"/>
          <w:lang w:eastAsia="es-MX"/>
        </w:rPr>
      </w:pPr>
      <w:r w:rsidRPr="002549EF">
        <w:rPr>
          <w:rFonts w:ascii="ITC Avant Garde" w:eastAsia="Times New Roman" w:hAnsi="ITC Avant Garde"/>
          <w:bCs/>
          <w:color w:val="000000"/>
          <w:sz w:val="20"/>
          <w:szCs w:val="20"/>
          <w:lang w:eastAsia="es-MX"/>
        </w:rPr>
        <w:t>En el precedente referido se sostuvo lo siguiente:</w:t>
      </w:r>
    </w:p>
    <w:p w14:paraId="700B0DA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w:t>
      </w:r>
    </w:p>
    <w:p w14:paraId="2D9D4903" w14:textId="4FA7B65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C. VIOLACIÓN AL ARTÍCULO 22 CONSTITUCIONAL</w:t>
      </w:r>
    </w:p>
    <w:p w14:paraId="736D45A2"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73. Finalmente, el segundo agravio es parcialmente fundado, según se explica enseguida.</w:t>
      </w:r>
    </w:p>
    <w:p w14:paraId="44D7C5C0"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74. La parte infundada de dicho agravio consiste en que la recurrente afirma la ilegalidad de la sentencia recurrida porque —dice—, en la demanda de amparo no se dolió de que la sanción se fije con base en los ingresos acumulables de cada persona, sino que el planteamiento realmente planteado consistió en la inexistencia de relación entre la conducta y la sanción.</w:t>
      </w:r>
    </w:p>
    <w:p w14:paraId="7CB6B704"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75. Pues bien, tal afirmación es incorrecta, ya que de la lectura de la demanda de amparo, particularmente en el tercer concepto de violación (fojas 35 a 43 de la demanda) se desprende que, contrariamente a lo afirmado en el agravio en estudio, la parte quejosa se dolió de que el artículo 299 de la Ley Federal de Telecomunicaciones y Radiodifusión es inconstitucional por contener una base la cual —a su parecer— impide graduar correctamente las sanciones contenidas en esa ley, pues esa base (ingresos acumulables) es igual para todos los casos. Lo anterior se expuso del modo siguiente:</w:t>
      </w:r>
    </w:p>
    <w:p w14:paraId="4A1308BF"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‘…el artículo 299 de la </w:t>
      </w:r>
      <w:r w:rsidR="00250345">
        <w:rPr>
          <w:rFonts w:ascii="ITC Avant Garde" w:eastAsia="Times New Roman" w:hAnsi="ITC Avant Garde"/>
          <w:bCs/>
          <w:color w:val="000000"/>
          <w:sz w:val="18"/>
          <w:szCs w:val="18"/>
          <w:lang w:eastAsia="es-MX"/>
        </w:rPr>
        <w:t>LFTR</w:t>
      </w:r>
      <w:r w:rsidRPr="002549EF">
        <w:rPr>
          <w:rFonts w:ascii="ITC Avant Garde" w:eastAsia="Times New Roman" w:hAnsi="ITC Avant Garde"/>
          <w:bCs/>
          <w:color w:val="000000"/>
          <w:sz w:val="18"/>
          <w:szCs w:val="18"/>
          <w:lang w:eastAsia="es-MX"/>
        </w:rPr>
        <w:t xml:space="preserve"> violenta el principio de proporcionalidad de las penas, pues el mismo no permite determinar, de forma adecuada, una base a partir de la cual se pueda graduar la (SIC) sanciones contenidas en la propia </w:t>
      </w:r>
      <w:r w:rsidR="00250345">
        <w:rPr>
          <w:rFonts w:ascii="ITC Avant Garde" w:eastAsia="Times New Roman" w:hAnsi="ITC Avant Garde"/>
          <w:bCs/>
          <w:color w:val="000000"/>
          <w:sz w:val="18"/>
          <w:szCs w:val="18"/>
          <w:lang w:eastAsia="es-MX"/>
        </w:rPr>
        <w:t>LFTR</w:t>
      </w:r>
      <w:r w:rsidRPr="002549EF">
        <w:rPr>
          <w:rFonts w:ascii="ITC Avant Garde" w:eastAsia="Times New Roman" w:hAnsi="ITC Avant Garde"/>
          <w:bCs/>
          <w:color w:val="000000"/>
          <w:sz w:val="18"/>
          <w:szCs w:val="18"/>
          <w:lang w:eastAsia="es-MX"/>
        </w:rPr>
        <w:t>, por el contrario, establece para todos los casos, la misma base como lo son los ingresos acumulables del ejercicio, situación contraria al principio en estudio…’.</w:t>
      </w:r>
    </w:p>
    <w:p w14:paraId="4DF5EB40"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lastRenderedPageBreak/>
        <w:t>76. Como puede advertirse, en la demanda de amparo, la quejosa sí se dolió de que el artículo 299 de la Ley Federal de Telecomunicaciones y Radiodifusión establece, como elemento común para determinar el importe de las sanciones aplicables, el ingreso acumulable del infractor.</w:t>
      </w:r>
    </w:p>
    <w:p w14:paraId="63B98FAF"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77. Esto es, contrario a lo afirmado en el agravio que se estudia, la quejosa sí vertió argumentos encaminados a demostrar la inconstitucionalidad de la norma indicada al estimar que la base para imponer sanciones (ingreso acumulable) no permite graduar, de forma adecuada, las sanciones aplicables; por ende, tal manifestación es infundada.</w:t>
      </w:r>
    </w:p>
    <w:p w14:paraId="46052CE6"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78. Además, dicho argumento fue desestimado en la sentencia recurrida al concluir que ese planteamiento parte de una premisa errónea porque la capacidad económica del infractor no siempre será la misma, dado que la sanción prevista en el artículo 298, inciso B), fracción IV, de la Ley Federal de Telecomunicaciones y Radiodifusión no siempre arrojará el mismo resultado, al ser diferente el ingreso acumulado de cada infractor; argumento que no es controvertido en el recurso que nos ocupa; de ahí que lo decidido sobre tal cuestión debe permanecer intocado.</w:t>
      </w:r>
    </w:p>
    <w:p w14:paraId="1F513F36"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79. En cambio, la parte fundada del agravio que se analiza se refiere a que la sentencia recurrida no abordó la totalidad de los planteamientos vertidos en el tercer concepto de violación respecto de la pretendida inconstitucionalidad del artículo 299 de la Ley Federal de Telecomunicaciones y Radiodifusión, lo anterior porque, en el tercer concepto de violación, la quejosa expuso lo siguiente:</w:t>
      </w:r>
    </w:p>
    <w:p w14:paraId="1FB96A9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‘…de la simple lectura que se dé al artículo 299 de la </w:t>
      </w:r>
      <w:r w:rsidR="00250345">
        <w:rPr>
          <w:rFonts w:ascii="ITC Avant Garde" w:eastAsia="Times New Roman" w:hAnsi="ITC Avant Garde"/>
          <w:bCs/>
          <w:color w:val="000000"/>
          <w:sz w:val="18"/>
          <w:szCs w:val="18"/>
          <w:lang w:eastAsia="es-MX"/>
        </w:rPr>
        <w:t>LFTR</w:t>
      </w:r>
      <w:r w:rsidRPr="002549EF">
        <w:rPr>
          <w:rFonts w:ascii="ITC Avant Garde" w:eastAsia="Times New Roman" w:hAnsi="ITC Avant Garde"/>
          <w:bCs/>
          <w:color w:val="000000"/>
          <w:sz w:val="18"/>
          <w:szCs w:val="18"/>
          <w:lang w:eastAsia="es-MX"/>
        </w:rPr>
        <w:t xml:space="preserve">, no existe una relación entre la conducta infringida y el parámetro o base que se utiliza para imponer la sanción. Así, el artículo establece que la sanción (establecida a su vez en el artículo 298, inciso B) de la </w:t>
      </w:r>
      <w:r w:rsidR="00250345">
        <w:rPr>
          <w:rFonts w:ascii="ITC Avant Garde" w:eastAsia="Times New Roman" w:hAnsi="ITC Avant Garde"/>
          <w:bCs/>
          <w:color w:val="000000"/>
          <w:sz w:val="18"/>
          <w:szCs w:val="18"/>
          <w:lang w:eastAsia="es-MX"/>
        </w:rPr>
        <w:t>LFTR</w:t>
      </w:r>
      <w:r w:rsidRPr="002549EF">
        <w:rPr>
          <w:rFonts w:ascii="ITC Avant Garde" w:eastAsia="Times New Roman" w:hAnsi="ITC Avant Garde"/>
          <w:bCs/>
          <w:color w:val="000000"/>
          <w:sz w:val="18"/>
          <w:szCs w:val="18"/>
          <w:lang w:eastAsia="es-MX"/>
        </w:rPr>
        <w:t>) se impondrá en base a los ingresos acumulables del ejercicio del infractor, sin embargo, como acontece en la especie, nada tiene que ver la conducta desplegada por el infractor (hecho generador de la sanción) con la base que se establece para calcular su importe, como lo son todos los ingresos acumulables del ejercicio.</w:t>
      </w:r>
    </w:p>
    <w:p w14:paraId="1EB7B66C"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lastRenderedPageBreak/>
        <w:t>Dicho en otras palabras, no existe ninguna relación —proporcional— entre el hecho de haber incumplido —en el supuesto jamás concedido— con la normatividad de la materia (en el caso concreto con el contenido de la autorización otorgada a la quejosa en la que se fija la potencia radiada aparente) con los ingresos que sirven de base para la imposición de la multa…’.</w:t>
      </w:r>
    </w:p>
    <w:p w14:paraId="4A5D7A4D"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80. De lo transcrito se obtiene que una de las líneas argumentativas de la quejosa en contra de la Ley Federal de Telecomunicaciones y Radiodifusión consistió en la falta de relación entre las conductas sancionadas por el artículo 298 de esa norma, la gravedad o daño causado con la conducta y las sanciones ahí establecidas, lo que se traduce en un desfase entre tales aspectos.</w:t>
      </w:r>
    </w:p>
    <w:p w14:paraId="010ADD64"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81. En la sentencia recurrida, al analizar el tercer concepto de violación, se expresó lo siguiente:</w:t>
      </w:r>
    </w:p>
    <w:p w14:paraId="482FDC2B"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(Se transcribe).</w:t>
      </w:r>
    </w:p>
    <w:p w14:paraId="730DA4FC"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82. Como puede apreciarse, al sintetizar y analizar el tercer concepto de violación, la juez A Quo no realizó pronunciamiento alguno en cuanto a la cuestión de constitucionalidad planteada por la quejosa en cuanto a la relación entre la conducta infractora y la sanción aplicable pues se limitó a estudiar el planteamiento atinente a que el ingreso acumulable permite que las sanciones impuestas sean diferentes en cada caso concreto.</w:t>
      </w:r>
    </w:p>
    <w:p w14:paraId="4A6A2615"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83. No escapa a esta Sala que en el planteamiento contenido en el tercer concepto de violación, la quejosa adujo, en esencia, que los márgenes para imponer sanciones resultan excesivos y que esto se enfocó al artículo 299 de la Ley Federal de Telecomunicaciones y Radiodifusión, a pesar de que en realidad la descripción de las conductas reprochables y las sanciones procedentes están previstas en el numeral 298 de esa norma; sin embargo, esto no fue impedimento para que la A Quo analizara tal cuestión dado que en la demanda se expresó con mediana claridad la causa de pedir de la cual se hacía depender la razón de la inconstitucionalidad planteada.</w:t>
      </w:r>
    </w:p>
    <w:p w14:paraId="745F4F93"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84. Luego, si como se ha evidenciado, en la sentencia de amparo se omitió analizar el referido planteamiento —de lo cual deriva lo parcialmente </w:t>
      </w:r>
      <w:r w:rsidRPr="002549EF">
        <w:rPr>
          <w:rFonts w:ascii="ITC Avant Garde" w:eastAsia="Times New Roman" w:hAnsi="ITC Avant Garde"/>
          <w:bCs/>
          <w:color w:val="000000"/>
          <w:sz w:val="18"/>
          <w:szCs w:val="18"/>
          <w:lang w:eastAsia="es-MX"/>
        </w:rPr>
        <w:lastRenderedPageBreak/>
        <w:t>fundando del agravio—, entonces, de conformidad con lo previsto en la fracción V del artículo 93 de la Ley de Amparo, procede abordar el planteamiento en cuya omisión incurrió el A Quo.</w:t>
      </w:r>
    </w:p>
    <w:p w14:paraId="5577706B"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85. Para abordar el planteamiento contenido en el tercer concepto de violación, debe tenerse en consideración tanto el bien jurídico protegido, como lo expresado en el proceso legislativo de tal ordenamiento.</w:t>
      </w:r>
    </w:p>
    <w:p w14:paraId="1918E5BA"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86. Con relación al bien jurídico protegido, la Ley Federal de Telecomunicaciones y Radiodifusión ‘…tiene por objeto regular el uso, aprovechamiento y explotación del espectro radioeléctrico, las redes públicas de telecomunicaciones, el acceso a la infraestructura activa y pasiva, los recursos orbitales, la comunicación vía satélite, la prestación de los servicios públicos de interés general de telecomunicaciones y radiodifusión, y la convergencia entre éstos, los derechos de los usuarios y las audiencias, y el proceso de competencia y libre concurrencia en estos sectores…’ para la consecución de los fines y el ejercicio de los derechos establecidos en los artículos 6o., 7o., 27 y 28 de la Constitución Política de los Estados Unidos Mexicanos. </w:t>
      </w:r>
    </w:p>
    <w:p w14:paraId="73204527"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87. De conformidad con la interpretación hecha por el Pleno de esta Suprema Corte de Justicia de la Nación al resolver la Acción de Inconstitucionalidad **********, respecto del artículo 27 constitucional, el espectro radioeléctrico es un bien de uso común que, en términos de la Ley General de Bienes Nacionales, está sujeto al régimen de dominio público de la Federación, lo cual implica que para su aprovechamiento especial se requiere concesión, autorización o permiso otorgados conforme a las condiciones y requisitos legalmente establecidos.</w:t>
      </w:r>
    </w:p>
    <w:p w14:paraId="6DA70623"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88. Lo anterior implica que ese bien requiere una protección especial por parte del Estado, por lo cual, el eventual incumplimiento de las normas relacionadas con su protección exige el establecimiento de sanciones tendentes a su salvaguarda y a desincentivar su afectación; es decir, la imposición de sanciones respecto de conductas que atenten en contra del espectro radioeléctrico tiene una justificación constitucional consistente en la protección de un bien limitado y propiedad de la nación cuyo aprovechamiento está reglado por la Ley Federal de Telecomunicaciones y Radiodifusión. </w:t>
      </w:r>
    </w:p>
    <w:p w14:paraId="06BEAEBF"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lastRenderedPageBreak/>
        <w:t>89. Esto es, la ley en comento busca la protección de diversos derechos y bienes jurídicos previstos y tutelados constitucionalmente; por ende, las conductas que atenten en contra de esos derechos y bienes, exigen el establecimiento de sanciones que guarden relación con el bien jurídico protegido.</w:t>
      </w:r>
    </w:p>
    <w:p w14:paraId="7FCB74FB"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90. En este sentido, como se ha expuesto oportunamente, del proceso legislativo de la Ley Federal de Telecomunicaciones y Radiodifusión se obtiene, en lo que interesa, lo siguiente:</w:t>
      </w:r>
    </w:p>
    <w:p w14:paraId="1468C495"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w:t>
      </w:r>
      <w:r w:rsidRPr="002549EF">
        <w:rPr>
          <w:rFonts w:ascii="ITC Avant Garde" w:eastAsia="Times New Roman" w:hAnsi="ITC Avant Garde"/>
          <w:bCs/>
          <w:color w:val="000000"/>
          <w:sz w:val="18"/>
          <w:szCs w:val="18"/>
          <w:lang w:eastAsia="es-MX"/>
        </w:rPr>
        <w:tab/>
        <w:t xml:space="preserve">El sistema de sanciones se estructuró sobre la base de la gravedad de las infracciones, para lo cual el legislador estableció sanciones menos gravosas para las conductas que estimó de menor trascendencia, y mayores sanciones para las infracciones más graves. </w:t>
      </w:r>
    </w:p>
    <w:p w14:paraId="47DCF873"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w:t>
      </w:r>
      <w:r w:rsidRPr="002549EF">
        <w:rPr>
          <w:rFonts w:ascii="ITC Avant Garde" w:eastAsia="Times New Roman" w:hAnsi="ITC Avant Garde"/>
          <w:bCs/>
          <w:color w:val="000000"/>
          <w:sz w:val="18"/>
          <w:szCs w:val="18"/>
          <w:lang w:eastAsia="es-MX"/>
        </w:rPr>
        <w:tab/>
        <w:t xml:space="preserve">El legislador identificó claramente algunas conductas, las cuales describió expresamente en el artículo 298 de la Ley de Telecomunicaciones; sin embargo, hubo algunas que no describió en forma expresa, sino sólo hizo una remisión genérica a ‘…otras violaciones a esta Ley, a los Reglamentos, a las disposiciones administrativas, planes técnicos fundamentales y demás disposiciones emitidas por el Instituto; así como a las concesiones o autorizaciones que no estén expresamente contempladas en el presente capítulo…’ (artículo 298, inciso B), fracción IV). </w:t>
      </w:r>
    </w:p>
    <w:p w14:paraId="058A23C5"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w:t>
      </w:r>
      <w:r w:rsidRPr="002549EF">
        <w:rPr>
          <w:rFonts w:ascii="ITC Avant Garde" w:eastAsia="Times New Roman" w:hAnsi="ITC Avant Garde"/>
          <w:bCs/>
          <w:color w:val="000000"/>
          <w:sz w:val="18"/>
          <w:szCs w:val="18"/>
          <w:lang w:eastAsia="es-MX"/>
        </w:rPr>
        <w:tab/>
        <w:t xml:space="preserve">El sistema de sanciones atiende a porcentajes bajos —respecto de los sugeridos por la OCDE— pero en razón de una base amplia como lo es el ingreso acumulado del infractor, con lo cual se busca inhibir las conductas sancionadas. </w:t>
      </w:r>
    </w:p>
    <w:p w14:paraId="30DCD684"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w:t>
      </w:r>
      <w:r w:rsidRPr="002549EF">
        <w:rPr>
          <w:rFonts w:ascii="ITC Avant Garde" w:eastAsia="Times New Roman" w:hAnsi="ITC Avant Garde"/>
          <w:bCs/>
          <w:color w:val="000000"/>
          <w:sz w:val="18"/>
          <w:szCs w:val="18"/>
          <w:lang w:eastAsia="es-MX"/>
        </w:rPr>
        <w:tab/>
        <w:t>En la estructuración del sistema sancionatorio el legislador identificó cinco grupos de sanciones.</w:t>
      </w:r>
    </w:p>
    <w:p w14:paraId="5CEDCBC5"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91. En cuanto al último de los aspectos indicados, esto es, la creación de cinco grupos distintos de sanciones, éstas pueden identificarse del modo siguiente:</w:t>
      </w:r>
    </w:p>
    <w:p w14:paraId="3F606FA5"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Importe de la sanción (multa)</w:t>
      </w:r>
      <w:r w:rsidRPr="002549EF">
        <w:rPr>
          <w:rFonts w:ascii="ITC Avant Garde" w:eastAsia="Times New Roman" w:hAnsi="ITC Avant Garde"/>
          <w:bCs/>
          <w:color w:val="000000"/>
          <w:sz w:val="18"/>
          <w:szCs w:val="18"/>
          <w:lang w:eastAsia="es-MX"/>
        </w:rPr>
        <w:tab/>
        <w:t>Fundamento legal</w:t>
      </w:r>
    </w:p>
    <w:p w14:paraId="365699A5" w14:textId="29AF2663"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 Entre el 0.01% y hasta 0.75% de los ingresos acumulables</w:t>
      </w:r>
      <w:r w:rsidRPr="002549EF">
        <w:rPr>
          <w:rFonts w:ascii="ITC Avant Garde" w:eastAsia="Times New Roman" w:hAnsi="ITC Avant Garde"/>
          <w:bCs/>
          <w:color w:val="000000"/>
          <w:sz w:val="18"/>
          <w:szCs w:val="18"/>
          <w:lang w:eastAsia="es-MX"/>
        </w:rPr>
        <w:tab/>
        <w:t xml:space="preserve">Artículo 298, inciso A), fracciones I, II y III. </w:t>
      </w:r>
    </w:p>
    <w:p w14:paraId="33511706"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lastRenderedPageBreak/>
        <w:t>2. Entre el 1% y hasta el 3% de los ingresos acumulables</w:t>
      </w:r>
      <w:r w:rsidRPr="002549EF">
        <w:rPr>
          <w:rFonts w:ascii="ITC Avant Garde" w:eastAsia="Times New Roman" w:hAnsi="ITC Avant Garde"/>
          <w:bCs/>
          <w:color w:val="000000"/>
          <w:sz w:val="18"/>
          <w:szCs w:val="18"/>
          <w:lang w:eastAsia="es-MX"/>
        </w:rPr>
        <w:tab/>
        <w:t>Artículo 298, inciso B), fracciones I, II, III y IV.</w:t>
      </w:r>
    </w:p>
    <w:p w14:paraId="48ED10FA"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3. Entre el 1.1.% y hasta el 4% de los ingresos acumulables</w:t>
      </w:r>
      <w:r w:rsidRPr="002549EF">
        <w:rPr>
          <w:rFonts w:ascii="ITC Avant Garde" w:eastAsia="Times New Roman" w:hAnsi="ITC Avant Garde"/>
          <w:bCs/>
          <w:color w:val="000000"/>
          <w:sz w:val="18"/>
          <w:szCs w:val="18"/>
          <w:lang w:eastAsia="es-MX"/>
        </w:rPr>
        <w:tab/>
        <w:t>Artículo 298, inciso C), fracciones I, II, III, IV, V y VI.</w:t>
      </w:r>
    </w:p>
    <w:p w14:paraId="49B131D1"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4. Entre el 2.01% y hasta el 6% de los ingresos acumulables</w:t>
      </w:r>
      <w:r w:rsidRPr="002549EF">
        <w:rPr>
          <w:rFonts w:ascii="ITC Avant Garde" w:eastAsia="Times New Roman" w:hAnsi="ITC Avant Garde"/>
          <w:bCs/>
          <w:color w:val="000000"/>
          <w:sz w:val="18"/>
          <w:szCs w:val="18"/>
          <w:lang w:eastAsia="es-MX"/>
        </w:rPr>
        <w:tab/>
        <w:t>Artículo 298, inciso D), fracciones I, II, III, IV, V, VI y VII.</w:t>
      </w:r>
    </w:p>
    <w:p w14:paraId="4E2E3C4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5. Entre el 6.01% y hasta el 10% de los ingresos acumulables</w:t>
      </w:r>
      <w:r w:rsidRPr="002549EF">
        <w:rPr>
          <w:rFonts w:ascii="ITC Avant Garde" w:eastAsia="Times New Roman" w:hAnsi="ITC Avant Garde"/>
          <w:bCs/>
          <w:color w:val="000000"/>
          <w:sz w:val="18"/>
          <w:szCs w:val="18"/>
          <w:lang w:eastAsia="es-MX"/>
        </w:rPr>
        <w:tab/>
        <w:t xml:space="preserve">Artículo 298, inciso E), fracciones I y II </w:t>
      </w:r>
    </w:p>
    <w:p w14:paraId="3CB9E523"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92. A efecto de analizar el argumento propuesto por la quejosa, es prudente hacer algunas consideraciones, atento a lo siguiente:</w:t>
      </w:r>
    </w:p>
    <w:p w14:paraId="682AD42B"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93. De conformidad con el artículo 22 de la Constitución Política de los Estados Unidos Mexicanos, están prohibidas las penas o sanciones excesivas. Si bien la terminología empleada en la norma constitucional pareciera estar referida a la materia penal dado que habla de pena y delito, lo cierto es que tal norma es aplicable para todas las normas que establezcan sanciones, con independencia de la materia de que se trate, pues en realidad lo que se procura es la proporcionalidad entre la conducta y la sanción aplicable. Así se obtiene del criterio siguiente:</w:t>
      </w:r>
    </w:p>
    <w:p w14:paraId="65E80B30"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‘PENAS. PRINCIPIO DE PROPORCIONALIDAD CONTENIDO EN EL ARTÍCULO 22 DE LA CONSTITUCIÓN POLÍTICA DE LOS ESTADOS UNIDOS MEXICANOS’. (Se transcribe).</w:t>
      </w:r>
    </w:p>
    <w:p w14:paraId="7608B82A"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94. Por ejemplo, en materia penal dicho principio procura que delitos como las lesiones sean sancionados en menor medida que el homicidio simple, o que el homicidio doloso, pues claramente las consecuencias de una conducta y otra producen efectos distintos, por lo que sería desproporcionado imponer una mayor sanción para las lesiones que para el homicidio en cualquiera de sus modalidades.</w:t>
      </w:r>
    </w:p>
    <w:p w14:paraId="32E7B822"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95. Dentro de las formas del derecho punitivo del Estado no sólo encontramos al derecho penal, sino que también es posible la imposición de sanciones de naturaleza no penal, como son las correspondientes al derecho administrativo </w:t>
      </w:r>
      <w:r w:rsidRPr="002549EF">
        <w:rPr>
          <w:rFonts w:ascii="ITC Avant Garde" w:eastAsia="Times New Roman" w:hAnsi="ITC Avant Garde"/>
          <w:bCs/>
          <w:color w:val="000000"/>
          <w:sz w:val="18"/>
          <w:szCs w:val="18"/>
          <w:lang w:eastAsia="es-MX"/>
        </w:rPr>
        <w:lastRenderedPageBreak/>
        <w:t>sancionador, el cual tiene sus propios principios constitucionales pero esto no excluye la posibilidad de acudir a los principios del derecho penal, ya que ambos derivan de la potestad punitiva del Estado. Así lo consideró el Pleno de esta Suprema Corte de Justicia de la Nación en la jurisprudencia P./J. 99/2006, que indica:</w:t>
      </w:r>
    </w:p>
    <w:p w14:paraId="6AFF45FB"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‘DERECHO ADMINISTRATIVO SANCIONADOR. PARA LA CONSTRUCCIÓN DE SUS PROPIOS PRINCIPIOS CONSTITUCIONALES ES VÁLIDO ACUDIR DE MANERA PRUDENTE A LAS TÉCNICAS GARANTISTAS DEL DERECHO PENAL, EN TANTO AMBOS SON MANIFESTACIONES DE LA POTESTAD PUNITIVA DEL ESTADO’. (Se transcribe).</w:t>
      </w:r>
    </w:p>
    <w:p w14:paraId="733C1CEF"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96. Sin embargo, no todos los principios del derecho penal son aplicables al derecho administrativo sancionador, pues como se ha dicho, éste tiene sus propios principios constitucionales, de tal suerte que los principios rectores de la materia penal aplican a la materia administrativa con ciertas modulaciones.</w:t>
      </w:r>
    </w:p>
    <w:p w14:paraId="76F346A3"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97. Incluso, en materia de telecomunicaciones, el Pleno de este Alto Tribunal ha estimado que principios como el de legalidad debe modularse, pues al tratarse de normas administrativas derivadas del modelo del Estado Regulador, ese principio no implica que necesariamente deba existir una ley precedida que sea la medida de sus disposiciones de carácter general, pues constitucionalmente, de existir una inactividad legislativa sobre la materia, el órgano regulador podría emitir dichas disposiciones y autónomamente lograr validez si no exceden las delimitaciones internas del indicado artículo 28 constitucional. Así se obtiene del criterio siguiente:</w:t>
      </w:r>
    </w:p>
    <w:p w14:paraId="401A839D"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‘INSTITUTO FEDERAL DE TELECOMUNICACIONES (IFT). A SUS DISPOSICIONES DE CARÁCTER GENERAL LES RESULTA APLICABLE EL PRINCIPIO DE LEGALIDAD MODULADO CONSTITUCIONALMENTE POR EL MODELO DE ESTADO REGULADOR’. (Se transcribe).</w:t>
      </w:r>
    </w:p>
    <w:p w14:paraId="03ED89E0"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98. Con relación a las multas excesivas, esta Suprema Corte de Justicia de la Nación ha estimado que tienen tal carácter las sanciones que no atienden a las posibilidades económicas del infractor con relación a la gravedad de la conducta punible, es decir, cuando no exista una relación razonable entre la conducta reprochable y la sanción procedente, en razón de la gravedad y </w:t>
      </w:r>
      <w:r w:rsidRPr="002549EF">
        <w:rPr>
          <w:rFonts w:ascii="ITC Avant Garde" w:eastAsia="Times New Roman" w:hAnsi="ITC Avant Garde"/>
          <w:bCs/>
          <w:color w:val="000000"/>
          <w:sz w:val="18"/>
          <w:szCs w:val="18"/>
          <w:lang w:eastAsia="es-MX"/>
        </w:rPr>
        <w:lastRenderedPageBreak/>
        <w:t>efectos que cada conducta produce, de tal suerte que cuando la irregularidad es de gran trascendencia, la sanción sea considerablemente excesiva y, por tanto, que sea significativa; a contrario, si la conducta infractora es menor, entonces la sanción igualmente tendrá que ser inferior. Al caso cobra aplicación el criterio siguiente:</w:t>
      </w:r>
    </w:p>
    <w:p w14:paraId="050CF29C"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‘MULTA EXCESIVA. CONCEPTO DE’. (Se transcribe).</w:t>
      </w:r>
    </w:p>
    <w:p w14:paraId="67C5B4C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99. Sentado lo anterior, debe reiterarse que el artículo 298 de la Ley Federal de Telecomunicaciones y Radiodifusión establece cinco rangos o categorías diferentes de sanciones, todas referidas a un porcentaje del ingreso acumulable del infractor.</w:t>
      </w:r>
    </w:p>
    <w:p w14:paraId="159302CA"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100. El primer grupo de sanciones, es decir, las que oscilan entre el 0.01% y hasta 0.75% de los ingresos acumulables del infractor, corresponde a las conductas previstas en el artículo 298, inciso A), fracciones I, II y III; es decir, a:</w:t>
      </w:r>
    </w:p>
    <w:p w14:paraId="24763A90" w14:textId="26B55538"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 Presentar de manera extemporánea avisos, reportes, documentos o información.</w:t>
      </w:r>
    </w:p>
    <w:p w14:paraId="66B16327"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II. Contravenir las disposiciones sobre homologación de equipos y cableados.</w:t>
      </w:r>
    </w:p>
    <w:p w14:paraId="512FF737"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III. Incumplir con las obligaciones de registro establecidas en la Ley.</w:t>
      </w:r>
    </w:p>
    <w:p w14:paraId="043DD439"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101. El segundo de los montos de sanción (entre el 1% y hasta el 3% de los ingresos acumulables) procede cuando se realiza alguna de las conductas previstas en el Artículo 298, inciso B), fracciones I, II, III y IV, es decir:</w:t>
      </w:r>
    </w:p>
    <w:p w14:paraId="58B71851" w14:textId="382BD2AC"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 Bloquear, interferir, discriminar, entorpecer o restringir arbitrariamente el derecho de cualquier usuario del servicio de acceso a Internet.</w:t>
      </w:r>
    </w:p>
    <w:p w14:paraId="032CC049"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II. Contratar en exclusiva, propiedades para la instalación de infraestructura de telecomunicaciones o radiodifusión, en contravención a las disposiciones aplicables u órdenes emitidas por la autoridad.</w:t>
      </w:r>
    </w:p>
    <w:p w14:paraId="66D9505D"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III. Incumplir con las obligaciones o condiciones establecidas en la concesión o autorización cuyo incumplimiento no esté sancionado con revocación.</w:t>
      </w:r>
    </w:p>
    <w:p w14:paraId="4039C94C"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lastRenderedPageBreak/>
        <w:t>IV. Cualquier otra violación a lo previsto en la Ley, a los Reglamentos, a las disposiciones administrativas, planes técnicos fundamentales y demás disposiciones emitidas por el Instituto; así como a las concesiones o autorizaciones que no estén expresamente contempladas en el presente capítulo (este es el supuesto que se consideró actualizado en el caso.</w:t>
      </w:r>
    </w:p>
    <w:p w14:paraId="18AFD39C"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102. El tercer rango de sanciones (de entre el 1.1% y hasta el 4% de los ingresos acumulables) se aplica cuando se realiza alguna de las conductas descritas en el artículo 298, inciso C), fracciones I, II, III, IV, V y VI, de la Ley, a saber:</w:t>
      </w:r>
    </w:p>
    <w:p w14:paraId="4C3A80D7" w14:textId="03EC3B69"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 Celebrar acuerdos que impidan ofrecer servicios y espacios de publicidad a terceros.</w:t>
      </w:r>
    </w:p>
    <w:p w14:paraId="7B6D9A09"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II. Ofrecer de forma discriminatoria, los servicios y espacios de publicidad.</w:t>
      </w:r>
    </w:p>
    <w:p w14:paraId="36BB349F"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III. No observar los límites de exposición máxima para seres humanos a radiaciones electromagnéticas, conforme a la normatividad aplicable.</w:t>
      </w:r>
    </w:p>
    <w:p w14:paraId="46DE7A39"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IV. Establecer barreras de cualquier naturaleza que impidan la conexión del equipo terminal del usuario con otros concesionarios que operen redes de telecomunicaciones.</w:t>
      </w:r>
    </w:p>
    <w:p w14:paraId="6003BAF7"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V. No cumplir con las obligaciones establecidas en esta Ley relacionadas con la colaboración con la justicia.</w:t>
      </w:r>
    </w:p>
    <w:p w14:paraId="7077ECC9"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VI. Proporcionar dolosamente información errónea de usuarios, de directorios, de infraestructura o de cobro de servicios.</w:t>
      </w:r>
    </w:p>
    <w:p w14:paraId="477F5C57"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103. En el cuarto rango de sanciones aplicables, es decir, aquellas que oscilan entre el 2.01% y hasta el 6% de los ingresos acumulables del infractor, se encuentran las conductas siguientes (previstas en el artículo 298, inciso D), fracciones I, II, III, IV, V, VI y VII, de la Ley):</w:t>
      </w:r>
    </w:p>
    <w:p w14:paraId="49943018" w14:textId="43C3BEE6"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 Incumplir con las obligaciones en materia de operación e interconexión de redes de telecomunicaciones.</w:t>
      </w:r>
    </w:p>
    <w:p w14:paraId="5505E508"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II. Ejecutar actos que impidan la actuación de otros concesionarios o autorizados con derecho a ello. </w:t>
      </w:r>
    </w:p>
    <w:p w14:paraId="5E30355A"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lastRenderedPageBreak/>
        <w:t xml:space="preserve">III. Interceptar información que se transmita por las redes públicas de telecomunicaciones, salvo que medie resolución de autoridad competente. </w:t>
      </w:r>
    </w:p>
    <w:p w14:paraId="7A7BA88A"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IV. Realizar modificaciones a la red sin autorización del Instituto, que afecten el funcionamiento e interoperabilidad de los equipos. </w:t>
      </w:r>
    </w:p>
    <w:p w14:paraId="74FDB715"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V. No establecer las medidas necesarias para garantizar la confidencialidad y privacidad de las comunicaciones de los usuarios. </w:t>
      </w:r>
    </w:p>
    <w:p w14:paraId="446591B2" w14:textId="77777777"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VI. Contravenir las disposiciones o resoluciones en materia de tarifas que establezca el Instituto.</w:t>
      </w:r>
    </w:p>
    <w:p w14:paraId="17D808F6"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VII. Incumplir con los niveles de eficiencia en el uso del espectro radioeléctrico establecidos por el Instituto.</w:t>
      </w:r>
    </w:p>
    <w:p w14:paraId="080EB162"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104. Finalmente, en el quinto rango o categoría, es decir, aquellas conductas que se sancionan con las infracciones más altas (entre el 6.01% y hasta el 10% de los ingresos acumulables del infractor), encontramos las conductas previstas en el artículo 298, inciso E), fracciones I y II, de la Ley, a saber:</w:t>
      </w:r>
    </w:p>
    <w:p w14:paraId="1D44529E" w14:textId="55DC8608" w:rsidR="00EF2FD1" w:rsidRPr="002549EF"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 Prestar servicios de telecomunicaciones o radiodifusión sin contar con concesión o autorización, o</w:t>
      </w:r>
    </w:p>
    <w:p w14:paraId="40637B82"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II. Interrumpir, sin causa justificada o sin autorización del Instituto, la prestación total de servicios en poblaciones en que el concesionario sea el único prestador de ellos.</w:t>
      </w:r>
    </w:p>
    <w:p w14:paraId="04547483"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
          <w:bCs/>
          <w:color w:val="000000"/>
          <w:sz w:val="18"/>
          <w:szCs w:val="18"/>
          <w:u w:val="single"/>
          <w:lang w:eastAsia="es-MX"/>
        </w:rPr>
        <w:t>105. Como puede apreciarse, en el primer rango se sancionarán infracciones de menor trascendencia o impacto para las telecomunicaciones</w:t>
      </w:r>
      <w:r w:rsidRPr="002549EF">
        <w:rPr>
          <w:rFonts w:ascii="ITC Avant Garde" w:eastAsia="Times New Roman" w:hAnsi="ITC Avant Garde"/>
          <w:bCs/>
          <w:color w:val="000000"/>
          <w:sz w:val="18"/>
          <w:szCs w:val="18"/>
          <w:lang w:eastAsia="es-MX"/>
        </w:rPr>
        <w:t xml:space="preserve"> y las cuales no afectan directamente la utilización o aprovechamiento del espectro radioeléctrico; </w:t>
      </w:r>
      <w:r w:rsidRPr="00E93862">
        <w:rPr>
          <w:rFonts w:ascii="ITC Avant Garde" w:eastAsia="Times New Roman" w:hAnsi="ITC Avant Garde"/>
          <w:b/>
          <w:bCs/>
          <w:color w:val="000000"/>
          <w:sz w:val="18"/>
          <w:szCs w:val="18"/>
          <w:u w:val="single"/>
          <w:lang w:eastAsia="es-MX"/>
        </w:rPr>
        <w:t>por el contrario, se trata de infracciones de carácter meramente formal o técnico, como lo es la presentación extemporánea de avisos, reportes, documentos o información, o bien, el incumplimiento de las obligaciones de registro</w:t>
      </w:r>
      <w:r w:rsidRPr="002549EF">
        <w:rPr>
          <w:rFonts w:ascii="ITC Avant Garde" w:eastAsia="Times New Roman" w:hAnsi="ITC Avant Garde"/>
          <w:bCs/>
          <w:color w:val="000000"/>
          <w:sz w:val="18"/>
          <w:szCs w:val="18"/>
          <w:lang w:eastAsia="es-MX"/>
        </w:rPr>
        <w:t xml:space="preserve">. </w:t>
      </w:r>
    </w:p>
    <w:p w14:paraId="0D17A19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106. </w:t>
      </w:r>
      <w:r w:rsidRPr="00E93862">
        <w:rPr>
          <w:rFonts w:ascii="ITC Avant Garde" w:eastAsia="Times New Roman" w:hAnsi="ITC Avant Garde"/>
          <w:b/>
          <w:bCs/>
          <w:color w:val="000000"/>
          <w:sz w:val="18"/>
          <w:szCs w:val="18"/>
          <w:u w:val="single"/>
          <w:lang w:eastAsia="es-MX"/>
        </w:rPr>
        <w:t>El segundo rango de sanciones corresponde a infracciones cuya trascendencia deja de ser meramente formal o de carácter técnico (homologación de equipos, la cual no afecta la prestación del servicio</w:t>
      </w:r>
      <w:r w:rsidRPr="002549EF">
        <w:rPr>
          <w:rFonts w:ascii="ITC Avant Garde" w:eastAsia="Times New Roman" w:hAnsi="ITC Avant Garde"/>
          <w:bCs/>
          <w:color w:val="000000"/>
          <w:sz w:val="18"/>
          <w:szCs w:val="18"/>
          <w:lang w:eastAsia="es-MX"/>
        </w:rPr>
        <w:t xml:space="preserve"> ni el </w:t>
      </w:r>
      <w:r w:rsidRPr="002549EF">
        <w:rPr>
          <w:rFonts w:ascii="ITC Avant Garde" w:eastAsia="Times New Roman" w:hAnsi="ITC Avant Garde"/>
          <w:bCs/>
          <w:color w:val="000000"/>
          <w:sz w:val="18"/>
          <w:szCs w:val="18"/>
          <w:lang w:eastAsia="es-MX"/>
        </w:rPr>
        <w:lastRenderedPageBreak/>
        <w:t xml:space="preserve">aprovechamiento del espectro), </w:t>
      </w:r>
      <w:r w:rsidRPr="00E93862">
        <w:rPr>
          <w:rFonts w:ascii="ITC Avant Garde" w:eastAsia="Times New Roman" w:hAnsi="ITC Avant Garde"/>
          <w:b/>
          <w:bCs/>
          <w:color w:val="000000"/>
          <w:sz w:val="18"/>
          <w:szCs w:val="18"/>
          <w:u w:val="single"/>
          <w:lang w:eastAsia="es-MX"/>
        </w:rPr>
        <w:t>pues se imponen respecto de conductas que afectan los derechos de terceros</w:t>
      </w:r>
      <w:r w:rsidRPr="002549EF">
        <w:rPr>
          <w:rFonts w:ascii="ITC Avant Garde" w:eastAsia="Times New Roman" w:hAnsi="ITC Avant Garde"/>
          <w:bCs/>
          <w:color w:val="000000"/>
          <w:sz w:val="18"/>
          <w:szCs w:val="18"/>
          <w:lang w:eastAsia="es-MX"/>
        </w:rPr>
        <w:t xml:space="preserve"> (bloquear, interferir, discriminar, entorpecer o restringir arbitrariamente el derecho de cualquier usuario del servicio de acceso a Internet), el desacato a lo dispuesto por la autoridad (contratar en exclusiva, propiedades para la instalación de infraestructura de telecomunicaciones o radiodifusión, en contravención a las disposiciones aplicables u órdenes emitidas por la autoridad) o la inobservancia de la normativa aplicable (concesiones o autorizaciones cuando ello no genere la revocación y el incumplimiento de lo previsto en la Ley, los Reglamentos, las disposiciones administrativas, planes técnicos fundamentales y demás disposiciones emitidas por el Instituto).</w:t>
      </w:r>
    </w:p>
    <w:p w14:paraId="14EA29D2"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107. </w:t>
      </w:r>
      <w:r w:rsidRPr="00E93862">
        <w:rPr>
          <w:rFonts w:ascii="ITC Avant Garde" w:eastAsia="Times New Roman" w:hAnsi="ITC Avant Garde"/>
          <w:b/>
          <w:bCs/>
          <w:color w:val="000000"/>
          <w:sz w:val="18"/>
          <w:szCs w:val="18"/>
          <w:u w:val="single"/>
          <w:lang w:eastAsia="es-MX"/>
        </w:rPr>
        <w:t>Como puede apreciarse, las conductas sancionadas con ese rango de multas ya no corresponden a aspectos meramente formales o infracciones menores, sino que se refiere a la afectación de terceros y al incumplimiento de los diversos tipos de normas y actos aplicables; de ahí que se trata de infracciones de mayor entidad jurídica y, por tanto, las multas procedentes son superiores a las previstas en el primer rango</w:t>
      </w:r>
      <w:r w:rsidRPr="002549EF">
        <w:rPr>
          <w:rFonts w:ascii="ITC Avant Garde" w:eastAsia="Times New Roman" w:hAnsi="ITC Avant Garde"/>
          <w:bCs/>
          <w:color w:val="000000"/>
          <w:sz w:val="18"/>
          <w:szCs w:val="18"/>
          <w:lang w:eastAsia="es-MX"/>
        </w:rPr>
        <w:t xml:space="preserve">. </w:t>
      </w:r>
    </w:p>
    <w:p w14:paraId="6C46BA6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108. El tercer rango de sanciones se impone respecto de conductas que afectan la prestación de los servicios y no generan condiciones de competitividad (celebrar acuerdos que impidan ofrecer servicios y espacios de publicidad a terceros; ofrecer de forma discriminatoria, los servicios y espacios de publicidad; establecer barreras de cualquier naturaleza que impidan la conexión del equipo terminal del usuario con otros concesionarios que operen redes de telecomunicaciones; proporcionar dolosamente información errónea de usuarios, de directorios, de infraestructura o de cobro de servicios), o bien, de conductas dañinas para la salud de las personas (inobservar los límites de exposición máxima para seres humanos a radiaciones electromagnéticas) o bien, el desacato a las obligaciones impuestas en la ley y relacionadas específicamente con la colaboración de la justicia.</w:t>
      </w:r>
    </w:p>
    <w:p w14:paraId="315959A5"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109. El cuarto rango de sanciones está previsto para infracciones las cuales ya afectan la calidad de los servicios de telecomunicaciones (incumplir con las obligaciones en materia de operación e interconexión de redes de telecomunicaciones o realizar modificaciones a la red sin autorización del Instituto que afecten el funcionamiento e interoperabilidad de los equipos; </w:t>
      </w:r>
      <w:r w:rsidRPr="002549EF">
        <w:rPr>
          <w:rFonts w:ascii="ITC Avant Garde" w:eastAsia="Times New Roman" w:hAnsi="ITC Avant Garde"/>
          <w:bCs/>
          <w:color w:val="000000"/>
          <w:sz w:val="18"/>
          <w:szCs w:val="18"/>
          <w:lang w:eastAsia="es-MX"/>
        </w:rPr>
        <w:lastRenderedPageBreak/>
        <w:t>incumplir con los niveles de eficiencia en el uso del espectro radioeléctrico establecidos por el Instituto); generan falta de condiciones de competitividad (ejecutar actos que impidan la actuación de otros concesionarios o autorizados), afectan el derecho a la privacidad de las comunicaciones (interceptar información que se transmita por las redes públicas de telecomunicaciones o no establecer las medidas necesarias para garantizar la confidencialidad y privacidad de las comunicaciones de los usuarios), generan ventajas económicas y falta de competitividad (contravenir las disposiciones o resoluciones en materia de tarifas que establezca el Instituto).</w:t>
      </w:r>
    </w:p>
    <w:p w14:paraId="240CC58B"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110. Finalmente, el quinto rango de sanciones corresponde a las conductas que se busca a toda costa no se presenten y, de suceder, que la sanción sea totalmente inhibitoria de nuevas infracciones de esa índole, pues esas conductas se consideran como las que mayor afectación general en el espectro radioeléctrico y en la prestación de los servicios de telecomunicaciones (bienes tutelados), como lo es la suspensión injustificada del servicio o el uso indebido de ese bien finito y limitado de la Nación.</w:t>
      </w:r>
    </w:p>
    <w:p w14:paraId="29E9F736"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111. Sentado lo anterior, es conveniente reiterar que la conducta reprochada a la quejosa consistió en la violación de lo previsto en los artículos 155 de la Ley Federal de Telecomunicaciones y Radiodifusión y en la condición Primera de la autorización otorgada por la extinta COFETEL, por lo que se estimó procedente aplicar la sanción prevista en la fracción IV, inciso B), del artículo 298 de esa Ley, por tanto, se impuso la sanción equivalente al 1% (uno por ciento) de los ingresos acumulables de la persona moral infractora, la cual corresponde a la mínima legalmente posible para las conductas previstas en esa porción normativa.</w:t>
      </w:r>
    </w:p>
    <w:p w14:paraId="7A76D735"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112. Asimismo se insiste en que la irregularidad advertida y sancionada consistió en que a través del oficio de autorización número **********, de diez de septiembre de dos mil doce, se autorizó a la ahora recurrente la instalación, operación y uso temporal de un canal adicional para realizar transmisiones simultáneas de su canal analógico, para lo cual se estableció como potencia radiada aparente (P.R.A.), 8.740 kW (kilowatts); sin embargo, al momento de la verificación administrativa se encontró que la potencia radiada aparente era menor, pues la transmisión era de 3.31484 kW (kilowatts), con lo cual se estimó </w:t>
      </w:r>
      <w:r w:rsidRPr="002549EF">
        <w:rPr>
          <w:rFonts w:ascii="ITC Avant Garde" w:eastAsia="Times New Roman" w:hAnsi="ITC Avant Garde"/>
          <w:bCs/>
          <w:color w:val="000000"/>
          <w:sz w:val="18"/>
          <w:szCs w:val="18"/>
          <w:lang w:eastAsia="es-MX"/>
        </w:rPr>
        <w:lastRenderedPageBreak/>
        <w:t>incumplido lo previsto en el artículo 155 de la Ley, en relación al citado oficio de autorización.</w:t>
      </w:r>
    </w:p>
    <w:p w14:paraId="59A98056"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113. Claramente la conducta reprochada no corresponde a alguna de aquellas expresamente descritas en el artículo 298 de la Ley Federal de Telecomunicaciones y Radiodifusión; por el contrario, se trata de una conducta no prevista expresamente en esa norma, pero que es sancionable a partir de lo establecido en otros preceptos legales y con base en la fracción IV del inciso B), del citado numeral, siendo sancionable con una multa que oscila entre el 1% y hasta el 3% del ingreso acumulable del infractor.</w:t>
      </w:r>
    </w:p>
    <w:p w14:paraId="5234DBF6"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114. </w:t>
      </w:r>
      <w:r w:rsidRPr="00E93862">
        <w:rPr>
          <w:rFonts w:ascii="ITC Avant Garde" w:eastAsia="Times New Roman" w:hAnsi="ITC Avant Garde"/>
          <w:b/>
          <w:bCs/>
          <w:color w:val="000000"/>
          <w:sz w:val="18"/>
          <w:szCs w:val="18"/>
          <w:u w:val="single"/>
          <w:lang w:eastAsia="es-MX"/>
        </w:rPr>
        <w:t>Esto es, las conductas que pueden configurarse a partir de lo previsto en la fracción IV, inciso B), del artículo 298 de la Ley Federal de Telecomunicaciones y Radiodifusión pueden ser muy variadas y distintas respecto de aquellas expresamente consideradas por el legislador en los inciso A), fracciones I, II y III; B), fracciones I, II y III; C), fracciones I, II, III, IV, V y VI; D), fracciones I, II, III, IV, V, VI y VII; y  E), fracciones I y II, todos del artículo 298 de la Ley, lo cual puede significar que entre las conductas derivadas del ejercicio de integración por parte de la autoridad sancionadora a partir de cláusulas abiertas o tipos administrativos en blanco, se encuentren conductas cuya gravedad sea de gran significado y trascendencia, y otras que resulten irrelevantes o se refieran a aspectos de mucha menor importancia o produzca efectos nocivos ínfimos o irrelevantes; sin embargo, invariablemente, todas esas conductas serán sancionadas con el mismo porcentaje de multa, es decir, entre el 1% y hasta el 3% del ingreso acumulable del infractor</w:t>
      </w:r>
      <w:r w:rsidRPr="002549EF">
        <w:rPr>
          <w:rFonts w:ascii="ITC Avant Garde" w:eastAsia="Times New Roman" w:hAnsi="ITC Avant Garde"/>
          <w:bCs/>
          <w:color w:val="000000"/>
          <w:sz w:val="18"/>
          <w:szCs w:val="18"/>
          <w:lang w:eastAsia="es-MX"/>
        </w:rPr>
        <w:t>.</w:t>
      </w:r>
    </w:p>
    <w:p w14:paraId="525ADDFD"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115. Como se advierte, la porción normativa que se analiza presenta algunas circunstancias particulares respecto de las demás conductas sancionables y que están previstas con otros porcentajes de sanción ya sean menores, o bien, mayores, pues a diferencia de lo previsto en el artículo 298, inciso A), fracciones I, II y III; B), fracciones I, II y III; C), fracciones I, II, III, IV, V y VI; D), fracciones I, II, III, IV, V, VI y VII; y E), fracciones I y II, de la Ley, en la fracción IV del inciso B) de ese precepto, la conducta no está expresamente prevista, sino que como se ha indicado, es una norma que requiere de un ejercicio de integración normativa para establecer el tipo administrativo o deber normativo eventualmente sancionable.</w:t>
      </w:r>
    </w:p>
    <w:p w14:paraId="261E5E2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lastRenderedPageBreak/>
        <w:t>116. Esta particularidad permite que las conductas sancionables que se configuren con base en el artículo 298, inciso B), fracción IV, de la ley en comento (las cuales consisten en el incumplimiento de lo previsto en la ley, reglamentos, disposiciones administrativas, planes técnicos fundamentales, disposiciones emitidas por el Instituto, las concesiones o autorizaciones) puedan tener alcances diferentes.</w:t>
      </w:r>
    </w:p>
    <w:p w14:paraId="37B49186"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117. </w:t>
      </w:r>
      <w:r w:rsidRPr="00E93862">
        <w:rPr>
          <w:rFonts w:ascii="ITC Avant Garde" w:eastAsia="Times New Roman" w:hAnsi="ITC Avant Garde"/>
          <w:b/>
          <w:bCs/>
          <w:color w:val="000000"/>
          <w:sz w:val="18"/>
          <w:szCs w:val="18"/>
          <w:u w:val="single"/>
          <w:lang w:eastAsia="es-MX"/>
        </w:rPr>
        <w:t>Es decir, al existir la posibilidad configurar muy variadas conductas infractoras a partir de la normativa aplicable a la materia, el resultado de cada una de esas conductas será muy diferente en cada supuesto y, por tanto, no es posible predeterminar que, en todos los casos que el deber incumplido (construido a partir de la normativa de la materia) generó una afectación idéntica y, por tanto, que la sanción deberá oscilar invariablemente entre el 1% y el 3% de los ingresos del infractor; esto pues es posible que esas conductas integradas a partir de cláusulas abiertas tengan una consecuencia o efecto muy grave (en cuyo caso será necesario imponer una sanción ejemplar de magnitud considerable), o bien, efectos mínimos que sólo ameriten el imponer sanciones menores en su cuantía</w:t>
      </w:r>
      <w:r w:rsidRPr="002549EF">
        <w:rPr>
          <w:rFonts w:ascii="ITC Avant Garde" w:eastAsia="Times New Roman" w:hAnsi="ITC Avant Garde"/>
          <w:bCs/>
          <w:color w:val="000000"/>
          <w:sz w:val="18"/>
          <w:szCs w:val="18"/>
          <w:lang w:eastAsia="es-MX"/>
        </w:rPr>
        <w:t>.</w:t>
      </w:r>
    </w:p>
    <w:p w14:paraId="14550DF5"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118. Es cierto que de conformidad con las fracciones I y II del artículo 301 de la Ley Federal de Telecomunicaciones y Radiodifusión, para determinar el monto de las multas aplicables, la autoridad debe atender tanto a la gravedad de la infracción, como a la capacidad económica del infractor; sin embargo esto no implica que pueda determinar el porcentaje de sanción que le parezca más adecuado en cada caso; en realidad esta posibilidad sólo faculta a la autoridad a atender a los montos mínimos y máximos previstos en cada fracción del artículo 298 de la Ley, lo que implica que cuando se estima incumplida alguna obligación derivada de la integración normativa, en ejercicio de lo previsto en el citado artículo 301, la autoridad sólo podrá determinar si aplica una sanción entre el 1% y el 3% del ingreso acumulable del infractor (por ser el aplicable para ese tipo de conductas).</w:t>
      </w:r>
    </w:p>
    <w:p w14:paraId="46ECAED2"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119. </w:t>
      </w:r>
      <w:r w:rsidRPr="00E93862">
        <w:rPr>
          <w:rFonts w:ascii="ITC Avant Garde" w:eastAsia="Times New Roman" w:hAnsi="ITC Avant Garde"/>
          <w:b/>
          <w:bCs/>
          <w:color w:val="000000"/>
          <w:sz w:val="18"/>
          <w:szCs w:val="18"/>
          <w:u w:val="single"/>
          <w:lang w:eastAsia="es-MX"/>
        </w:rPr>
        <w:t xml:space="preserve">Lo anterior se traduce en que, invariablemente, la multa mínima será del 1% del ingreso acumulable, incluso en aquellos casos en que la infracción configurada pueda consistir en el incumplimiento de aspectos formales o técnicos; es decir, supuestos de menor relevancia fáctica o al orden jurídico y afectación mínima al bien jurídico protegido (espectro radioeléctrico). </w:t>
      </w:r>
      <w:r w:rsidRPr="00E93862">
        <w:rPr>
          <w:rFonts w:ascii="ITC Avant Garde" w:eastAsia="Times New Roman" w:hAnsi="ITC Avant Garde"/>
          <w:b/>
          <w:bCs/>
          <w:color w:val="000000"/>
          <w:sz w:val="18"/>
          <w:szCs w:val="18"/>
          <w:u w:val="single"/>
          <w:lang w:eastAsia="es-MX"/>
        </w:rPr>
        <w:lastRenderedPageBreak/>
        <w:t>Igualmente, en caso de que la conducta infractora —configurada a partir de normas en blanco o cláusulas abiertas— genere afectaciones considerables y afecte en forma importante el uso del espectro radioeléctrico, la autoridad administrativa también sólo estará en posibilidad de imponer una multa máxima de hasta el 3% del ingreso acumulable del infractor, esto aun cuando los efectos de ese actuar puedan ser de gran relevancia fáctica o al orden jurídico y de mayor afectación al bien jurídico protegido</w:t>
      </w:r>
      <w:r w:rsidRPr="002549EF">
        <w:rPr>
          <w:rFonts w:ascii="ITC Avant Garde" w:eastAsia="Times New Roman" w:hAnsi="ITC Avant Garde"/>
          <w:bCs/>
          <w:color w:val="000000"/>
          <w:sz w:val="18"/>
          <w:szCs w:val="18"/>
          <w:lang w:eastAsia="es-MX"/>
        </w:rPr>
        <w:t>.</w:t>
      </w:r>
    </w:p>
    <w:p w14:paraId="4C0CB262"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120. Cabe indicar que por lo que respecta al máximo de la sanción procedente, es decir, el 3% del ingreso acumulable del concesionario, autorizado o infractor, no procede realizar análisis alguno pues aunque éste se encuentra contenido (como tope superior de sanción) en el artículo 298, apartado B, fracción IV, de la Ley Federal de Telecomunicaciones y Radiodifusión, lo cierto es que, por una parte, la quejosa no cuestiona ese porcentaje (dado que no fue el aplicado al caso concreto) y, por otra, en el caso, la multa se individualizó en el equivalente al 1% del ingreso acumulable de la ahora quejosa; es decir, en el porcentaje mínimo legal, el cual es el que la quejosa está en posibilidad de cuestionar y es el que considera violatorio de lo previsto en el artículo 22 constitucional; por ende, esta Sala sólo se ocupará del límite inferior de sanción previsto en el referido precepto legal.</w:t>
      </w:r>
    </w:p>
    <w:p w14:paraId="72526E0A" w14:textId="00FB843C" w:rsidR="00EF2FD1"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121. </w:t>
      </w:r>
      <w:r w:rsidRPr="00E93862">
        <w:rPr>
          <w:rFonts w:ascii="ITC Avant Garde" w:eastAsia="Times New Roman" w:hAnsi="ITC Avant Garde"/>
          <w:b/>
          <w:bCs/>
          <w:color w:val="000000"/>
          <w:sz w:val="18"/>
          <w:szCs w:val="18"/>
          <w:u w:val="single"/>
          <w:lang w:eastAsia="es-MX"/>
        </w:rPr>
        <w:t>En el caso se estima que la multa mínima (del 1%) prevista en el artículo 298, inciso B), fracción IV, de la Ley Federal de Telecomunicaciones y Radiodifusión es contraria al numeral 22 de la Constitución Política de los Estados Unidos Mexicanos porque se trata de un rango mínimo de sanción el cual resulta excesivo al permitir que cualquier conducta construida a partir de la normativa aplicable (cláusulas abiertas o tipos administrativos en blanco) sea sancionada con base en la misma proporción mínima (1% del ingreso acumulable), sin atender a la conducta en particular y a los efectos que ésta produce (frente al bien jurídico protegido), a efecto de imponer una sanción que resulte razonable y corresponda con la afectación causada</w:t>
      </w:r>
      <w:r w:rsidRPr="002549EF">
        <w:rPr>
          <w:rFonts w:ascii="ITC Avant Garde" w:eastAsia="Times New Roman" w:hAnsi="ITC Avant Garde"/>
          <w:bCs/>
          <w:color w:val="000000"/>
          <w:sz w:val="18"/>
          <w:szCs w:val="18"/>
          <w:lang w:eastAsia="es-MX"/>
        </w:rPr>
        <w:t>.</w:t>
      </w:r>
    </w:p>
    <w:p w14:paraId="71236D2A"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122. Al respecto, debe hacerse notar que el 1% del ingreso acumulable que como multa mínima se prevé para las conductas a que se refiere el artículo 298, inciso B), fracción IV, de la Ley Federal de Telecomunicaciones y Radiodifusión, es superior a la multa mínima aplicable para otras infracciones como las establecidas en las fracciones I, II y III del inciso A), del propio numeral (cuyo </w:t>
      </w:r>
      <w:r w:rsidRPr="002549EF">
        <w:rPr>
          <w:rFonts w:ascii="ITC Avant Garde" w:eastAsia="Times New Roman" w:hAnsi="ITC Avant Garde"/>
          <w:bCs/>
          <w:color w:val="000000"/>
          <w:sz w:val="18"/>
          <w:szCs w:val="18"/>
          <w:lang w:eastAsia="es-MX"/>
        </w:rPr>
        <w:lastRenderedPageBreak/>
        <w:t xml:space="preserve">rango de sanción oscila entre el 0.01% y hasta el 0.75% del ingreso acumulable), siendo que eventualmente, las conductas configuradas con base en tipos administrativos en blanco puedan igualmente tener la misma gravedad o afectación del bien jurídico tutelado; </w:t>
      </w:r>
      <w:r w:rsidRPr="00E93862">
        <w:rPr>
          <w:rFonts w:ascii="ITC Avant Garde" w:eastAsia="Times New Roman" w:hAnsi="ITC Avant Garde"/>
          <w:b/>
          <w:bCs/>
          <w:color w:val="000000"/>
          <w:sz w:val="18"/>
          <w:szCs w:val="18"/>
          <w:u w:val="single"/>
          <w:lang w:eastAsia="es-MX"/>
        </w:rPr>
        <w:t>es decir, en ciertos casos, la magnitud de esas infracciones derivadas del ejercicio de integración normativo puede llegar a ser la misma que las infracciones expresamente previstas en el primer inciso de ese precepto y, no obstante ello, el legislador les asignó una sanción mínima superior (1% del ingreso acumulable), con lo cual se evidencia que en algunas ocasiones, la sanción mínima aplicable es excesiva por no atender al tipo de afectación generada con cada conducta específica; es decir, la sanción mínima aplicable a las conductas a que se refiere el artículo 298, inciso B), fracción IV, de la Ley Federal de Telecomunicaciones y Radiodifusión, será la misma en todos los casos, al margen de la verdadera afectación causada por la infracción y la trascendencia, menoscabo o puesta en riesgo del bien jurídico tutelado que cada conducta particular pudo generar</w:t>
      </w:r>
      <w:r w:rsidRPr="002549EF">
        <w:rPr>
          <w:rFonts w:ascii="ITC Avant Garde" w:eastAsia="Times New Roman" w:hAnsi="ITC Avant Garde"/>
          <w:bCs/>
          <w:color w:val="000000"/>
          <w:sz w:val="18"/>
          <w:szCs w:val="18"/>
          <w:lang w:eastAsia="es-MX"/>
        </w:rPr>
        <w:t>.</w:t>
      </w:r>
    </w:p>
    <w:p w14:paraId="18EEE9B2"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123. Dicho de otro modo, dado que existen conductas no previstas expresamente por el legislador (pero sí en la ley y demás normativa aplicable) cuyo incumplimiento es susceptible de sanción conforme al artículo 298, inciso B), fracción IV, de la Ley Federal de Telecomunicaciones y Radiodifusión, las cuales pueden ser muy variadas, entonces los efectos generados por cada una de esas conductas particulares serán igualmente distintos, generando diferentes grados de afectación al bien jurídico protegido (espectro radioeléctrico); sin embargo, el referido precepto legal establece a esas conductas diferentes, un mismo porcentaje mínimo de sanción (1%), lo cual impide distinguir el grado de afectación producido con la conducta sancionable.</w:t>
      </w:r>
    </w:p>
    <w:p w14:paraId="1E08FE71"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124. Cabe precisar que (aunque no es objeto de pronunciamiento por esta Sala según se indicó oportunamente), respecto del rango superior de sanción previsto en el artículo 298, inciso B), fracción IV, de la Ley Federal de Telecomunicaciones y Radiodifusión (3%), cuando la conducta atribuida genera una afectación considerablemente mayor al bien tutelado, el artículo 303 de la citada norma se prevé la procedencia de un porcentaje de sanción más elevado.</w:t>
      </w:r>
    </w:p>
    <w:p w14:paraId="16FC03E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lastRenderedPageBreak/>
        <w:t>125. Esto es, en los casos previstos en el artículo 303 de la Ley Federal de Telecomunicaciones y Radiodifusión, cuando la conducta reprochada se integre con base en lo previsto en la normativa de la materia de telecomunicaciones (ley, reglamentos, acuerdos, circulares, lineamientos técnicos, concesiones, permisos, autorizaciones), aunque se trata de una conducta sancionable a partir de cláusulas abiertas (tipos administrativos en blanco) a la que ordinariamente correspondería —conforme al artículo 298, inciso B), fracción IV, de la ley de la materia— una sanción de entre el 1% y hasta el 3% del ingreso acumulable del infractor, concesionario o autorizado (en los términos oportunamente expuestos), el legislador previó que, ante la gravedad y trascendencia de la conducta, el porcentaje de sanción aplicable fuera superior, por lo que en la parte final de citado artículo 303 hizo una remisión al inciso E), del artículo 298 de la Ley, al cual corresponde un porcentaje de sanción entre el 6.01% y hasta el 10% del ingreso.</w:t>
      </w:r>
    </w:p>
    <w:p w14:paraId="5E49F89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126. Lo expuesto revela que el legislador consideró que las conductas integradas a partir de tipos administrativos en blanco cuyos efectos nocivos fueran de gran magnitud y trascendencia, serían sancionados con un porcentaje del ingreso superior al que ordinariamente les correspondería (pues pasaría de entre el 1% y el 3% al 6.01% y hasta el 10%); esto, en aras de procurar una relación entre las conductas integradas a partir de tipos administrativos en blanco y las sanciones aplicables, </w:t>
      </w:r>
      <w:r w:rsidRPr="00027A8F">
        <w:rPr>
          <w:rFonts w:ascii="ITC Avant Garde" w:eastAsia="Times New Roman" w:hAnsi="ITC Avant Garde"/>
          <w:b/>
          <w:bCs/>
          <w:color w:val="000000"/>
          <w:sz w:val="18"/>
          <w:szCs w:val="18"/>
          <w:u w:val="single"/>
          <w:lang w:eastAsia="es-MX"/>
        </w:rPr>
        <w:t>de tal suerte que cuando una de esas conductas produzca efectos realmente graves o cause una afectación de gran magnitud al bien jurídico tutelado o lo ponga en riesgo, la sanción aplicable será superior a la que ordinariamente correspondería a una conducta integrada a partir de tipos en blanco</w:t>
      </w:r>
      <w:r w:rsidRPr="002549EF">
        <w:rPr>
          <w:rFonts w:ascii="ITC Avant Garde" w:eastAsia="Times New Roman" w:hAnsi="ITC Avant Garde"/>
          <w:bCs/>
          <w:color w:val="000000"/>
          <w:sz w:val="18"/>
          <w:szCs w:val="18"/>
          <w:lang w:eastAsia="es-MX"/>
        </w:rPr>
        <w:t>.</w:t>
      </w:r>
    </w:p>
    <w:p w14:paraId="711757D2"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127. En cambio, </w:t>
      </w:r>
      <w:r w:rsidRPr="00027A8F">
        <w:rPr>
          <w:rFonts w:ascii="ITC Avant Garde" w:eastAsia="Times New Roman" w:hAnsi="ITC Avant Garde"/>
          <w:b/>
          <w:bCs/>
          <w:color w:val="000000"/>
          <w:sz w:val="18"/>
          <w:szCs w:val="18"/>
          <w:u w:val="single"/>
          <w:lang w:eastAsia="es-MX"/>
        </w:rPr>
        <w:t>por lo que se refiere al límite inferior de la sanción prevista en el inciso B) del artículo 298 de la ley en comento (1%), el legislador no contempló la posibilidad de que las conductas a que se refiere ese inciso produzcan efectos menos lesivos, o bien, sean de menor entidad jurídica y, por consiguiente, que esas conductas puedan sancionarse con un porcentaje de ingreso menor al 1%,</w:t>
      </w:r>
      <w:r w:rsidRPr="002549EF">
        <w:rPr>
          <w:rFonts w:ascii="ITC Avant Garde" w:eastAsia="Times New Roman" w:hAnsi="ITC Avant Garde"/>
          <w:bCs/>
          <w:color w:val="000000"/>
          <w:sz w:val="18"/>
          <w:szCs w:val="18"/>
          <w:lang w:eastAsia="es-MX"/>
        </w:rPr>
        <w:t xml:space="preserve"> como ocurre, por ejemplo, con las conductas previstas en el inciso A) de esa norma y la sanción que les resulta aplicable (entre el 0.01% y hasta el 0.75% del ingreso).</w:t>
      </w:r>
    </w:p>
    <w:p w14:paraId="00F3B990"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lastRenderedPageBreak/>
        <w:t>128. Esto es, tanto jurídica como materialmente es posible que las conductas a que se refiere el inciso B), de la fracción IV, del numeral 298 de la Ley Federal de Telecomunicaciones y Radiodifusión tengan menores consecuencias o produzcan jurídicas ínfimas respecto de otras conductas que están expresamente descritas en el artículo 298 de esa norma y, por tanto, que igualmente ameriten sancionarse en menor magnitud; es decir, con base en un porcentaje de ingreso menor del asignado por el legislador (1%).</w:t>
      </w:r>
    </w:p>
    <w:p w14:paraId="42D2464A"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129. Es decir, las conductas a que se refiere el artículo 298, inciso B), fracción IV, de la Ley Federal de Telecomunicaciones y Radiodifusión podrían tener efectos análogos, equiparables, similares o, incluso, menores que las conductas descritas en el inciso A), del artículo 298 en comento y, por tanto, lo adecuado es que se sancionen en menor porcentaje que las conductas cuyos efectos son más graves y lesionan en mayor medida al bien jurídico tutelado; sin embargo, el legislador impidió esa posibilidad al tasar la sanción aplicable en un mínimo del 1% del ingreso, lo cual desatiende a lo previsto en el artículo 22 constitucional pues se traduce en una sanción excesiva al desatender a la relación que debe existir entre la conducta, las consecuencias producidas y la sanción aplicable.</w:t>
      </w:r>
    </w:p>
    <w:p w14:paraId="6F1AE296"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130. En este sentido, el legislador debió prever la posibilidad de que los efectos producidos por ciertas conductas indebidas sean menores a los causados por las conductas en cuyo rango de sanción estableció el porcentaje de multa para las infracciones derivadas de tipos administrativos en blanco —como lo hizo cuando esas conductas tienen efectos más dañinos, al hacer en el artículo 303 de la ley, una remisión a la sanción prevista en el inciso E) del artículo 298—; sin embargo, en forma indebida, se limitó esa posibilidad y, por tanto, se dio la posibilidad de sancionar conductas cuyos efectos sean lesivos, en el mismo porcentaje mínimo que aquellas que pueden generar efectos mayores en el bien tutelado.</w:t>
      </w:r>
    </w:p>
    <w:p w14:paraId="6A5C2D9A"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131. Bajo las consideraciones expuestas, esta Segunda Sala concluye que el artículo 298, inciso B), fracción IV, de la Ley Federal de Telecomunicaciones y Radiodifusión es inconstitucional en la porción normativa que establece un porcentaje de sanción mínima del 1% del ingreso del infractor, autorizado o concesionario, pues sanciona en el mismo porcentaje mínimo tanto a las conductas que producen efectos poco dañinos, como a aquellas que causan </w:t>
      </w:r>
      <w:r w:rsidRPr="002549EF">
        <w:rPr>
          <w:rFonts w:ascii="ITC Avant Garde" w:eastAsia="Times New Roman" w:hAnsi="ITC Avant Garde"/>
          <w:bCs/>
          <w:color w:val="000000"/>
          <w:sz w:val="18"/>
          <w:szCs w:val="18"/>
          <w:lang w:eastAsia="es-MX"/>
        </w:rPr>
        <w:lastRenderedPageBreak/>
        <w:t xml:space="preserve">una seria afectación jurídica o material, </w:t>
      </w:r>
      <w:r w:rsidRPr="00F007BE">
        <w:rPr>
          <w:rFonts w:ascii="ITC Avant Garde" w:eastAsia="Times New Roman" w:hAnsi="ITC Avant Garde"/>
          <w:b/>
          <w:bCs/>
          <w:color w:val="000000"/>
          <w:sz w:val="18"/>
          <w:szCs w:val="18"/>
          <w:u w:val="single"/>
          <w:lang w:eastAsia="es-MX"/>
        </w:rPr>
        <w:t>por lo que tal porcentaje de sanción mínimo resulta excesivo al no poder analizarse la conducta particular atribuida y los efectos causados por ésta, a efecto de determinar la afectación causada</w:t>
      </w:r>
      <w:r w:rsidRPr="002549EF">
        <w:rPr>
          <w:rFonts w:ascii="ITC Avant Garde" w:eastAsia="Times New Roman" w:hAnsi="ITC Avant Garde"/>
          <w:bCs/>
          <w:color w:val="000000"/>
          <w:sz w:val="18"/>
          <w:szCs w:val="18"/>
          <w:lang w:eastAsia="es-MX"/>
        </w:rPr>
        <w:t xml:space="preserve"> y así imponer una sanción en un porcentaje aún menor al 1% del ingreso del infractor.</w:t>
      </w:r>
    </w:p>
    <w:p w14:paraId="7508D91C"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132. Esto es, el precepto en comento limita o encajona las múltiples conductas a que se refiere el artículo 298, inciso B), fracción IV, de la Ley Federal de Telecomunicaciones y Radiodifusión, en un rango mínimo determinado de sanción que no necesariamente atenderá a la gravedad de la infracción, impidiendo valorar si la conducta reprochada y los efectos por ella producidos son o no de una entidad menor que justifique la imposición de una sanción de menor proporción al 1% del ingreso del infractor, autorizado o concesionario.</w:t>
      </w:r>
    </w:p>
    <w:p w14:paraId="520D32B0"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133. </w:t>
      </w:r>
      <w:r w:rsidRPr="00F007BE">
        <w:rPr>
          <w:rFonts w:ascii="ITC Avant Garde" w:eastAsia="Times New Roman" w:hAnsi="ITC Avant Garde"/>
          <w:b/>
          <w:bCs/>
          <w:color w:val="000000"/>
          <w:sz w:val="18"/>
          <w:szCs w:val="18"/>
          <w:u w:val="single"/>
          <w:lang w:eastAsia="es-MX"/>
        </w:rPr>
        <w:t>Así, para que la norma analizada no resulte contraria al artículo 22 de la Constitución Política de los Estados Unidos Mexicanos —al menos por lo que respecta al monto inferior ahí previsto— se requiere de una relación entre la conducta imputada, la afectación</w:t>
      </w:r>
      <w:r w:rsidRPr="00027A8F">
        <w:rPr>
          <w:rFonts w:ascii="ITC Avant Garde" w:eastAsia="Times New Roman" w:hAnsi="ITC Avant Garde"/>
          <w:b/>
          <w:bCs/>
          <w:color w:val="000000"/>
          <w:sz w:val="18"/>
          <w:szCs w:val="18"/>
          <w:u w:val="single"/>
          <w:lang w:eastAsia="es-MX"/>
        </w:rPr>
        <w:t xml:space="preserve"> producida y la sanción aplicable, la cual no existe en la especie pues entre los efectos producidos por la conducta reprochada y la sanción aplicable existe una discrepancia que se manifiesta en la imposibilidad de imponer sanciones menores al 1% del ingreso acumulable del infractor, a pesar de que la afectación sufrida en el bien jurídico tutelado sea ínfima o menor</w:t>
      </w:r>
      <w:r w:rsidRPr="002549EF">
        <w:rPr>
          <w:rFonts w:ascii="ITC Avant Garde" w:eastAsia="Times New Roman" w:hAnsi="ITC Avant Garde"/>
          <w:bCs/>
          <w:color w:val="000000"/>
          <w:sz w:val="18"/>
          <w:szCs w:val="18"/>
          <w:lang w:eastAsia="es-MX"/>
        </w:rPr>
        <w:t>.</w:t>
      </w:r>
    </w:p>
    <w:p w14:paraId="459EFE83"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134. En razón de la conclusión alcanzada, al resultar inconstitucional el porcentaje mínimo de sanción previsto en el artículo 298, inciso B), de la Ley Federal de Telecomunicaciones y Radiodifusión, únicamente por lo que hace a las conductas a que se refiere el artículo 298, inciso B), fracción IV, de la Ley Federal de Telecomunicaciones y Radiodifusión, entonces procede otorgar el amparo en contra del referido precepto, únicamente en lo que se refiere a la porción normativa en la cual se establece el porcentaje mínimo de sanción del 1% del ingreso. </w:t>
      </w:r>
    </w:p>
    <w:p w14:paraId="5792931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135. Cabe precisar que ante el vicio de inconstitucionalidad advertido en la norma reclamada, el alcance del presente fallo se traduce en dejar insubsistentes tanto la resolución reclamada como primer acto de aplicación de esa norma, como el procedimiento correspondiente; sin embargo, </w:t>
      </w:r>
      <w:r w:rsidRPr="00027A8F">
        <w:rPr>
          <w:rFonts w:ascii="ITC Avant Garde" w:eastAsia="Times New Roman" w:hAnsi="ITC Avant Garde"/>
          <w:b/>
          <w:bCs/>
          <w:color w:val="000000"/>
          <w:sz w:val="18"/>
          <w:szCs w:val="18"/>
          <w:u w:val="single"/>
          <w:lang w:eastAsia="es-MX"/>
        </w:rPr>
        <w:t xml:space="preserve">si en lo </w:t>
      </w:r>
      <w:r w:rsidRPr="00027A8F">
        <w:rPr>
          <w:rFonts w:ascii="ITC Avant Garde" w:eastAsia="Times New Roman" w:hAnsi="ITC Avant Garde"/>
          <w:b/>
          <w:bCs/>
          <w:color w:val="000000"/>
          <w:sz w:val="18"/>
          <w:szCs w:val="18"/>
          <w:u w:val="single"/>
          <w:lang w:eastAsia="es-MX"/>
        </w:rPr>
        <w:lastRenderedPageBreak/>
        <w:t>sucesivo la autoridad sancionadora (mediante otros procedimientos) estima que la quejosa incumplió con alguna obligación sancionable conforme a la fracción IV, del inciso B), del numeral 298 de la Ley Federal de Telecomunicaciones y Radiodifusión, al determinar el porcentaje mínimo de sanción procedente, podrá acudir al porcentaje mínimo previsto en el inciso A) del artículo 298 de la Ley, es decir, el 0.01% del ingreso del sujeto sancionado</w:t>
      </w:r>
      <w:r w:rsidRPr="002549EF">
        <w:rPr>
          <w:rFonts w:ascii="ITC Avant Garde" w:eastAsia="Times New Roman" w:hAnsi="ITC Avant Garde"/>
          <w:bCs/>
          <w:color w:val="000000"/>
          <w:sz w:val="18"/>
          <w:szCs w:val="18"/>
          <w:lang w:eastAsia="es-MX"/>
        </w:rPr>
        <w:t>.</w:t>
      </w:r>
    </w:p>
    <w:p w14:paraId="0927F7A8"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136. Lo anterior obedece a que el once de junio de dos mil trece se publicó en el Diario Oficial de la Federación, el ‘DECRETO por el que se reforman y adicionan diversas disposiciones de los artículos 6o., 7o., 27, 28, 73, 78, 94 y 105 de la Constitución Política de los Estados Unidos Mexicanos, en Materia de Telecomunicaciones’, mediante el cual —a través de la reforma hecha al artículo 28 constitucional— se estableció que ‘…La ley establecerá un esquema efectivo de sanciones…’ de lo cual se sigue que fue voluntad del Poder Constituyente sancionar las conductas contrarias a la normatividad en materia de telecomunicaciones, en aras de proteger un bien del dominio público la Nación (como lo es el espectro radioeléctrico); por ende, la precisión que antecede permite el cumplimiento de un mandato de carácter constitucional.</w:t>
      </w:r>
    </w:p>
    <w:p w14:paraId="117160D1" w14:textId="77777777" w:rsidR="00E2222D" w:rsidRDefault="00EF2FD1" w:rsidP="00907F25">
      <w:pPr>
        <w:tabs>
          <w:tab w:val="left" w:pos="993"/>
        </w:tabs>
        <w:spacing w:after="240" w:line="360" w:lineRule="auto"/>
        <w:ind w:left="1134" w:right="1183"/>
        <w:jc w:val="both"/>
        <w:rPr>
          <w:rFonts w:ascii="ITC Avant Garde" w:eastAsia="Times New Roman" w:hAnsi="ITC Avant Garde"/>
          <w:bCs/>
          <w:color w:val="000000"/>
          <w:sz w:val="18"/>
          <w:szCs w:val="18"/>
          <w:lang w:eastAsia="es-MX"/>
        </w:rPr>
      </w:pPr>
      <w:r w:rsidRPr="002549EF">
        <w:rPr>
          <w:rFonts w:ascii="ITC Avant Garde" w:eastAsia="Times New Roman" w:hAnsi="ITC Avant Garde"/>
          <w:bCs/>
          <w:color w:val="000000"/>
          <w:sz w:val="18"/>
          <w:szCs w:val="18"/>
          <w:lang w:eastAsia="es-MX"/>
        </w:rPr>
        <w:t xml:space="preserve">(…)”. </w:t>
      </w:r>
    </w:p>
    <w:p w14:paraId="0923ED70"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szCs w:val="20"/>
          <w:lang w:eastAsia="es-MX"/>
        </w:rPr>
      </w:pPr>
      <w:r w:rsidRPr="002549EF">
        <w:rPr>
          <w:rFonts w:ascii="ITC Avant Garde" w:eastAsia="Times New Roman" w:hAnsi="ITC Avant Garde"/>
          <w:bCs/>
          <w:color w:val="000000"/>
          <w:sz w:val="20"/>
          <w:szCs w:val="20"/>
          <w:lang w:eastAsia="es-MX"/>
        </w:rPr>
        <w:t>De acuerdo con lo expuesto se tiene que el precepto en comento limita o encajona las múltiples conductas a que se refiere el artículo 298, inciso B), fracción IV, de la Ley Federal de Telecomunicaciones y Radiodifusión, en un rango mínimo determinado de sanción que no necesariamente atenderá a la gravedad de la infracción, lo que impide valorar si la conducta reprochada y los efectos por ella producidos, son o no de una entidad menor que justifique la imposición de una sanción de menor proporción al 1% (uno por ciento) del ingreso del infractor, autorizado o concesionario.</w:t>
      </w:r>
    </w:p>
    <w:p w14:paraId="5C1175E9"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szCs w:val="20"/>
          <w:lang w:eastAsia="es-MX"/>
        </w:rPr>
      </w:pPr>
      <w:r w:rsidRPr="002549EF">
        <w:rPr>
          <w:rFonts w:ascii="ITC Avant Garde" w:eastAsia="Times New Roman" w:hAnsi="ITC Avant Garde"/>
          <w:bCs/>
          <w:color w:val="000000"/>
          <w:sz w:val="20"/>
          <w:szCs w:val="20"/>
          <w:lang w:eastAsia="es-MX"/>
        </w:rPr>
        <w:t xml:space="preserve">Así, para que la norma analizada no resulte contraria al artículo 22 de la Constitución Federal (al menos por lo que respecta al monto inferior ahí previsto) </w:t>
      </w:r>
      <w:r w:rsidRPr="00027A8F">
        <w:rPr>
          <w:rFonts w:ascii="ITC Avant Garde" w:eastAsia="Times New Roman" w:hAnsi="ITC Avant Garde"/>
          <w:b/>
          <w:bCs/>
          <w:color w:val="000000"/>
          <w:sz w:val="20"/>
          <w:szCs w:val="20"/>
          <w:u w:val="single"/>
          <w:lang w:eastAsia="es-MX"/>
        </w:rPr>
        <w:t xml:space="preserve">se requiere de una relación entre la conducta imputada, la afectación producida y la sanción aplicable, la cual no existe en la especie pues entre los efectos producidos por la conducta reprochada y la sanción </w:t>
      </w:r>
      <w:r w:rsidRPr="00027A8F">
        <w:rPr>
          <w:rFonts w:ascii="ITC Avant Garde" w:eastAsia="Times New Roman" w:hAnsi="ITC Avant Garde"/>
          <w:b/>
          <w:bCs/>
          <w:color w:val="000000"/>
          <w:sz w:val="20"/>
          <w:szCs w:val="20"/>
          <w:u w:val="single"/>
          <w:lang w:eastAsia="es-MX"/>
        </w:rPr>
        <w:lastRenderedPageBreak/>
        <w:t>aplicable existe una discrepancia que se manifiesta en la imposibilidad de imponer sanciones menores al 1% (uno por ciento) del ingreso acumulable del infractor, a pesar de que la afectación sufrida en el bien jurídico tutelado sea ínfima o menor</w:t>
      </w:r>
      <w:r w:rsidRPr="002549EF">
        <w:rPr>
          <w:rFonts w:ascii="ITC Avant Garde" w:eastAsia="Times New Roman" w:hAnsi="ITC Avant Garde"/>
          <w:bCs/>
          <w:color w:val="000000"/>
          <w:sz w:val="20"/>
          <w:szCs w:val="20"/>
          <w:lang w:eastAsia="es-MX"/>
        </w:rPr>
        <w:t xml:space="preserve">. </w:t>
      </w:r>
    </w:p>
    <w:p w14:paraId="0C8A61FF"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lang w:eastAsia="es-MX"/>
        </w:rPr>
      </w:pPr>
      <w:r w:rsidRPr="002549EF">
        <w:rPr>
          <w:rFonts w:ascii="ITC Avant Garde" w:eastAsia="Times New Roman" w:hAnsi="ITC Avant Garde"/>
          <w:bCs/>
          <w:color w:val="000000"/>
          <w:sz w:val="20"/>
          <w:szCs w:val="20"/>
          <w:lang w:eastAsia="es-MX"/>
        </w:rPr>
        <w:tab/>
        <w:t>En razón de la conclusión alcanzada, al resultar inconstitucional el porcentaje mínimo de sanción previsto en el artículo 298, inciso B), de la Ley Federal de Telecomunicaciones y Radiodifusión, únicamente por lo que hace a las conductas a que se refiere el artículo 298, inciso B), fracción IV, de la citada ley, entonces procede otorgar el amparo en contra del referido precepto, únicamente en lo que se refiere a la porción normativa en la cual se establece el porcentaje mínimo de sanción del 1% (uno por ciento) del ingreso.</w:t>
      </w:r>
    </w:p>
    <w:p w14:paraId="6C391916" w14:textId="77777777"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 lo anterior se desprenden diversas consideraciones que deben ser tomadas en cuenta para cumplir a cabalidad con lo ordenado por la Suprema Corte de Justicia de la Nación, ya que si bien es cierto se determinó que para </w:t>
      </w:r>
      <w:r w:rsidRPr="00F007BE">
        <w:rPr>
          <w:rFonts w:ascii="ITC Avant Garde" w:eastAsia="Times New Roman" w:hAnsi="ITC Avant Garde"/>
          <w:bCs/>
          <w:color w:val="000000"/>
          <w:lang w:eastAsia="es-MX"/>
        </w:rPr>
        <w:t xml:space="preserve">determinar el porcentaje mínimo de </w:t>
      </w:r>
      <w:r>
        <w:rPr>
          <w:rFonts w:ascii="ITC Avant Garde" w:eastAsia="Times New Roman" w:hAnsi="ITC Avant Garde"/>
          <w:bCs/>
          <w:color w:val="000000"/>
          <w:lang w:eastAsia="es-MX"/>
        </w:rPr>
        <w:t xml:space="preserve">la </w:t>
      </w:r>
      <w:r w:rsidRPr="00F007BE">
        <w:rPr>
          <w:rFonts w:ascii="ITC Avant Garde" w:eastAsia="Times New Roman" w:hAnsi="ITC Avant Garde"/>
          <w:bCs/>
          <w:color w:val="000000"/>
          <w:lang w:eastAsia="es-MX"/>
        </w:rPr>
        <w:t xml:space="preserve">sanción procedente, </w:t>
      </w:r>
      <w:r>
        <w:rPr>
          <w:rFonts w:ascii="ITC Avant Garde" w:eastAsia="Times New Roman" w:hAnsi="ITC Avant Garde"/>
          <w:bCs/>
          <w:color w:val="000000"/>
          <w:lang w:eastAsia="es-MX"/>
        </w:rPr>
        <w:t>esta autoridad puede</w:t>
      </w:r>
      <w:r w:rsidRPr="00F007BE">
        <w:rPr>
          <w:rFonts w:ascii="ITC Avant Garde" w:eastAsia="Times New Roman" w:hAnsi="ITC Avant Garde"/>
          <w:bCs/>
          <w:color w:val="000000"/>
          <w:lang w:eastAsia="es-MX"/>
        </w:rPr>
        <w:t xml:space="preserve"> acudir al porcentaje mínimo previsto en el inciso A) del artículo 298 de la Ley, es decir, el 0.01% del ingreso del sujeto sancionado</w:t>
      </w:r>
      <w:r>
        <w:rPr>
          <w:rFonts w:ascii="ITC Avant Garde" w:eastAsia="Times New Roman" w:hAnsi="ITC Avant Garde"/>
          <w:bCs/>
          <w:color w:val="000000"/>
          <w:lang w:eastAsia="es-MX"/>
        </w:rPr>
        <w:t>, también lo es que dicha determinación se alcanzó analizando diversas premisas, las cuales permiten a esta autoridad realizar el ejercicio de individualización correspondiente.</w:t>
      </w:r>
    </w:p>
    <w:p w14:paraId="1E084129" w14:textId="77777777"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ese sentido, dichas consideraciones son las siguientes:</w:t>
      </w:r>
    </w:p>
    <w:p w14:paraId="6BC0098C"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lang w:eastAsia="es-MX"/>
        </w:rPr>
      </w:pPr>
      <w:r>
        <w:rPr>
          <w:rFonts w:ascii="ITC Avant Garde" w:eastAsia="Times New Roman" w:hAnsi="ITC Avant Garde"/>
          <w:bCs/>
          <w:color w:val="000000"/>
          <w:sz w:val="20"/>
          <w:lang w:eastAsia="es-MX"/>
        </w:rPr>
        <w:t xml:space="preserve">“… las </w:t>
      </w:r>
      <w:r w:rsidRPr="00F007BE">
        <w:rPr>
          <w:rFonts w:ascii="ITC Avant Garde" w:eastAsia="Times New Roman" w:hAnsi="ITC Avant Garde"/>
          <w:bCs/>
          <w:color w:val="000000"/>
          <w:sz w:val="20"/>
          <w:lang w:eastAsia="es-MX"/>
        </w:rPr>
        <w:t xml:space="preserve">conductas que pueden configurarse a partir de lo previsto en la fracción IV, inciso B), del artículo 298 de la Ley Federal de Telecomunicaciones y Radiodifusión pueden ser muy variadas y distintas respecto de aquellas expresamente consideradas por el legislador </w:t>
      </w:r>
      <w:r>
        <w:rPr>
          <w:rFonts w:ascii="ITC Avant Garde" w:eastAsia="Times New Roman" w:hAnsi="ITC Avant Garde"/>
          <w:bCs/>
          <w:color w:val="000000"/>
          <w:sz w:val="20"/>
          <w:lang w:eastAsia="es-MX"/>
        </w:rPr>
        <w:t>(…)</w:t>
      </w:r>
      <w:r w:rsidRPr="00F007BE">
        <w:rPr>
          <w:rFonts w:ascii="ITC Avant Garde" w:eastAsia="Times New Roman" w:hAnsi="ITC Avant Garde"/>
          <w:bCs/>
          <w:color w:val="000000"/>
          <w:sz w:val="20"/>
          <w:lang w:eastAsia="es-MX"/>
        </w:rPr>
        <w:t xml:space="preserve"> lo cual puede significar que entre las conductas derivadas del ejercicio de integración por parte de la autoridad sancionadora a partir de cláusulas abiertas o tipos administrativos en blanco, se encuentren conductas cuya gravedad sea de gran significado y trascendencia, y otras que resulten </w:t>
      </w:r>
      <w:r w:rsidRPr="00F007BE">
        <w:rPr>
          <w:rFonts w:ascii="ITC Avant Garde" w:eastAsia="Times New Roman" w:hAnsi="ITC Avant Garde"/>
          <w:bCs/>
          <w:color w:val="000000"/>
          <w:sz w:val="20"/>
          <w:lang w:eastAsia="es-MX"/>
        </w:rPr>
        <w:lastRenderedPageBreak/>
        <w:t>irrelevantes o se refieran a aspectos de mucha menor importancia o produzca efectos nocivos ínfimos o irrelevantes</w:t>
      </w:r>
      <w:r>
        <w:rPr>
          <w:rFonts w:ascii="ITC Avant Garde" w:eastAsia="Times New Roman" w:hAnsi="ITC Avant Garde"/>
          <w:bCs/>
          <w:color w:val="000000"/>
          <w:sz w:val="20"/>
          <w:lang w:eastAsia="es-MX"/>
        </w:rPr>
        <w:t>…”</w:t>
      </w:r>
    </w:p>
    <w:p w14:paraId="1785E977"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lang w:eastAsia="es-MX"/>
        </w:rPr>
      </w:pPr>
      <w:r>
        <w:rPr>
          <w:rFonts w:ascii="ITC Avant Garde" w:eastAsia="Times New Roman" w:hAnsi="ITC Avant Garde"/>
          <w:bCs/>
          <w:color w:val="000000"/>
          <w:sz w:val="20"/>
          <w:lang w:eastAsia="es-MX"/>
        </w:rPr>
        <w:t>“…</w:t>
      </w:r>
      <w:r w:rsidRPr="00F007BE">
        <w:rPr>
          <w:rFonts w:ascii="ITC Avant Garde" w:eastAsia="Times New Roman" w:hAnsi="ITC Avant Garde"/>
          <w:bCs/>
          <w:color w:val="000000"/>
          <w:sz w:val="20"/>
          <w:lang w:eastAsia="es-MX"/>
        </w:rPr>
        <w:t xml:space="preserve"> no es posible predeterminar que, en todos los casos que el deber incumplido (construido a partir de la normativa de la materia) generó una afectación idéntica y, por tanto, que la sanción deberá oscilar invariablemente entre el 1% y el 3% de los ingresos del infractor</w:t>
      </w:r>
      <w:r>
        <w:rPr>
          <w:rFonts w:ascii="ITC Avant Garde" w:eastAsia="Times New Roman" w:hAnsi="ITC Avant Garde"/>
          <w:bCs/>
          <w:color w:val="000000"/>
          <w:sz w:val="20"/>
          <w:lang w:eastAsia="es-MX"/>
        </w:rPr>
        <w:t xml:space="preserve"> …”</w:t>
      </w:r>
    </w:p>
    <w:p w14:paraId="29226FBB"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lang w:eastAsia="es-MX"/>
        </w:rPr>
      </w:pPr>
      <w:r>
        <w:rPr>
          <w:rFonts w:ascii="ITC Avant Garde" w:eastAsia="Times New Roman" w:hAnsi="ITC Avant Garde"/>
          <w:bCs/>
          <w:color w:val="000000"/>
          <w:sz w:val="20"/>
          <w:lang w:eastAsia="es-MX"/>
        </w:rPr>
        <w:t xml:space="preserve">“… </w:t>
      </w:r>
      <w:r w:rsidRPr="00F007BE">
        <w:rPr>
          <w:rFonts w:ascii="ITC Avant Garde" w:eastAsia="Times New Roman" w:hAnsi="ITC Avant Garde"/>
          <w:bCs/>
          <w:color w:val="000000"/>
          <w:sz w:val="20"/>
          <w:lang w:eastAsia="es-MX"/>
        </w:rPr>
        <w:t xml:space="preserve">la multa mínima será del 1% del ingreso acumulable, incluso en aquellos casos en que la infracción configurada pueda consistir en el incumplimiento de aspectos formales o técnicos; es decir, supuestos de menor relevancia fáctica o al orden jurídico y afectación mínima al bien jurídico protegido </w:t>
      </w:r>
      <w:r>
        <w:rPr>
          <w:rFonts w:ascii="ITC Avant Garde" w:eastAsia="Times New Roman" w:hAnsi="ITC Avant Garde"/>
          <w:bCs/>
          <w:color w:val="000000"/>
          <w:sz w:val="20"/>
          <w:lang w:eastAsia="es-MX"/>
        </w:rPr>
        <w:t>…”</w:t>
      </w:r>
    </w:p>
    <w:p w14:paraId="0F9BAFD3"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lang w:eastAsia="es-MX"/>
        </w:rPr>
      </w:pPr>
      <w:r>
        <w:rPr>
          <w:rFonts w:ascii="ITC Avant Garde" w:eastAsia="Times New Roman" w:hAnsi="ITC Avant Garde"/>
          <w:bCs/>
          <w:color w:val="000000"/>
          <w:sz w:val="20"/>
          <w:lang w:eastAsia="es-MX"/>
        </w:rPr>
        <w:t>“…</w:t>
      </w:r>
      <w:r w:rsidRPr="00F007BE">
        <w:rPr>
          <w:rFonts w:ascii="ITC Avant Garde" w:eastAsia="Times New Roman" w:hAnsi="ITC Avant Garde"/>
          <w:bCs/>
          <w:color w:val="000000"/>
          <w:sz w:val="20"/>
          <w:lang w:eastAsia="es-MX"/>
        </w:rPr>
        <w:t xml:space="preserve"> se trata de un rango mínimo de sanción el cual resulta excesivo al permitir que cualquier conducta construida a partir de la normativa aplicable (cláusulas abiertas o tipos administrativos en blanco) sea sancionada con base en la misma proporción mínima (1% del ingreso acumulable), sin atender a la conducta en particular y a los efectos que ésta produce (frente al bien jurídico protegido)</w:t>
      </w:r>
      <w:r>
        <w:rPr>
          <w:rFonts w:ascii="ITC Avant Garde" w:eastAsia="Times New Roman" w:hAnsi="ITC Avant Garde"/>
          <w:bCs/>
          <w:color w:val="000000"/>
          <w:sz w:val="20"/>
          <w:lang w:eastAsia="es-MX"/>
        </w:rPr>
        <w:t xml:space="preserve"> …”</w:t>
      </w:r>
    </w:p>
    <w:p w14:paraId="530E7A68"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lang w:eastAsia="es-MX"/>
        </w:rPr>
      </w:pPr>
      <w:r>
        <w:rPr>
          <w:rFonts w:ascii="ITC Avant Garde" w:eastAsia="Times New Roman" w:hAnsi="ITC Avant Garde"/>
          <w:bCs/>
          <w:color w:val="000000"/>
          <w:sz w:val="20"/>
          <w:lang w:eastAsia="es-MX"/>
        </w:rPr>
        <w:t>“…</w:t>
      </w:r>
      <w:r w:rsidRPr="00F007BE">
        <w:rPr>
          <w:rFonts w:ascii="ITC Avant Garde" w:eastAsia="Times New Roman" w:hAnsi="ITC Avant Garde"/>
          <w:bCs/>
          <w:color w:val="000000"/>
          <w:sz w:val="20"/>
          <w:lang w:eastAsia="es-MX"/>
        </w:rPr>
        <w:t xml:space="preserve"> en ciertos casos, la magnitud de esas infracciones derivadas del ejercicio de integración normativo puede llegar a ser la misma que las infracciones expresamente previstas en el primer inciso de ese precepto y, no obstante ello, el legislador les asignó una sanción mínima superior (1% del ingreso acumulable), con lo cual se evidencia que en algunas ocasiones, la sanción mínima aplicable es excesiva por no atender al tipo de afectación generada con cada conducta específica</w:t>
      </w:r>
      <w:r>
        <w:rPr>
          <w:rFonts w:ascii="ITC Avant Garde" w:eastAsia="Times New Roman" w:hAnsi="ITC Avant Garde"/>
          <w:bCs/>
          <w:color w:val="000000"/>
          <w:sz w:val="20"/>
          <w:lang w:eastAsia="es-MX"/>
        </w:rPr>
        <w:t xml:space="preserve"> …”</w:t>
      </w:r>
    </w:p>
    <w:p w14:paraId="1A6E1669"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lang w:eastAsia="es-MX"/>
        </w:rPr>
      </w:pPr>
      <w:r>
        <w:rPr>
          <w:rFonts w:ascii="ITC Avant Garde" w:eastAsia="Times New Roman" w:hAnsi="ITC Avant Garde"/>
          <w:bCs/>
          <w:color w:val="000000"/>
          <w:sz w:val="20"/>
          <w:lang w:eastAsia="es-MX"/>
        </w:rPr>
        <w:t xml:space="preserve">“… </w:t>
      </w:r>
      <w:r w:rsidRPr="00F007BE">
        <w:rPr>
          <w:rFonts w:ascii="ITC Avant Garde" w:eastAsia="Times New Roman" w:hAnsi="ITC Avant Garde"/>
          <w:bCs/>
          <w:color w:val="000000"/>
          <w:sz w:val="20"/>
          <w:lang w:eastAsia="es-MX"/>
        </w:rPr>
        <w:t>por lo que se refiere al límite inferior de la sanción prevista en el inciso B) del artículo 298 de la ley en comento (1%), el legislador no contempló la posibilidad de que las conductas a que se refiere ese inciso produzcan efectos menos lesivos, o bien, sean de menor entidad jurídica y, por consiguiente, que esas conductas puedan sancionarse con un porcentaje de ingreso menor al 1%</w:t>
      </w:r>
      <w:r>
        <w:rPr>
          <w:rFonts w:ascii="ITC Avant Garde" w:eastAsia="Times New Roman" w:hAnsi="ITC Avant Garde"/>
          <w:bCs/>
          <w:color w:val="000000"/>
          <w:sz w:val="20"/>
          <w:lang w:eastAsia="es-MX"/>
        </w:rPr>
        <w:t xml:space="preserve"> …”</w:t>
      </w:r>
    </w:p>
    <w:p w14:paraId="1DA03E70"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lang w:eastAsia="es-MX"/>
        </w:rPr>
      </w:pPr>
      <w:r>
        <w:rPr>
          <w:rFonts w:ascii="ITC Avant Garde" w:eastAsia="Times New Roman" w:hAnsi="ITC Avant Garde"/>
          <w:bCs/>
          <w:color w:val="000000"/>
          <w:sz w:val="20"/>
          <w:lang w:eastAsia="es-MX"/>
        </w:rPr>
        <w:lastRenderedPageBreak/>
        <w:t>“</w:t>
      </w:r>
      <w:r w:rsidRPr="00F007BE">
        <w:rPr>
          <w:rFonts w:ascii="ITC Avant Garde" w:eastAsia="Times New Roman" w:hAnsi="ITC Avant Garde"/>
          <w:bCs/>
          <w:color w:val="000000"/>
          <w:sz w:val="20"/>
          <w:lang w:eastAsia="es-MX"/>
        </w:rPr>
        <w:t>Así, para que la norma analizada no resulte contraria al artículo 22 de la Constitución Política de los Estados Unidos Mexicanos —al menos por lo que respecta al monto inferior ahí previsto— se requiere de una relación entre la conducta imputada, la afectación producida y la sanción aplicable</w:t>
      </w:r>
      <w:r>
        <w:rPr>
          <w:rFonts w:ascii="ITC Avant Garde" w:eastAsia="Times New Roman" w:hAnsi="ITC Avant Garde"/>
          <w:bCs/>
          <w:color w:val="000000"/>
          <w:sz w:val="20"/>
          <w:lang w:eastAsia="es-MX"/>
        </w:rPr>
        <w:t xml:space="preserve"> …”</w:t>
      </w:r>
    </w:p>
    <w:p w14:paraId="27B697B5" w14:textId="77777777"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 lo considerado por nuestro Máximo Tribunal se puede inferir que, para que la sanción que en su caso se imponga no trasgreda lo previsto el artículo 22 de la </w:t>
      </w:r>
      <w:r w:rsidRPr="00A14FF8">
        <w:rPr>
          <w:rFonts w:ascii="ITC Avant Garde" w:eastAsia="Times New Roman" w:hAnsi="ITC Avant Garde"/>
          <w:b/>
          <w:bCs/>
          <w:color w:val="000000"/>
          <w:lang w:eastAsia="es-MX"/>
        </w:rPr>
        <w:t>CPEUM</w:t>
      </w:r>
      <w:r>
        <w:rPr>
          <w:rFonts w:ascii="ITC Avant Garde" w:eastAsia="Times New Roman" w:hAnsi="ITC Avant Garde"/>
          <w:bCs/>
          <w:color w:val="000000"/>
          <w:lang w:eastAsia="es-MX"/>
        </w:rPr>
        <w:t>, debe existir una relación entre la conducta imputada y la afectación producida al bien jurídico tutelado, esto sin perder de vista las conductas expresamente previstas por el legislador.</w:t>
      </w:r>
    </w:p>
    <w:p w14:paraId="0A5A3535" w14:textId="77777777"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Así, para atender tal determinación debe analizarse cuál es el bien jurídico protegido por la disposición que se estimó infringida, esto a fin de establecer si un posible incumplimiento a la misma y la afectación que con esto se produzca puede homologarse a las conductas previstas por el inciso A) del artículo 298 de la </w:t>
      </w:r>
      <w:r w:rsidRPr="00E91440">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o bien si con dicha conducta se produce una afectación diferente o que reviste mayor gravedad que las ahí establecidas.</w:t>
      </w:r>
    </w:p>
    <w:p w14:paraId="48033C73" w14:textId="77777777"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en el presente procedimiento se estimó incumplido </w:t>
      </w:r>
      <w:r w:rsidRPr="00B64DA8">
        <w:rPr>
          <w:rFonts w:ascii="ITC Avant Garde" w:eastAsia="Times New Roman" w:hAnsi="ITC Avant Garde"/>
          <w:bCs/>
          <w:color w:val="000000"/>
          <w:lang w:eastAsia="es-MX"/>
        </w:rPr>
        <w:t xml:space="preserve">lo establecido en el Artículo 12 de los </w:t>
      </w:r>
      <w:r w:rsidRPr="00B64DA8">
        <w:rPr>
          <w:rFonts w:ascii="ITC Avant Garde" w:eastAsia="Times New Roman" w:hAnsi="ITC Avant Garde"/>
          <w:b/>
          <w:bCs/>
          <w:color w:val="000000"/>
          <w:lang w:eastAsia="es-MX"/>
        </w:rPr>
        <w:t>LINEAMIENTOS</w:t>
      </w:r>
      <w:r w:rsidRPr="00B64DA8">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el cual establece lo siguiente:</w:t>
      </w:r>
    </w:p>
    <w:p w14:paraId="1A30A0FC" w14:textId="77777777" w:rsidR="00E2222D" w:rsidRDefault="00EF2FD1" w:rsidP="00907F25">
      <w:pPr>
        <w:tabs>
          <w:tab w:val="left" w:pos="993"/>
        </w:tabs>
        <w:spacing w:after="240" w:line="360" w:lineRule="auto"/>
        <w:ind w:left="851" w:right="900"/>
        <w:jc w:val="both"/>
        <w:rPr>
          <w:rFonts w:ascii="ITC Avant Garde" w:eastAsia="Times New Roman" w:hAnsi="ITC Avant Garde"/>
          <w:bCs/>
          <w:color w:val="000000"/>
          <w:sz w:val="20"/>
          <w:lang w:eastAsia="es-MX"/>
        </w:rPr>
      </w:pPr>
      <w:r>
        <w:rPr>
          <w:rFonts w:ascii="ITC Avant Garde" w:eastAsia="Times New Roman" w:hAnsi="ITC Avant Garde"/>
          <w:bCs/>
          <w:color w:val="000000"/>
          <w:sz w:val="20"/>
          <w:lang w:eastAsia="es-MX"/>
        </w:rPr>
        <w:t>“</w:t>
      </w:r>
      <w:r w:rsidRPr="00B64DA8">
        <w:rPr>
          <w:rFonts w:ascii="ITC Avant Garde" w:eastAsia="Times New Roman" w:hAnsi="ITC Avant Garde"/>
          <w:b/>
          <w:bCs/>
          <w:color w:val="000000"/>
          <w:sz w:val="20"/>
          <w:lang w:eastAsia="es-MX"/>
        </w:rPr>
        <w:t>Artículo 12.-</w:t>
      </w:r>
      <w:r w:rsidRPr="00B64DA8">
        <w:rPr>
          <w:rFonts w:ascii="ITC Avant Garde" w:eastAsia="Times New Roman" w:hAnsi="ITC Avant Garde"/>
          <w:bCs/>
          <w:color w:val="000000"/>
          <w:sz w:val="20"/>
          <w:lang w:eastAsia="es-MX"/>
        </w:rPr>
        <w:t xml:space="preserve"> </w:t>
      </w:r>
      <w:r w:rsidRPr="00B64DA8">
        <w:rPr>
          <w:rFonts w:ascii="ITC Avant Garde" w:eastAsia="Times New Roman" w:hAnsi="ITC Avant Garde"/>
          <w:b/>
          <w:bCs/>
          <w:color w:val="000000"/>
          <w:sz w:val="20"/>
          <w:u w:val="single"/>
          <w:lang w:eastAsia="es-MX"/>
        </w:rPr>
        <w:t>Los Concesionarios de Televisión Restringida deberán retransmitir todas las Señales Radiodifundidas de Instituciones Públicas Federales</w:t>
      </w:r>
      <w:r w:rsidRPr="00B64DA8">
        <w:rPr>
          <w:rFonts w:ascii="ITC Avant Garde" w:eastAsia="Times New Roman" w:hAnsi="ITC Avant Garde"/>
          <w:bCs/>
          <w:color w:val="000000"/>
          <w:sz w:val="20"/>
          <w:lang w:eastAsia="es-MX"/>
        </w:rPr>
        <w:t>, de Manera Gratuita y No Discriminatoria, en Forma Íntegra y Sin Modificaciones, Simultánea, incluyendo, en su caso, la publicidad, y con la Misma Calidad de la Señal Radiodifundida. También deberán incluir aquélla realizada a través de Multiprogramación, salvo que el Canal de Programación no corresponda al de una Institución Pública Federal.</w:t>
      </w:r>
    </w:p>
    <w:p w14:paraId="76F78854" w14:textId="65AF893C"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Del artículo trascrito se advierte que es obligación de los concesionarios de televisión restringida retrasmitir </w:t>
      </w:r>
      <w:r w:rsidRPr="00B64DA8">
        <w:rPr>
          <w:rFonts w:ascii="ITC Avant Garde" w:eastAsia="Times New Roman" w:hAnsi="ITC Avant Garde"/>
          <w:b/>
          <w:bCs/>
          <w:color w:val="000000"/>
          <w:lang w:eastAsia="es-MX"/>
        </w:rPr>
        <w:t>TODAS</w:t>
      </w:r>
      <w:r>
        <w:rPr>
          <w:rFonts w:ascii="ITC Avant Garde" w:eastAsia="Times New Roman" w:hAnsi="ITC Avant Garde"/>
          <w:bCs/>
          <w:color w:val="000000"/>
          <w:lang w:eastAsia="es-MX"/>
        </w:rPr>
        <w:t xml:space="preserve"> las señales radiodifundidas de las Instituciones Públicas Federales, sin </w:t>
      </w:r>
      <w:r w:rsidR="001952D4">
        <w:rPr>
          <w:rFonts w:ascii="ITC Avant Garde" w:eastAsia="Times New Roman" w:hAnsi="ITC Avant Garde"/>
          <w:bCs/>
          <w:color w:val="000000"/>
          <w:lang w:eastAsia="es-MX"/>
        </w:rPr>
        <w:t>embargo,</w:t>
      </w:r>
      <w:r>
        <w:rPr>
          <w:rFonts w:ascii="ITC Avant Garde" w:eastAsia="Times New Roman" w:hAnsi="ITC Avant Garde"/>
          <w:bCs/>
          <w:color w:val="000000"/>
          <w:lang w:eastAsia="es-MX"/>
        </w:rPr>
        <w:t xml:space="preserve"> en el presente asunto se acreditó que </w:t>
      </w:r>
      <w:r w:rsidRPr="00663F8B">
        <w:rPr>
          <w:rFonts w:ascii="ITC Avant Garde" w:eastAsia="Times New Roman" w:hAnsi="ITC Avant Garde"/>
          <w:b/>
          <w:bCs/>
          <w:color w:val="000000"/>
          <w:lang w:eastAsia="es-MX"/>
        </w:rPr>
        <w:t>MEGA</w:t>
      </w:r>
      <w:r>
        <w:rPr>
          <w:rFonts w:ascii="ITC Avant Garde" w:eastAsia="Times New Roman" w:hAnsi="ITC Avant Garde"/>
          <w:bCs/>
          <w:color w:val="000000"/>
          <w:lang w:eastAsia="es-MX"/>
        </w:rPr>
        <w:t xml:space="preserve"> </w:t>
      </w:r>
      <w:r w:rsidRPr="00663F8B">
        <w:rPr>
          <w:rFonts w:ascii="ITC Avant Garde" w:eastAsia="Times New Roman" w:hAnsi="ITC Avant Garde"/>
          <w:b/>
          <w:bCs/>
          <w:color w:val="000000"/>
          <w:lang w:eastAsia="es-MX"/>
        </w:rPr>
        <w:t>CABLE</w:t>
      </w:r>
      <w:r>
        <w:rPr>
          <w:rFonts w:ascii="ITC Avant Garde" w:eastAsia="Times New Roman" w:hAnsi="ITC Avant Garde"/>
          <w:bCs/>
          <w:color w:val="000000"/>
          <w:lang w:eastAsia="es-MX"/>
        </w:rPr>
        <w:t xml:space="preserve">, </w:t>
      </w:r>
      <w:r w:rsidRPr="00B64DA8">
        <w:rPr>
          <w:rFonts w:ascii="ITC Avant Garde" w:eastAsia="Times New Roman" w:hAnsi="ITC Avant Garde"/>
          <w:bCs/>
          <w:color w:val="000000"/>
          <w:lang w:eastAsia="es-MX"/>
        </w:rPr>
        <w:t xml:space="preserve">al </w:t>
      </w:r>
      <w:r w:rsidRPr="00B64DA8">
        <w:rPr>
          <w:rFonts w:ascii="ITC Avant Garde" w:eastAsia="Times New Roman" w:hAnsi="ITC Avant Garde"/>
          <w:bCs/>
          <w:color w:val="000000"/>
          <w:lang w:eastAsia="es-MX"/>
        </w:rPr>
        <w:lastRenderedPageBreak/>
        <w:t>momento en que se llevó a cabo la visita de verificación, no retransmitía el canal multiprogramado 11.2 Once Niños del Instituto Politécnico Nacional en la población de Santiago de Querétaro</w:t>
      </w:r>
      <w:r>
        <w:rPr>
          <w:rFonts w:ascii="ITC Avant Garde" w:eastAsia="Times New Roman" w:hAnsi="ITC Avant Garde"/>
          <w:bCs/>
          <w:color w:val="000000"/>
          <w:lang w:eastAsia="es-MX"/>
        </w:rPr>
        <w:t>.</w:t>
      </w:r>
    </w:p>
    <w:p w14:paraId="5E2C3997" w14:textId="77777777"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Ahora bien, a efecto de establecer la afectación causada, debe analizarse la</w:t>
      </w:r>
      <w:r w:rsidR="006C6836">
        <w:rPr>
          <w:rFonts w:ascii="ITC Avant Garde" w:eastAsia="Times New Roman" w:hAnsi="ITC Avant Garde"/>
          <w:bCs/>
          <w:color w:val="000000"/>
          <w:lang w:eastAsia="es-MX"/>
        </w:rPr>
        <w:t xml:space="preserve"> gravedad de la conducta en relación con la</w:t>
      </w:r>
      <w:r>
        <w:rPr>
          <w:rFonts w:ascii="ITC Avant Garde" w:eastAsia="Times New Roman" w:hAnsi="ITC Avant Garde"/>
          <w:bCs/>
          <w:color w:val="000000"/>
          <w:lang w:eastAsia="es-MX"/>
        </w:rPr>
        <w:t xml:space="preserve"> naturaleza de la disposición, así como los fines pretendidos con su establecimiento, lo cual permitirá determinar el bien jurídico tutelado y, en su caso, en qué medida fue afectado.</w:t>
      </w:r>
    </w:p>
    <w:p w14:paraId="5C950790" w14:textId="77777777" w:rsidR="00E2222D" w:rsidRDefault="001952D4" w:rsidP="00907F25">
      <w:pPr>
        <w:pStyle w:val="Textoindependiente"/>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considerando que el espíritu del procedimiento sancionador es imponer una multa por la comisión de una infracción y con ello inhibir la práctica de conductas contrarias a la Ley. </w:t>
      </w:r>
    </w:p>
    <w:p w14:paraId="04C26B93" w14:textId="77777777" w:rsidR="00E2222D" w:rsidRDefault="001952D4" w:rsidP="00907F25">
      <w:pPr>
        <w:spacing w:after="240" w:line="360" w:lineRule="auto"/>
        <w:jc w:val="both"/>
        <w:rPr>
          <w:rFonts w:ascii="ITC Avant Garde" w:eastAsia="Times New Roman" w:hAnsi="ITC Avant Garde"/>
          <w:bCs/>
          <w:lang w:eastAsia="es-MX"/>
        </w:rPr>
      </w:pPr>
      <w:r w:rsidRPr="00A366DD">
        <w:rPr>
          <w:rFonts w:ascii="ITC Avant Garde" w:eastAsia="Times New Roman" w:hAnsi="ITC Avant Garde"/>
          <w:bCs/>
          <w:lang w:eastAsia="es-MX"/>
        </w:rPr>
        <w:t xml:space="preserve">Ahora bien, para estar en posibilidad de determinar la multa que en derecho corresponda, esta autoridad debe atender a lo establecido en el artículo 301 de la </w:t>
      </w:r>
      <w:r w:rsidRPr="004B194F">
        <w:rPr>
          <w:rFonts w:ascii="ITC Avant Garde" w:eastAsia="Times New Roman" w:hAnsi="ITC Avant Garde"/>
          <w:b/>
          <w:bCs/>
          <w:lang w:eastAsia="es-MX"/>
        </w:rPr>
        <w:t>LFTR</w:t>
      </w:r>
      <w:r w:rsidRPr="00A366DD">
        <w:rPr>
          <w:rFonts w:ascii="ITC Avant Garde" w:eastAsia="Times New Roman" w:hAnsi="ITC Avant Garde"/>
          <w:bCs/>
          <w:lang w:eastAsia="es-MX"/>
        </w:rPr>
        <w:t>, que a la letra señala</w:t>
      </w:r>
      <w:r>
        <w:rPr>
          <w:rFonts w:ascii="ITC Avant Garde" w:eastAsia="Times New Roman" w:hAnsi="ITC Avant Garde"/>
          <w:bCs/>
          <w:lang w:eastAsia="es-MX"/>
        </w:rPr>
        <w:t xml:space="preserve">: </w:t>
      </w:r>
    </w:p>
    <w:p w14:paraId="38F33F93" w14:textId="77777777" w:rsidR="00E2222D" w:rsidRDefault="001952D4" w:rsidP="00907F25">
      <w:pPr>
        <w:spacing w:after="240" w:line="360" w:lineRule="auto"/>
        <w:ind w:left="851" w:right="618"/>
        <w:jc w:val="both"/>
        <w:rPr>
          <w:rFonts w:ascii="ITC Avant Garde" w:hAnsi="ITC Avant Garde"/>
          <w:i/>
          <w:sz w:val="20"/>
          <w:szCs w:val="20"/>
        </w:rPr>
      </w:pPr>
      <w:r w:rsidRPr="00706C6D">
        <w:rPr>
          <w:rFonts w:ascii="ITC Avant Garde" w:eastAsia="Times New Roman" w:hAnsi="ITC Avant Garde"/>
          <w:bCs/>
          <w:i/>
          <w:color w:val="000000"/>
          <w:sz w:val="20"/>
          <w:szCs w:val="20"/>
          <w:lang w:eastAsia="es-MX"/>
        </w:rPr>
        <w:t>“</w:t>
      </w:r>
      <w:r w:rsidRPr="00706C6D">
        <w:rPr>
          <w:rFonts w:ascii="ITC Avant Garde" w:hAnsi="ITC Avant Garde"/>
          <w:b/>
          <w:i/>
          <w:sz w:val="20"/>
          <w:szCs w:val="20"/>
        </w:rPr>
        <w:t xml:space="preserve">Artículo 301. </w:t>
      </w:r>
      <w:r w:rsidRPr="00706C6D">
        <w:rPr>
          <w:rFonts w:ascii="ITC Avant Garde" w:hAnsi="ITC Avant Garde"/>
          <w:i/>
          <w:sz w:val="20"/>
          <w:szCs w:val="20"/>
        </w:rPr>
        <w:t>Para determinar el monto de las multas establecidas en el presente Capítulo, el Instituto deberá considerar:</w:t>
      </w:r>
    </w:p>
    <w:p w14:paraId="7165332B" w14:textId="77777777" w:rsidR="00E2222D" w:rsidRDefault="001952D4" w:rsidP="00907F25">
      <w:pPr>
        <w:numPr>
          <w:ilvl w:val="0"/>
          <w:numId w:val="45"/>
        </w:numPr>
        <w:spacing w:after="240" w:line="360" w:lineRule="auto"/>
        <w:ind w:right="618"/>
        <w:jc w:val="both"/>
        <w:rPr>
          <w:rFonts w:ascii="ITC Avant Garde" w:hAnsi="ITC Avant Garde"/>
          <w:i/>
          <w:sz w:val="20"/>
          <w:szCs w:val="20"/>
          <w:u w:val="single"/>
        </w:rPr>
      </w:pPr>
      <w:r w:rsidRPr="00706C6D">
        <w:rPr>
          <w:rFonts w:ascii="ITC Avant Garde" w:hAnsi="ITC Avant Garde"/>
          <w:i/>
          <w:sz w:val="20"/>
          <w:szCs w:val="20"/>
          <w:u w:val="single"/>
        </w:rPr>
        <w:t>La gravedad de la infracción;</w:t>
      </w:r>
    </w:p>
    <w:p w14:paraId="1D024C4D" w14:textId="77777777" w:rsidR="00E2222D" w:rsidRDefault="001952D4" w:rsidP="00907F25">
      <w:pPr>
        <w:numPr>
          <w:ilvl w:val="0"/>
          <w:numId w:val="45"/>
        </w:numPr>
        <w:spacing w:after="240" w:line="360" w:lineRule="auto"/>
        <w:ind w:right="618"/>
        <w:jc w:val="both"/>
        <w:rPr>
          <w:rFonts w:ascii="ITC Avant Garde" w:hAnsi="ITC Avant Garde"/>
          <w:i/>
          <w:sz w:val="20"/>
          <w:szCs w:val="20"/>
          <w:u w:val="single"/>
        </w:rPr>
      </w:pPr>
      <w:r w:rsidRPr="00706C6D">
        <w:rPr>
          <w:rFonts w:ascii="ITC Avant Garde" w:hAnsi="ITC Avant Garde"/>
          <w:i/>
          <w:sz w:val="20"/>
          <w:szCs w:val="20"/>
          <w:u w:val="single"/>
        </w:rPr>
        <w:t>La capacidad económica del infractor;</w:t>
      </w:r>
    </w:p>
    <w:p w14:paraId="3981FB56" w14:textId="77777777" w:rsidR="00E2222D" w:rsidRDefault="001952D4" w:rsidP="00907F25">
      <w:pPr>
        <w:numPr>
          <w:ilvl w:val="0"/>
          <w:numId w:val="45"/>
        </w:numPr>
        <w:spacing w:after="240" w:line="360" w:lineRule="auto"/>
        <w:ind w:right="618"/>
        <w:jc w:val="both"/>
        <w:rPr>
          <w:rFonts w:ascii="ITC Avant Garde" w:hAnsi="ITC Avant Garde"/>
          <w:i/>
          <w:sz w:val="20"/>
          <w:szCs w:val="20"/>
          <w:u w:val="single"/>
        </w:rPr>
      </w:pPr>
      <w:r w:rsidRPr="00706C6D">
        <w:rPr>
          <w:rFonts w:ascii="ITC Avant Garde" w:hAnsi="ITC Avant Garde"/>
          <w:i/>
          <w:sz w:val="20"/>
          <w:szCs w:val="20"/>
          <w:u w:val="single"/>
        </w:rPr>
        <w:t>La reincidencia, y</w:t>
      </w:r>
    </w:p>
    <w:p w14:paraId="284D6DDF" w14:textId="77777777" w:rsidR="00E2222D" w:rsidRDefault="001952D4" w:rsidP="00907F25">
      <w:pPr>
        <w:numPr>
          <w:ilvl w:val="0"/>
          <w:numId w:val="45"/>
        </w:numPr>
        <w:spacing w:after="240" w:line="360" w:lineRule="auto"/>
        <w:ind w:left="1418" w:right="618"/>
        <w:jc w:val="both"/>
        <w:rPr>
          <w:rFonts w:ascii="ITC Avant Garde" w:hAnsi="ITC Avant Garde"/>
          <w:i/>
          <w:sz w:val="20"/>
          <w:szCs w:val="20"/>
        </w:rPr>
      </w:pPr>
      <w:r w:rsidRPr="00706C6D">
        <w:rPr>
          <w:rFonts w:ascii="ITC Avant Garde" w:hAnsi="ITC Avant Garde"/>
          <w:i/>
          <w:sz w:val="20"/>
          <w:szCs w:val="20"/>
        </w:rPr>
        <w:t xml:space="preserve">En su caso, </w:t>
      </w:r>
      <w:r w:rsidRPr="00706C6D">
        <w:rPr>
          <w:rFonts w:ascii="ITC Avant Garde" w:hAnsi="ITC Avant Garde"/>
          <w:i/>
          <w:sz w:val="20"/>
          <w:szCs w:val="20"/>
          <w:u w:val="single"/>
        </w:rPr>
        <w:t>el cumplimiento espontáneo</w:t>
      </w:r>
      <w:r w:rsidRPr="00706C6D">
        <w:rPr>
          <w:rFonts w:ascii="ITC Avant Garde" w:hAnsi="ITC Avant Garde"/>
          <w:i/>
          <w:sz w:val="20"/>
          <w:szCs w:val="20"/>
        </w:rPr>
        <w:t xml:space="preserve"> de las obligaciones que dieron origen al procedimiento sancionatorio, el cual podrá considerarse como atenuante de la sanción a imponerse.”</w:t>
      </w:r>
    </w:p>
    <w:p w14:paraId="77556886" w14:textId="77777777" w:rsidR="00E2222D" w:rsidRDefault="001952D4" w:rsidP="00907F25">
      <w:pPr>
        <w:spacing w:after="240" w:line="360" w:lineRule="auto"/>
        <w:jc w:val="both"/>
        <w:rPr>
          <w:rFonts w:ascii="ITC Avant Garde" w:hAnsi="ITC Avant Garde"/>
          <w:b/>
        </w:rPr>
      </w:pPr>
      <w:r w:rsidRPr="00A366DD">
        <w:rPr>
          <w:rFonts w:ascii="ITC Avant Garde" w:eastAsia="Times New Roman" w:hAnsi="ITC Avant Garde"/>
          <w:bCs/>
          <w:lang w:eastAsia="es-MX"/>
        </w:rPr>
        <w:t>Para es</w:t>
      </w:r>
      <w:r>
        <w:rPr>
          <w:rFonts w:ascii="ITC Avant Garde" w:eastAsia="Times New Roman" w:hAnsi="ITC Avant Garde"/>
          <w:bCs/>
          <w:lang w:eastAsia="es-MX"/>
        </w:rPr>
        <w:t>t</w:t>
      </w:r>
      <w:r w:rsidRPr="00A366DD">
        <w:rPr>
          <w:rFonts w:ascii="ITC Avant Garde" w:eastAsia="Times New Roman" w:hAnsi="ITC Avant Garde"/>
          <w:bCs/>
          <w:lang w:eastAsia="es-MX"/>
        </w:rPr>
        <w:t>os efectos</w:t>
      </w:r>
      <w:r>
        <w:rPr>
          <w:rFonts w:ascii="ITC Avant Garde" w:eastAsia="Times New Roman" w:hAnsi="ITC Avant Garde"/>
          <w:bCs/>
          <w:lang w:eastAsia="es-MX"/>
        </w:rPr>
        <w:t>,</w:t>
      </w:r>
      <w:r w:rsidRPr="00A366DD">
        <w:rPr>
          <w:rFonts w:ascii="ITC Avant Garde" w:eastAsia="Times New Roman" w:hAnsi="ITC Avant Garde"/>
          <w:bCs/>
          <w:lang w:eastAsia="es-MX"/>
        </w:rPr>
        <w:t xml:space="preserve"> esta autoridad considera que de conformidad con las disposiciones referidas y en atención al principio de exacta aplicación </w:t>
      </w:r>
      <w:r>
        <w:rPr>
          <w:rFonts w:ascii="ITC Avant Garde" w:eastAsia="Times New Roman" w:hAnsi="ITC Avant Garde"/>
          <w:bCs/>
          <w:lang w:eastAsia="es-MX"/>
        </w:rPr>
        <w:t>de la ley</w:t>
      </w:r>
      <w:r w:rsidRPr="00A366DD">
        <w:rPr>
          <w:rFonts w:ascii="ITC Avant Garde" w:eastAsia="Times New Roman" w:hAnsi="ITC Avant Garde"/>
          <w:bCs/>
          <w:lang w:eastAsia="es-MX"/>
        </w:rPr>
        <w:t xml:space="preserve">, la sanción que en todo caso se imponga debe ser congruente con el </w:t>
      </w:r>
      <w:r>
        <w:rPr>
          <w:rFonts w:ascii="ITC Avant Garde" w:eastAsia="Times New Roman" w:hAnsi="ITC Avant Garde"/>
          <w:bCs/>
          <w:lang w:eastAsia="es-MX"/>
        </w:rPr>
        <w:t>análisis que se efectúe conforme a los elementos precisados en el precepto legal antes indicado.</w:t>
      </w:r>
    </w:p>
    <w:p w14:paraId="35B9EA98" w14:textId="77777777" w:rsidR="00E2222D" w:rsidRDefault="001952D4" w:rsidP="00907F25">
      <w:pPr>
        <w:spacing w:after="240" w:line="360" w:lineRule="auto"/>
        <w:jc w:val="both"/>
        <w:rPr>
          <w:rFonts w:ascii="ITC Avant Garde" w:hAnsi="ITC Avant Garde"/>
        </w:rPr>
      </w:pPr>
      <w:r w:rsidRPr="00A366DD">
        <w:rPr>
          <w:rFonts w:ascii="ITC Avant Garde" w:hAnsi="ITC Avant Garde"/>
        </w:rPr>
        <w:lastRenderedPageBreak/>
        <w:t xml:space="preserve">De esta manera, al encontrarse establecidas por el legislador el conjunto de reglas encaminadas a </w:t>
      </w:r>
      <w:r>
        <w:rPr>
          <w:rFonts w:ascii="ITC Avant Garde" w:hAnsi="ITC Avant Garde"/>
        </w:rPr>
        <w:t>individualizar</w:t>
      </w:r>
      <w:r w:rsidRPr="00A366DD">
        <w:rPr>
          <w:rFonts w:ascii="ITC Avant Garde" w:hAnsi="ITC Avant Garde"/>
        </w:rPr>
        <w:t xml:space="preserve"> el monto de la sanción aplicable por la comisión de la conducta y al no existir norma alguna que obligue a adoptar algún procedimiento en específico para </w:t>
      </w:r>
      <w:r>
        <w:rPr>
          <w:rFonts w:ascii="ITC Avant Garde" w:hAnsi="ITC Avant Garde"/>
        </w:rPr>
        <w:t>la cuantificación de la multa</w:t>
      </w:r>
      <w:r w:rsidRPr="00A366DD">
        <w:rPr>
          <w:rFonts w:ascii="ITC Avant Garde" w:hAnsi="ITC Avant Garde"/>
        </w:rPr>
        <w:t>, la autoridad puede valerse de cualquier método que resulte idóneo para esos efectos gozando de un cierto grado de discrecionalidad para determinarla, siempre y cuando se motive de manera adecuada el grado de reproche imputado al inculpado</w:t>
      </w:r>
      <w:r>
        <w:rPr>
          <w:rFonts w:ascii="ITC Avant Garde" w:hAnsi="ITC Avant Garde"/>
        </w:rPr>
        <w:t>.</w:t>
      </w:r>
    </w:p>
    <w:p w14:paraId="4445CECA" w14:textId="77777777" w:rsidR="00E2222D" w:rsidRDefault="001952D4" w:rsidP="00907F25">
      <w:pPr>
        <w:spacing w:after="240" w:line="360" w:lineRule="auto"/>
        <w:jc w:val="both"/>
        <w:rPr>
          <w:rFonts w:ascii="ITC Avant Garde" w:eastAsia="Times New Roman" w:hAnsi="ITC Avant Garde"/>
          <w:bCs/>
          <w:lang w:eastAsia="es-MX"/>
        </w:rPr>
      </w:pPr>
      <w:r>
        <w:rPr>
          <w:rFonts w:ascii="ITC Avant Garde" w:hAnsi="ITC Avant Garde"/>
        </w:rPr>
        <w:t>Sirve de apoyo a lo anterior la siguiente Jurisprudencia:</w:t>
      </w:r>
    </w:p>
    <w:p w14:paraId="36DC7644" w14:textId="77777777" w:rsidR="00E2222D" w:rsidRDefault="001952D4" w:rsidP="00907F25">
      <w:pPr>
        <w:spacing w:after="240" w:line="360" w:lineRule="auto"/>
        <w:ind w:left="851" w:right="900"/>
        <w:jc w:val="both"/>
        <w:rPr>
          <w:rFonts w:ascii="ITC Avant Garde" w:eastAsia="Times New Roman" w:hAnsi="ITC Avant Garde"/>
          <w:bCs/>
          <w:i/>
          <w:color w:val="000000"/>
          <w:sz w:val="20"/>
          <w:szCs w:val="20"/>
          <w:lang w:eastAsia="es-MX"/>
        </w:rPr>
      </w:pPr>
      <w:r w:rsidRPr="001C4BC7">
        <w:rPr>
          <w:rFonts w:ascii="ITC Avant Garde" w:eastAsia="Times New Roman" w:hAnsi="ITC Avant Garde"/>
          <w:b/>
          <w:bCs/>
          <w:i/>
          <w:color w:val="000000"/>
          <w:sz w:val="20"/>
          <w:szCs w:val="20"/>
          <w:lang w:eastAsia="es-MX"/>
        </w:rPr>
        <w:t>INDIVIDUALIZACIÓN DE LA PENA. DEBE SER CONGRUENTE CON EL GRADO DE CULPABILIDAD ATRIBUIDO AL INCULPADO, PUDIENDO EL JUZGADOR ACREDITAR DICHO EXTREMO A TRAVÉS DE CUALQUIER MÉTODO QUE RESULTE IDÓNEO PARA ELLO.</w:t>
      </w:r>
      <w:r w:rsidRPr="001C4BC7">
        <w:rPr>
          <w:rFonts w:ascii="ITC Avant Garde" w:eastAsia="Times New Roman" w:hAnsi="ITC Avant Garde"/>
          <w:bCs/>
          <w:i/>
          <w:color w:val="000000"/>
          <w:sz w:val="20"/>
          <w:szCs w:val="20"/>
          <w:lang w:eastAsia="es-MX"/>
        </w:rPr>
        <w:t xml:space="preserve"> De conformidad con los artículos 70 y 72 del Nuevo Código Penal para el Distrito Federal, </w:t>
      </w:r>
      <w:r w:rsidRPr="001C4BC7">
        <w:rPr>
          <w:rFonts w:ascii="ITC Avant Garde" w:eastAsia="Times New Roman" w:hAnsi="ITC Avant Garde"/>
          <w:b/>
          <w:bCs/>
          <w:i/>
          <w:color w:val="000000"/>
          <w:sz w:val="20"/>
          <w:szCs w:val="20"/>
          <w:lang w:eastAsia="es-MX"/>
        </w:rPr>
        <w:t>el Juez deberá individualizar la pena, dentro de los límites previamente fijados por el legislador,</w:t>
      </w:r>
      <w:r w:rsidRPr="001C4BC7">
        <w:rPr>
          <w:rFonts w:ascii="ITC Avant Garde" w:eastAsia="Times New Roman" w:hAnsi="ITC Avant Garde"/>
          <w:bCs/>
          <w:i/>
          <w:color w:val="000000"/>
          <w:sz w:val="20"/>
          <w:szCs w:val="20"/>
          <w:lang w:eastAsia="es-MX"/>
        </w:rPr>
        <w:t xml:space="preserve"> con base en la gravedad del ilícito y el grado de culpabilidad del agente. </w:t>
      </w:r>
      <w:r w:rsidRPr="001C4BC7">
        <w:rPr>
          <w:rFonts w:ascii="ITC Avant Garde" w:eastAsia="Times New Roman" w:hAnsi="ITC Avant Garde"/>
          <w:b/>
          <w:bCs/>
          <w:i/>
          <w:color w:val="000000"/>
          <w:sz w:val="20"/>
          <w:szCs w:val="20"/>
          <w:lang w:eastAsia="es-MX"/>
        </w:rPr>
        <w:t>De ahí que la discrecionalidad de la que goza aquél para cuantificar las penas esté sujeta a que motive adecuadamente el lugar o escalafón en el que se ubica el grado de reproche imputado al inculpado</w:t>
      </w:r>
      <w:r w:rsidRPr="001C4BC7">
        <w:rPr>
          <w:rFonts w:ascii="ITC Avant Garde" w:eastAsia="Times New Roman" w:hAnsi="ITC Avant Garde"/>
          <w:bCs/>
          <w:i/>
          <w:color w:val="000000"/>
          <w:sz w:val="20"/>
          <w:szCs w:val="20"/>
          <w:lang w:eastAsia="es-MX"/>
        </w:rPr>
        <w:t>, dentro del parámetro que va de una culpabilidad mínima a una máxima, para así poder demostrar, en cumplimiento a las normas que rigen la individualización de la pena y con el principio de exacta aplicación de la ley, que el quantum de la pena resulta congruente con el grado de reproche del inculpado, por encontrarse ambos en igual lugar dentro de sus respectivos parámetros. Para lograr tal fin, el juzgador puede valerse de cualquier método que resulte idóneo para ello, pues no existe norma alguna que lo constriña a adoptar algún procedimiento matemático en específico, entre los diversos que resulten adecuados para desempeñar dicha labor.</w:t>
      </w:r>
    </w:p>
    <w:p w14:paraId="3EA8C8DE" w14:textId="77777777" w:rsidR="00E2222D" w:rsidRDefault="001952D4" w:rsidP="00907F25">
      <w:pPr>
        <w:spacing w:after="240" w:line="360" w:lineRule="auto"/>
        <w:ind w:left="851" w:right="900"/>
        <w:jc w:val="both"/>
        <w:rPr>
          <w:rFonts w:ascii="ITC Avant Garde" w:eastAsia="Times New Roman" w:hAnsi="ITC Avant Garde"/>
          <w:bCs/>
          <w:i/>
          <w:color w:val="000000"/>
          <w:sz w:val="20"/>
          <w:szCs w:val="20"/>
          <w:lang w:eastAsia="es-MX"/>
        </w:rPr>
      </w:pPr>
      <w:r w:rsidRPr="005D526D">
        <w:rPr>
          <w:rFonts w:ascii="ITC Avant Garde" w:eastAsia="Times New Roman" w:hAnsi="ITC Avant Garde"/>
          <w:bCs/>
          <w:i/>
          <w:color w:val="000000"/>
          <w:sz w:val="20"/>
          <w:szCs w:val="20"/>
          <w:lang w:eastAsia="es-MX"/>
        </w:rPr>
        <w:t xml:space="preserve">Época: Novena Época, Registro: 176280, Instancia: Primera Sala, Tipo de Tesis: Jurisprudencia, Fuente: Semanario Judicial de la Federación y su Gaceta, </w:t>
      </w:r>
      <w:r w:rsidRPr="005D526D">
        <w:rPr>
          <w:rFonts w:ascii="ITC Avant Garde" w:eastAsia="Times New Roman" w:hAnsi="ITC Avant Garde"/>
          <w:bCs/>
          <w:i/>
          <w:color w:val="000000"/>
          <w:sz w:val="20"/>
          <w:szCs w:val="20"/>
          <w:lang w:eastAsia="es-MX"/>
        </w:rPr>
        <w:lastRenderedPageBreak/>
        <w:t>Tomo XXIII, Enero de 2006, Materia(s): Penal, Tesis: 1a./J. 157/2005, Página: 347”</w:t>
      </w:r>
    </w:p>
    <w:p w14:paraId="571D36A1" w14:textId="77777777" w:rsidR="00E2222D" w:rsidRDefault="001952D4" w:rsidP="00907F25">
      <w:pPr>
        <w:spacing w:after="240" w:line="360" w:lineRule="auto"/>
        <w:ind w:left="426" w:right="616" w:firstLine="567"/>
        <w:jc w:val="both"/>
        <w:rPr>
          <w:rFonts w:ascii="ITC Avant Garde" w:hAnsi="ITC Avant Garde"/>
          <w:i/>
          <w:sz w:val="20"/>
          <w:szCs w:val="20"/>
        </w:rPr>
      </w:pPr>
      <w:r w:rsidRPr="001952D4">
        <w:rPr>
          <w:rFonts w:ascii="ITC Avant Garde" w:eastAsia="Times New Roman" w:hAnsi="ITC Avant Garde"/>
          <w:b/>
          <w:bCs/>
          <w:i/>
          <w:color w:val="000000"/>
          <w:sz w:val="20"/>
          <w:szCs w:val="20"/>
          <w:lang w:eastAsia="es-MX"/>
        </w:rPr>
        <w:t>(Énfasis añadido)</w:t>
      </w:r>
    </w:p>
    <w:p w14:paraId="34B3E8B9" w14:textId="77777777" w:rsidR="00E2222D" w:rsidRDefault="001952D4" w:rsidP="00907F25">
      <w:pPr>
        <w:spacing w:after="240" w:line="360" w:lineRule="auto"/>
        <w:jc w:val="both"/>
        <w:rPr>
          <w:rFonts w:ascii="ITC Avant Garde" w:hAnsi="ITC Avant Garde"/>
        </w:rPr>
      </w:pPr>
      <w:r w:rsidRPr="00A366DD">
        <w:rPr>
          <w:rFonts w:ascii="ITC Avant Garde" w:hAnsi="ITC Avant Garde"/>
        </w:rPr>
        <w:t xml:space="preserve">En ese sentido, con el fin de cumplir con lo establecido en la Ley, esta autoridad procede a analizar cada uno de los elementos que se deben de tomar en consideración para </w:t>
      </w:r>
      <w:r>
        <w:rPr>
          <w:rFonts w:ascii="ITC Avant Garde" w:hAnsi="ITC Avant Garde"/>
        </w:rPr>
        <w:t xml:space="preserve">estar en posibilidad de </w:t>
      </w:r>
      <w:r w:rsidRPr="00A366DD">
        <w:rPr>
          <w:rFonts w:ascii="ITC Avant Garde" w:hAnsi="ITC Avant Garde"/>
        </w:rPr>
        <w:t>determinar el monto de la sanción que se debe aplicar</w:t>
      </w:r>
      <w:r>
        <w:rPr>
          <w:rFonts w:ascii="ITC Avant Garde" w:hAnsi="ITC Avant Garde"/>
        </w:rPr>
        <w:t>.</w:t>
      </w:r>
    </w:p>
    <w:p w14:paraId="4A9A27DC" w14:textId="77777777" w:rsidR="00E2222D" w:rsidRDefault="001952D4" w:rsidP="00907F25">
      <w:pPr>
        <w:spacing w:after="240" w:line="360" w:lineRule="auto"/>
        <w:jc w:val="both"/>
        <w:rPr>
          <w:rFonts w:ascii="ITC Avant Garde" w:hAnsi="ITC Avant Garde"/>
        </w:rPr>
      </w:pPr>
      <w:r>
        <w:rPr>
          <w:rFonts w:ascii="ITC Avant Garde" w:hAnsi="ITC Avant Garde"/>
        </w:rPr>
        <w:t xml:space="preserve">Ahora bien, resulta pertinente precisar que si bien es cierto el artículo 301 de la </w:t>
      </w:r>
      <w:r w:rsidRPr="004B194F">
        <w:rPr>
          <w:rFonts w:ascii="ITC Avant Garde" w:hAnsi="ITC Avant Garde"/>
          <w:b/>
          <w:bCs/>
        </w:rPr>
        <w:t>LFTR</w:t>
      </w:r>
      <w:r>
        <w:rPr>
          <w:rFonts w:ascii="ITC Avant Garde" w:hAnsi="ITC Avant Garde"/>
        </w:rPr>
        <w:t xml:space="preserve">, establece como elementos a considerar para efectos de fijar el monto de la multa los siguientes: a) la gravedad de la infracción; b) la capacidad económica del infractor; c) la reincidencia; y d) en su caso, el cumplimiento espontáneo de las obligaciones que dieron origen al procedimiento sancionatorio; de los mismos </w:t>
      </w:r>
      <w:r w:rsidR="006850B2">
        <w:rPr>
          <w:rFonts w:ascii="ITC Avant Garde" w:hAnsi="ITC Avant Garde"/>
        </w:rPr>
        <w:t xml:space="preserve">en el presente caso </w:t>
      </w:r>
      <w:r w:rsidRPr="006151BC">
        <w:rPr>
          <w:rFonts w:ascii="ITC Avant Garde" w:hAnsi="ITC Avant Garde"/>
          <w:u w:val="single"/>
        </w:rPr>
        <w:t>solo resulta</w:t>
      </w:r>
      <w:r>
        <w:rPr>
          <w:rFonts w:ascii="ITC Avant Garde" w:hAnsi="ITC Avant Garde"/>
          <w:u w:val="single"/>
        </w:rPr>
        <w:t>n</w:t>
      </w:r>
      <w:r w:rsidRPr="006151BC">
        <w:rPr>
          <w:rFonts w:ascii="ITC Avant Garde" w:hAnsi="ITC Avant Garde"/>
          <w:u w:val="single"/>
        </w:rPr>
        <w:t xml:space="preserve"> atendible</w:t>
      </w:r>
      <w:r>
        <w:rPr>
          <w:rFonts w:ascii="ITC Avant Garde" w:hAnsi="ITC Avant Garde"/>
          <w:u w:val="single"/>
        </w:rPr>
        <w:t>s</w:t>
      </w:r>
      <w:r w:rsidRPr="006151BC">
        <w:rPr>
          <w:rFonts w:ascii="ITC Avant Garde" w:hAnsi="ITC Avant Garde"/>
          <w:u w:val="single"/>
        </w:rPr>
        <w:t xml:space="preserve"> para la fijación primigenia de la multa, los dos primeros, es decir, la gravedad de la infracción y la capacidad económica del infractor</w:t>
      </w:r>
      <w:r>
        <w:rPr>
          <w:rFonts w:ascii="ITC Avant Garde" w:hAnsi="ITC Avant Garde"/>
        </w:rPr>
        <w:t>, no así la reincidencia y el cumplimiento espontáneo de las obligaciones que dieron origen al procedimiento.</w:t>
      </w:r>
    </w:p>
    <w:p w14:paraId="40E82AB0" w14:textId="77777777" w:rsidR="00E2222D" w:rsidRDefault="001952D4" w:rsidP="00907F25">
      <w:pPr>
        <w:spacing w:after="240" w:line="360" w:lineRule="auto"/>
        <w:jc w:val="both"/>
        <w:rPr>
          <w:rFonts w:ascii="ITC Avant Garde" w:hAnsi="ITC Avant Garde"/>
        </w:rPr>
      </w:pPr>
      <w:r>
        <w:rPr>
          <w:rFonts w:ascii="ITC Avant Garde" w:hAnsi="ITC Avant Garde"/>
        </w:rPr>
        <w:t xml:space="preserve">Lo anterior en virtud de que tratándose de la reincidencia, la misma es un factor que en términos del artículo 300 de la </w:t>
      </w:r>
      <w:r w:rsidRPr="004B194F">
        <w:rPr>
          <w:rFonts w:ascii="ITC Avant Garde" w:hAnsi="ITC Avant Garde"/>
          <w:b/>
          <w:bCs/>
        </w:rPr>
        <w:t>LFTR</w:t>
      </w:r>
      <w:r>
        <w:rPr>
          <w:rFonts w:ascii="ITC Avant Garde" w:hAnsi="ITC Avant Garde"/>
        </w:rPr>
        <w:t>, permitiría duplicar la multa impuesta para el caso de que se actualizara dicha figura, lo que implica que de suyo no es un factor que incida en la determinación de la multa, sino que opera como una agravante para imponer una sanción más severa para quien ha vuelto a infringir la normatividad de la materia; en tanto que, a contrario sensu, en caso de actualizarse el cumplimiento espontáneo de las obligaciones que dieron origen al procedimiento, permite contar con una atenuante que traería como consecuencia la disminución en el monto de la sanción originalmente decretada.</w:t>
      </w:r>
    </w:p>
    <w:p w14:paraId="7CB5A3C6" w14:textId="77777777" w:rsidR="00E2222D" w:rsidRDefault="001952D4" w:rsidP="00907F25">
      <w:pPr>
        <w:spacing w:after="240" w:line="360" w:lineRule="auto"/>
        <w:jc w:val="both"/>
        <w:rPr>
          <w:rFonts w:ascii="ITC Avant Garde" w:hAnsi="ITC Avant Garde"/>
        </w:rPr>
      </w:pPr>
      <w:r>
        <w:rPr>
          <w:rFonts w:ascii="ITC Avant Garde" w:hAnsi="ITC Avant Garde"/>
        </w:rPr>
        <w:t xml:space="preserve">Conforme a lo expuesto, este Órgano Colegiado estima procedente llevar a cabo el análisis de la gravedad de la infracción y de los elementos que la componen como </w:t>
      </w:r>
      <w:r>
        <w:rPr>
          <w:rFonts w:ascii="ITC Avant Garde" w:hAnsi="ITC Avant Garde"/>
        </w:rPr>
        <w:lastRenderedPageBreak/>
        <w:t>factores para determinar el monto de la sanción a imponer para posteriormente analizar si la multa calculada en esos términos es acorde con la capacidad económica del infractor, ejercicio que se realiza como sigue:</w:t>
      </w:r>
    </w:p>
    <w:p w14:paraId="6FC96433" w14:textId="77777777" w:rsidR="00E2222D" w:rsidRDefault="001952D4" w:rsidP="00907F25">
      <w:pPr>
        <w:pStyle w:val="Prrafodelista"/>
        <w:numPr>
          <w:ilvl w:val="0"/>
          <w:numId w:val="48"/>
        </w:numPr>
        <w:spacing w:after="240" w:line="360" w:lineRule="auto"/>
        <w:ind w:right="-850"/>
        <w:jc w:val="both"/>
        <w:rPr>
          <w:rFonts w:ascii="ITC Avant Garde" w:hAnsi="ITC Avant Garde"/>
          <w:b/>
          <w:u w:val="single"/>
        </w:rPr>
      </w:pPr>
      <w:r>
        <w:rPr>
          <w:rFonts w:ascii="ITC Avant Garde" w:hAnsi="ITC Avant Garde"/>
          <w:b/>
          <w:u w:val="single"/>
        </w:rPr>
        <w:t>Gravedad de la infracción.</w:t>
      </w:r>
    </w:p>
    <w:p w14:paraId="10812071" w14:textId="77777777" w:rsidR="00E2222D" w:rsidRDefault="001952D4" w:rsidP="00907F25">
      <w:pPr>
        <w:spacing w:after="240" w:line="360" w:lineRule="auto"/>
        <w:ind w:right="-1"/>
        <w:jc w:val="both"/>
        <w:rPr>
          <w:rFonts w:ascii="ITC Avant Garde" w:hAnsi="ITC Avant Garde"/>
        </w:rPr>
      </w:pPr>
      <w:r>
        <w:rPr>
          <w:rFonts w:ascii="ITC Avant Garde" w:hAnsi="ITC Avant Garde"/>
        </w:rPr>
        <w:t xml:space="preserve">La </w:t>
      </w:r>
      <w:r w:rsidRPr="004B194F">
        <w:rPr>
          <w:rFonts w:ascii="ITC Avant Garde" w:hAnsi="ITC Avant Garde"/>
          <w:b/>
        </w:rPr>
        <w:t>LFTR</w:t>
      </w:r>
      <w:r>
        <w:rPr>
          <w:rFonts w:ascii="ITC Avant Garde" w:hAnsi="ITC Avant Garde"/>
        </w:rPr>
        <w:t xml:space="preserve"> no establece medio alguno para determinar la gravedad. En consecuencia, esta autoridad considera conveniente que para determinar cuándo una conducta es grave y en qué grado lo es, es necesario analizar los siguientes elementos:</w:t>
      </w:r>
    </w:p>
    <w:p w14:paraId="73AFE296" w14:textId="1C15EF11" w:rsidR="001952D4" w:rsidRDefault="001952D4" w:rsidP="00907F25">
      <w:pPr>
        <w:pStyle w:val="Prrafodelista"/>
        <w:numPr>
          <w:ilvl w:val="0"/>
          <w:numId w:val="46"/>
        </w:numPr>
        <w:spacing w:after="240" w:line="360" w:lineRule="auto"/>
        <w:ind w:left="1276" w:right="-1"/>
        <w:jc w:val="both"/>
        <w:rPr>
          <w:rFonts w:ascii="ITC Avant Garde" w:hAnsi="ITC Avant Garde"/>
        </w:rPr>
      </w:pPr>
      <w:r>
        <w:rPr>
          <w:rFonts w:ascii="ITC Avant Garde" w:hAnsi="ITC Avant Garde"/>
        </w:rPr>
        <w:t>Los daños o perjuicios que se hubieren producido o puedan producirse.</w:t>
      </w:r>
    </w:p>
    <w:p w14:paraId="3D948C14" w14:textId="77777777" w:rsidR="001952D4" w:rsidRDefault="001952D4" w:rsidP="00907F25">
      <w:pPr>
        <w:pStyle w:val="Prrafodelista"/>
        <w:numPr>
          <w:ilvl w:val="0"/>
          <w:numId w:val="46"/>
        </w:numPr>
        <w:spacing w:after="240" w:line="360" w:lineRule="auto"/>
        <w:ind w:left="1276" w:right="-1"/>
        <w:jc w:val="both"/>
        <w:rPr>
          <w:rFonts w:ascii="ITC Avant Garde" w:hAnsi="ITC Avant Garde"/>
        </w:rPr>
      </w:pPr>
      <w:r>
        <w:rPr>
          <w:rFonts w:ascii="ITC Avant Garde" w:hAnsi="ITC Avant Garde"/>
        </w:rPr>
        <w:t>El carácter intencional de la acción u omisión constitutiva de la infracción.</w:t>
      </w:r>
    </w:p>
    <w:p w14:paraId="06CEB136" w14:textId="5353D53C" w:rsidR="001952D4" w:rsidRDefault="001952D4" w:rsidP="00907F25">
      <w:pPr>
        <w:pStyle w:val="Prrafodelista"/>
        <w:numPr>
          <w:ilvl w:val="0"/>
          <w:numId w:val="46"/>
        </w:numPr>
        <w:spacing w:after="240" w:line="360" w:lineRule="auto"/>
        <w:ind w:left="1276" w:right="-1"/>
        <w:jc w:val="both"/>
        <w:rPr>
          <w:rFonts w:ascii="ITC Avant Garde" w:hAnsi="ITC Avant Garde"/>
        </w:rPr>
      </w:pPr>
      <w:r>
        <w:rPr>
          <w:rFonts w:ascii="ITC Avant Garde" w:hAnsi="ITC Avant Garde"/>
        </w:rPr>
        <w:t xml:space="preserve">Obtención de un lucro </w:t>
      </w:r>
      <w:r w:rsidR="009163E9">
        <w:rPr>
          <w:rFonts w:ascii="ITC Avant Garde" w:hAnsi="ITC Avant Garde"/>
        </w:rPr>
        <w:t>indebido.</w:t>
      </w:r>
    </w:p>
    <w:p w14:paraId="5234DD83" w14:textId="77777777" w:rsidR="00E2222D" w:rsidRDefault="001952D4" w:rsidP="00907F25">
      <w:pPr>
        <w:pStyle w:val="Prrafodelista"/>
        <w:numPr>
          <w:ilvl w:val="0"/>
          <w:numId w:val="46"/>
        </w:numPr>
        <w:spacing w:after="240" w:line="360" w:lineRule="auto"/>
        <w:ind w:left="1276" w:right="-1"/>
        <w:jc w:val="both"/>
        <w:rPr>
          <w:rFonts w:ascii="ITC Avant Garde" w:hAnsi="ITC Avant Garde"/>
        </w:rPr>
      </w:pPr>
      <w:r>
        <w:rPr>
          <w:rFonts w:ascii="ITC Avant Garde" w:hAnsi="ITC Avant Garde"/>
        </w:rPr>
        <w:t>Afectación a un sistema de telecomunicaciones o radiodifusión previamente autorizado.</w:t>
      </w:r>
    </w:p>
    <w:p w14:paraId="1C3085EF" w14:textId="569CA362" w:rsidR="00E2222D" w:rsidRDefault="001952D4" w:rsidP="00907F25">
      <w:pPr>
        <w:spacing w:after="240" w:line="360" w:lineRule="auto"/>
        <w:ind w:right="-1"/>
        <w:jc w:val="both"/>
        <w:rPr>
          <w:rFonts w:ascii="ITC Avant Garde" w:hAnsi="ITC Avant Garde"/>
        </w:rPr>
      </w:pPr>
      <w:r w:rsidRPr="001A07E3">
        <w:rPr>
          <w:rFonts w:ascii="ITC Avant Garde" w:hAnsi="ITC Avant Garde"/>
        </w:rPr>
        <w:t xml:space="preserve">Antes de entrar al análisis de los citados elementos, resulta oportuno destacar que los servicios de </w:t>
      </w:r>
      <w:r>
        <w:rPr>
          <w:rFonts w:ascii="ITC Avant Garde" w:hAnsi="ITC Avant Garde"/>
        </w:rPr>
        <w:t>telecomunicaciones</w:t>
      </w:r>
      <w:r w:rsidRPr="001A07E3">
        <w:rPr>
          <w:rFonts w:ascii="ITC Avant Garde" w:hAnsi="ITC Avant Garde"/>
        </w:rPr>
        <w:t xml:space="preserve"> son considerados servicios públicos de interés general, tanto por la </w:t>
      </w:r>
      <w:r w:rsidRPr="001A07E3">
        <w:rPr>
          <w:rFonts w:ascii="ITC Avant Garde" w:hAnsi="ITC Avant Garde"/>
          <w:b/>
        </w:rPr>
        <w:t>CPEUM</w:t>
      </w:r>
      <w:r w:rsidRPr="001A07E3">
        <w:rPr>
          <w:rFonts w:ascii="ITC Avant Garde" w:hAnsi="ITC Avant Garde"/>
        </w:rPr>
        <w:t xml:space="preserve"> como por los criterios sostenidos por el Poder Judicial Federal.</w:t>
      </w:r>
    </w:p>
    <w:p w14:paraId="6342A6F9" w14:textId="77777777" w:rsidR="00E2222D" w:rsidRDefault="001952D4" w:rsidP="00907F25">
      <w:pPr>
        <w:spacing w:after="240" w:line="360" w:lineRule="auto"/>
        <w:ind w:right="-1"/>
        <w:jc w:val="both"/>
        <w:rPr>
          <w:rFonts w:ascii="ITC Avant Garde" w:hAnsi="ITC Avant Garde"/>
        </w:rPr>
      </w:pPr>
      <w:r w:rsidRPr="00A366DD">
        <w:rPr>
          <w:rFonts w:ascii="ITC Avant Garde" w:hAnsi="ITC Avant Garde"/>
        </w:rPr>
        <w:t>En efecto, de acuerdo con el artículo 6º</w:t>
      </w:r>
      <w:r>
        <w:rPr>
          <w:rFonts w:ascii="ITC Avant Garde" w:hAnsi="ITC Avant Garde"/>
        </w:rPr>
        <w:t>,</w:t>
      </w:r>
      <w:r w:rsidRPr="00A366DD">
        <w:rPr>
          <w:rFonts w:ascii="ITC Avant Garde" w:hAnsi="ITC Avant Garde"/>
        </w:rPr>
        <w:t xml:space="preserve"> apartado B, </w:t>
      </w:r>
      <w:r>
        <w:rPr>
          <w:rFonts w:ascii="ITC Avant Garde" w:hAnsi="ITC Avant Garde"/>
        </w:rPr>
        <w:t>fracción</w:t>
      </w:r>
      <w:r w:rsidRPr="00A366DD">
        <w:rPr>
          <w:rFonts w:ascii="ITC Avant Garde" w:hAnsi="ITC Avant Garde"/>
        </w:rPr>
        <w:t xml:space="preserve"> II de la </w:t>
      </w:r>
      <w:r w:rsidRPr="00702A23">
        <w:rPr>
          <w:rFonts w:ascii="ITC Avant Garde" w:hAnsi="ITC Avant Garde"/>
          <w:b/>
        </w:rPr>
        <w:t>CPEUM</w:t>
      </w:r>
      <w:r>
        <w:rPr>
          <w:rFonts w:ascii="ITC Avant Garde" w:hAnsi="ITC Avant Garde"/>
          <w:b/>
        </w:rPr>
        <w:t>,</w:t>
      </w:r>
      <w:r w:rsidRPr="00A366DD">
        <w:rPr>
          <w:rFonts w:ascii="ITC Avant Garde" w:hAnsi="ITC Avant Garde"/>
        </w:rPr>
        <w:t xml:space="preserve"> </w:t>
      </w:r>
      <w:r>
        <w:rPr>
          <w:rFonts w:ascii="ITC Avant Garde" w:hAnsi="ITC Avant Garde"/>
        </w:rPr>
        <w:t xml:space="preserve">las telecomunicaciones son </w:t>
      </w:r>
      <w:r w:rsidRPr="00A366DD">
        <w:rPr>
          <w:rFonts w:ascii="ITC Avant Garde" w:hAnsi="ITC Avant Garde"/>
        </w:rPr>
        <w:t>servicio</w:t>
      </w:r>
      <w:r>
        <w:rPr>
          <w:rFonts w:ascii="ITC Avant Garde" w:hAnsi="ITC Avant Garde"/>
        </w:rPr>
        <w:t>s</w:t>
      </w:r>
      <w:r w:rsidRPr="00A366DD">
        <w:rPr>
          <w:rFonts w:ascii="ITC Avant Garde" w:hAnsi="ITC Avant Garde"/>
        </w:rPr>
        <w:t xml:space="preserve"> público</w:t>
      </w:r>
      <w:r>
        <w:rPr>
          <w:rFonts w:ascii="ITC Avant Garde" w:hAnsi="ITC Avant Garde"/>
        </w:rPr>
        <w:t>s</w:t>
      </w:r>
      <w:r w:rsidRPr="00A366DD">
        <w:rPr>
          <w:rFonts w:ascii="ITC Avant Garde" w:hAnsi="ITC Avant Garde"/>
        </w:rPr>
        <w:t xml:space="preserve"> de interés general y corresponde al Estado garantizar que sea prestado en condiciones de competencia</w:t>
      </w:r>
      <w:r w:rsidRPr="0096458F">
        <w:rPr>
          <w:rFonts w:ascii="ITC Avant Garde" w:hAnsi="ITC Avant Garde"/>
        </w:rPr>
        <w:t xml:space="preserve"> </w:t>
      </w:r>
      <w:r>
        <w:rPr>
          <w:rFonts w:ascii="ITC Avant Garde" w:hAnsi="ITC Avant Garde"/>
        </w:rPr>
        <w:t>y calidad</w:t>
      </w:r>
      <w:r w:rsidRPr="00A366DD">
        <w:rPr>
          <w:rFonts w:ascii="ITC Avant Garde" w:hAnsi="ITC Avant Garde"/>
        </w:rPr>
        <w:t>.</w:t>
      </w:r>
    </w:p>
    <w:p w14:paraId="6EC89240" w14:textId="77777777" w:rsidR="00E2222D" w:rsidRDefault="001952D4" w:rsidP="00907F25">
      <w:pPr>
        <w:spacing w:after="240" w:line="360" w:lineRule="auto"/>
        <w:ind w:left="851" w:right="618"/>
        <w:jc w:val="both"/>
        <w:rPr>
          <w:rFonts w:ascii="ITC Avant Garde" w:eastAsia="Times New Roman" w:hAnsi="ITC Avant Garde"/>
          <w:b/>
          <w:bCs/>
          <w:i/>
          <w:color w:val="000000"/>
          <w:sz w:val="20"/>
          <w:szCs w:val="20"/>
          <w:lang w:eastAsia="es-MX"/>
        </w:rPr>
      </w:pPr>
      <w:r w:rsidRPr="00B672EB">
        <w:rPr>
          <w:rFonts w:ascii="ITC Avant Garde" w:eastAsia="Times New Roman" w:hAnsi="ITC Avant Garde"/>
          <w:bCs/>
          <w:i/>
          <w:color w:val="000000"/>
          <w:sz w:val="20"/>
          <w:szCs w:val="20"/>
          <w:lang w:eastAsia="es-MX"/>
        </w:rPr>
        <w:t>“</w:t>
      </w:r>
      <w:r w:rsidRPr="00B672EB">
        <w:rPr>
          <w:rFonts w:ascii="ITC Avant Garde" w:eastAsia="Times New Roman" w:hAnsi="ITC Avant Garde"/>
          <w:b/>
          <w:bCs/>
          <w:i/>
          <w:color w:val="000000"/>
          <w:sz w:val="20"/>
          <w:szCs w:val="20"/>
          <w:lang w:eastAsia="es-MX"/>
        </w:rPr>
        <w:t>Artículo 6°…</w:t>
      </w:r>
    </w:p>
    <w:p w14:paraId="13584224" w14:textId="0F0C87F6" w:rsidR="001952D4" w:rsidRPr="00B672EB" w:rsidRDefault="001952D4" w:rsidP="00907F25">
      <w:pPr>
        <w:spacing w:after="240" w:line="360" w:lineRule="auto"/>
        <w:ind w:left="851" w:right="618"/>
        <w:jc w:val="both"/>
        <w:rPr>
          <w:rFonts w:ascii="ITC Avant Garde" w:eastAsia="Times New Roman" w:hAnsi="ITC Avant Garde"/>
          <w:bCs/>
          <w:i/>
          <w:color w:val="000000"/>
          <w:sz w:val="20"/>
          <w:szCs w:val="20"/>
          <w:lang w:eastAsia="es-MX"/>
        </w:rPr>
      </w:pPr>
      <w:r w:rsidRPr="00B672EB">
        <w:rPr>
          <w:rFonts w:ascii="ITC Avant Garde" w:eastAsia="Times New Roman" w:hAnsi="ITC Avant Garde"/>
          <w:bCs/>
          <w:i/>
          <w:color w:val="000000"/>
          <w:sz w:val="20"/>
          <w:szCs w:val="20"/>
          <w:lang w:eastAsia="es-MX"/>
        </w:rPr>
        <w:t>B. En materia de radiodifusión y telecomunicaciones:</w:t>
      </w:r>
    </w:p>
    <w:p w14:paraId="47586F9D" w14:textId="77777777" w:rsidR="00E2222D" w:rsidRDefault="001952D4" w:rsidP="00907F25">
      <w:pPr>
        <w:spacing w:after="240" w:line="360" w:lineRule="auto"/>
        <w:ind w:left="851" w:right="618"/>
        <w:jc w:val="both"/>
        <w:rPr>
          <w:rFonts w:ascii="ITC Avant Garde" w:eastAsia="Times New Roman" w:hAnsi="ITC Avant Garde"/>
          <w:bCs/>
          <w:i/>
          <w:color w:val="000000"/>
          <w:sz w:val="20"/>
          <w:szCs w:val="20"/>
          <w:lang w:eastAsia="es-MX"/>
        </w:rPr>
      </w:pPr>
      <w:r w:rsidRPr="00B672EB">
        <w:rPr>
          <w:rFonts w:ascii="ITC Avant Garde" w:eastAsia="Times New Roman" w:hAnsi="ITC Avant Garde"/>
          <w:bCs/>
          <w:i/>
          <w:color w:val="000000"/>
          <w:sz w:val="20"/>
          <w:szCs w:val="20"/>
          <w:lang w:eastAsia="es-MX"/>
        </w:rPr>
        <w:t>…</w:t>
      </w:r>
    </w:p>
    <w:p w14:paraId="7BF09697" w14:textId="77777777" w:rsidR="00E2222D" w:rsidRDefault="001952D4" w:rsidP="00907F25">
      <w:pPr>
        <w:spacing w:after="240" w:line="360" w:lineRule="auto"/>
        <w:ind w:left="851" w:right="618"/>
        <w:jc w:val="both"/>
        <w:rPr>
          <w:rFonts w:ascii="ITC Avant Garde" w:eastAsia="Times New Roman" w:hAnsi="ITC Avant Garde"/>
          <w:bCs/>
          <w:i/>
          <w:color w:val="000000"/>
          <w:lang w:eastAsia="es-MX"/>
        </w:rPr>
      </w:pPr>
      <w:r w:rsidRPr="00B672EB">
        <w:rPr>
          <w:rFonts w:ascii="ITC Avant Garde" w:eastAsia="Times New Roman" w:hAnsi="ITC Avant Garde"/>
          <w:b/>
          <w:bCs/>
          <w:i/>
          <w:color w:val="000000"/>
          <w:sz w:val="20"/>
          <w:szCs w:val="20"/>
          <w:lang w:eastAsia="es-MX"/>
        </w:rPr>
        <w:t xml:space="preserve">II. </w:t>
      </w:r>
      <w:r w:rsidRPr="00B672EB">
        <w:rPr>
          <w:rFonts w:ascii="ITC Avant Garde" w:hAnsi="ITC Avant Garde" w:cs="Arial"/>
          <w:b/>
          <w:i/>
          <w:color w:val="000000"/>
          <w:sz w:val="20"/>
          <w:szCs w:val="20"/>
          <w:shd w:val="clear" w:color="auto" w:fill="FFFFFF"/>
        </w:rPr>
        <w:t xml:space="preserve">Las telecomunicaciones </w:t>
      </w:r>
      <w:r w:rsidRPr="00B672EB">
        <w:rPr>
          <w:rFonts w:ascii="ITC Avant Garde" w:hAnsi="ITC Avant Garde" w:cs="Arial"/>
          <w:i/>
          <w:color w:val="000000"/>
          <w:sz w:val="20"/>
          <w:szCs w:val="20"/>
          <w:shd w:val="clear" w:color="auto" w:fill="FFFFFF"/>
        </w:rPr>
        <w:t xml:space="preserve">son servicios públicos de interés general, por lo que el estado garantizara que sean prestados en condiciones de competencia, </w:t>
      </w:r>
      <w:r w:rsidRPr="00B672EB">
        <w:rPr>
          <w:rFonts w:ascii="ITC Avant Garde" w:hAnsi="ITC Avant Garde" w:cs="Arial"/>
          <w:i/>
          <w:color w:val="000000"/>
          <w:sz w:val="20"/>
          <w:szCs w:val="20"/>
          <w:shd w:val="clear" w:color="auto" w:fill="FFFFFF"/>
        </w:rPr>
        <w:lastRenderedPageBreak/>
        <w:t>calidad, pluralidad, cobertura universal, interconexión, convergencia, continuidad, acceso libre y sin injerencias arbitrarias</w:t>
      </w:r>
      <w:r w:rsidRPr="00420280">
        <w:rPr>
          <w:rFonts w:ascii="ITC Avant Garde" w:eastAsia="Times New Roman" w:hAnsi="ITC Avant Garde"/>
          <w:bCs/>
          <w:i/>
          <w:color w:val="000000"/>
          <w:lang w:eastAsia="es-MX"/>
        </w:rPr>
        <w:t xml:space="preserve">.” </w:t>
      </w:r>
    </w:p>
    <w:p w14:paraId="16235B4F" w14:textId="77777777" w:rsidR="00E2222D" w:rsidRDefault="001952D4" w:rsidP="00907F25">
      <w:pPr>
        <w:spacing w:after="240" w:line="360" w:lineRule="auto"/>
        <w:ind w:left="851" w:right="618"/>
        <w:jc w:val="both"/>
        <w:rPr>
          <w:rFonts w:ascii="ITC Avant Garde" w:eastAsia="Times New Roman" w:hAnsi="ITC Avant Garde"/>
          <w:b/>
          <w:bCs/>
          <w:i/>
          <w:color w:val="000000"/>
          <w:sz w:val="20"/>
          <w:szCs w:val="20"/>
          <w:lang w:eastAsia="es-MX"/>
        </w:rPr>
      </w:pPr>
      <w:r w:rsidRPr="00B672EB">
        <w:rPr>
          <w:rFonts w:ascii="ITC Avant Garde" w:eastAsia="Times New Roman" w:hAnsi="ITC Avant Garde"/>
          <w:b/>
          <w:bCs/>
          <w:i/>
          <w:color w:val="000000"/>
          <w:sz w:val="20"/>
          <w:szCs w:val="20"/>
          <w:lang w:eastAsia="es-MX"/>
        </w:rPr>
        <w:t>(Énfasis añadido)</w:t>
      </w:r>
    </w:p>
    <w:p w14:paraId="7B81A174" w14:textId="77777777" w:rsidR="00E2222D" w:rsidRDefault="001952D4" w:rsidP="00907F25">
      <w:pPr>
        <w:spacing w:after="240" w:line="360" w:lineRule="auto"/>
        <w:jc w:val="both"/>
        <w:rPr>
          <w:rFonts w:ascii="ITC Avant Garde" w:eastAsia="Times New Roman" w:hAnsi="ITC Avant Garde"/>
          <w:bCs/>
          <w:lang w:eastAsia="es-MX"/>
        </w:rPr>
      </w:pPr>
      <w:r w:rsidRPr="00AE43C9">
        <w:rPr>
          <w:rFonts w:ascii="ITC Avant Garde" w:eastAsia="Times New Roman" w:hAnsi="ITC Avant Garde"/>
          <w:bCs/>
          <w:lang w:eastAsia="es-MX"/>
        </w:rPr>
        <w:t xml:space="preserve">De igual forma, el artículo 3 de la </w:t>
      </w:r>
      <w:r w:rsidRPr="004B194F">
        <w:rPr>
          <w:rFonts w:ascii="ITC Avant Garde" w:eastAsia="Times New Roman" w:hAnsi="ITC Avant Garde"/>
          <w:b/>
          <w:bCs/>
          <w:lang w:eastAsia="es-MX"/>
        </w:rPr>
        <w:t>LFTR</w:t>
      </w:r>
      <w:r w:rsidRPr="00AE43C9">
        <w:rPr>
          <w:rFonts w:ascii="ITC Avant Garde" w:eastAsia="Times New Roman" w:hAnsi="ITC Avant Garde"/>
          <w:bCs/>
          <w:lang w:eastAsia="es-MX"/>
        </w:rPr>
        <w:t>, en su fracción LXV, define a los Servicios Públicos de Telecomunicaciones, como los servicios de interés general que prestan los concesionarios. El p</w:t>
      </w:r>
      <w:r>
        <w:rPr>
          <w:rFonts w:ascii="ITC Avant Garde" w:eastAsia="Times New Roman" w:hAnsi="ITC Avant Garde"/>
          <w:bCs/>
          <w:lang w:eastAsia="es-MX"/>
        </w:rPr>
        <w:t xml:space="preserve">recepto citado </w:t>
      </w:r>
      <w:r w:rsidRPr="00AE43C9">
        <w:rPr>
          <w:rFonts w:ascii="ITC Avant Garde" w:eastAsia="Times New Roman" w:hAnsi="ITC Avant Garde"/>
          <w:bCs/>
          <w:lang w:eastAsia="es-MX"/>
        </w:rPr>
        <w:t xml:space="preserve">literalmente establece: </w:t>
      </w:r>
    </w:p>
    <w:p w14:paraId="45D90DAD" w14:textId="6572ADC7" w:rsidR="001952D4" w:rsidRPr="00B672EB" w:rsidRDefault="001952D4" w:rsidP="00907F25">
      <w:pPr>
        <w:spacing w:after="240" w:line="360" w:lineRule="auto"/>
        <w:ind w:left="851" w:right="618"/>
        <w:jc w:val="both"/>
        <w:rPr>
          <w:rFonts w:ascii="ITC Avant Garde" w:eastAsia="Times New Roman" w:hAnsi="ITC Avant Garde"/>
          <w:bCs/>
          <w:i/>
          <w:sz w:val="20"/>
          <w:szCs w:val="20"/>
          <w:lang w:eastAsia="es-MX"/>
        </w:rPr>
      </w:pPr>
      <w:r w:rsidRPr="00B672EB">
        <w:rPr>
          <w:rFonts w:ascii="ITC Avant Garde" w:eastAsia="Times New Roman" w:hAnsi="ITC Avant Garde"/>
          <w:bCs/>
          <w:i/>
          <w:sz w:val="20"/>
          <w:szCs w:val="20"/>
          <w:lang w:eastAsia="es-MX"/>
        </w:rPr>
        <w:t>“Artículo 3. Para los efectos de esta Ley se entenderá por:</w:t>
      </w:r>
    </w:p>
    <w:p w14:paraId="32EE708D" w14:textId="77777777" w:rsidR="001952D4" w:rsidRPr="00B672EB" w:rsidRDefault="001952D4" w:rsidP="00907F25">
      <w:pPr>
        <w:spacing w:after="240" w:line="360" w:lineRule="auto"/>
        <w:ind w:left="851" w:right="618"/>
        <w:jc w:val="both"/>
        <w:rPr>
          <w:rFonts w:ascii="ITC Avant Garde" w:eastAsia="Times New Roman" w:hAnsi="ITC Avant Garde"/>
          <w:bCs/>
          <w:i/>
          <w:sz w:val="20"/>
          <w:szCs w:val="20"/>
          <w:lang w:eastAsia="es-MX"/>
        </w:rPr>
      </w:pPr>
      <w:r w:rsidRPr="00B672EB">
        <w:rPr>
          <w:rFonts w:ascii="ITC Avant Garde" w:eastAsia="Times New Roman" w:hAnsi="ITC Avant Garde"/>
          <w:bCs/>
          <w:i/>
          <w:sz w:val="20"/>
          <w:szCs w:val="20"/>
          <w:lang w:eastAsia="es-MX"/>
        </w:rPr>
        <w:t>…</w:t>
      </w:r>
    </w:p>
    <w:p w14:paraId="4026893D" w14:textId="77777777" w:rsidR="00E2222D" w:rsidRDefault="001952D4" w:rsidP="00907F25">
      <w:pPr>
        <w:spacing w:after="240" w:line="360" w:lineRule="auto"/>
        <w:ind w:left="851" w:right="618"/>
        <w:jc w:val="both"/>
        <w:rPr>
          <w:rFonts w:ascii="ITC Avant Garde" w:eastAsia="Times New Roman" w:hAnsi="ITC Avant Garde"/>
          <w:bCs/>
          <w:i/>
          <w:sz w:val="20"/>
          <w:szCs w:val="20"/>
          <w:lang w:eastAsia="es-MX"/>
        </w:rPr>
      </w:pPr>
      <w:r w:rsidRPr="00B672EB">
        <w:rPr>
          <w:rFonts w:ascii="ITC Avant Garde" w:eastAsia="Times New Roman" w:hAnsi="ITC Avant Garde"/>
          <w:bCs/>
          <w:i/>
          <w:sz w:val="20"/>
          <w:szCs w:val="20"/>
          <w:lang w:eastAsia="es-MX"/>
        </w:rPr>
        <w:t>XV. Servicios públicos de telecomunicaciones y radiodifusión: Servicios de interés general que prestan los concesionarios al público en general con fines comerciales, públicos o sociales de conformidad con lo dispuesto en la presente Ley y la Ley Federal de Competencia Económica;”</w:t>
      </w:r>
    </w:p>
    <w:p w14:paraId="0C6FF115" w14:textId="371BCA24" w:rsidR="001952D4" w:rsidRPr="00AE43C9" w:rsidRDefault="001952D4" w:rsidP="00907F25">
      <w:pPr>
        <w:spacing w:after="240" w:line="360" w:lineRule="auto"/>
        <w:jc w:val="both"/>
        <w:rPr>
          <w:rFonts w:ascii="ITC Avant Garde" w:eastAsia="Times New Roman" w:hAnsi="ITC Avant Garde"/>
          <w:bCs/>
          <w:lang w:eastAsia="es-MX"/>
        </w:rPr>
      </w:pPr>
      <w:r w:rsidRPr="00AE43C9">
        <w:rPr>
          <w:rFonts w:ascii="ITC Avant Garde" w:eastAsia="Times New Roman" w:hAnsi="ITC Avant Garde"/>
          <w:bCs/>
          <w:lang w:eastAsia="es-MX"/>
        </w:rPr>
        <w:t>Por esta razón, el poder público, busca ante todo garantizar la correcta prestación de tales servicios, conforme a la normatividad de la materia, pues una afectación a un servicio público federal, aunque esté concesionado a particulares, impacta sobre el grueso de la población al operar en las vías generales de comunicación.</w:t>
      </w:r>
    </w:p>
    <w:p w14:paraId="4060AEF0" w14:textId="77777777" w:rsidR="00E2222D" w:rsidRDefault="001952D4" w:rsidP="00907F25">
      <w:pPr>
        <w:spacing w:after="240" w:line="360" w:lineRule="auto"/>
        <w:jc w:val="both"/>
        <w:rPr>
          <w:rFonts w:ascii="ITC Avant Garde" w:eastAsia="Times New Roman" w:hAnsi="ITC Avant Garde"/>
          <w:bCs/>
          <w:lang w:eastAsia="es-MX"/>
        </w:rPr>
      </w:pPr>
      <w:r w:rsidRPr="00AE43C9">
        <w:rPr>
          <w:rFonts w:ascii="ITC Avant Garde" w:eastAsia="Times New Roman" w:hAnsi="ITC Avant Garde"/>
          <w:bCs/>
          <w:lang w:eastAsia="es-MX"/>
        </w:rPr>
        <w:t>Se cita en apoyo a lo anterior el siguiente criterio:</w:t>
      </w:r>
    </w:p>
    <w:p w14:paraId="76F262F3" w14:textId="77777777" w:rsidR="00E2222D" w:rsidRDefault="001952D4" w:rsidP="00907F25">
      <w:pPr>
        <w:spacing w:after="240" w:line="360" w:lineRule="auto"/>
        <w:ind w:left="851" w:right="900"/>
        <w:jc w:val="both"/>
        <w:rPr>
          <w:rFonts w:ascii="ITC Avant Garde" w:eastAsia="Times New Roman" w:hAnsi="ITC Avant Garde"/>
          <w:bCs/>
          <w:i/>
          <w:sz w:val="20"/>
          <w:szCs w:val="20"/>
          <w:lang w:eastAsia="es-MX"/>
        </w:rPr>
      </w:pPr>
      <w:r w:rsidRPr="0019713A">
        <w:rPr>
          <w:rFonts w:ascii="ITC Avant Garde" w:eastAsia="Times New Roman" w:hAnsi="ITC Avant Garde"/>
          <w:b/>
          <w:bCs/>
          <w:i/>
          <w:sz w:val="20"/>
          <w:szCs w:val="20"/>
          <w:lang w:eastAsia="es-MX"/>
        </w:rPr>
        <w:t>“COMPETENCIA FEDERAL. SURGE CUANDO SE AFECTA EL SERVICIO DE TELEFONÍA QUE OPERA A TRAVÉS DE LA RED DE TELECOMUNICACIONES, A PESAR DE ESTAR CONCESIONADO A PARTICULARES.</w:t>
      </w:r>
      <w:r w:rsidRPr="0019713A">
        <w:rPr>
          <w:rFonts w:ascii="ITC Avant Garde" w:eastAsia="Times New Roman" w:hAnsi="ITC Avant Garde"/>
          <w:bCs/>
          <w:i/>
          <w:sz w:val="20"/>
          <w:szCs w:val="20"/>
          <w:lang w:eastAsia="es-MX"/>
        </w:rPr>
        <w:t xml:space="preserve"> De conformidad con los artículos 1o., 2o., 3o., fracciones VIII, X y XIV, 4o., 5o. y 24 de la Ley Federal de Telecomunicaciones, publicada en el Diario Oficial de la Federación el siete de junio de mil novecientos noventa y cinco, corresponde al Estado la rectoría en materia de telecomunicaciones. En términos de la legislación en cita, la red de telecomunicaciones es el sistema integrado por medio de transmisión, entre otros, los cableados a través de los que se transmiten o </w:t>
      </w:r>
      <w:r w:rsidRPr="0019713A">
        <w:rPr>
          <w:rFonts w:ascii="ITC Avant Garde" w:eastAsia="Times New Roman" w:hAnsi="ITC Avant Garde"/>
          <w:bCs/>
          <w:i/>
          <w:sz w:val="20"/>
          <w:szCs w:val="20"/>
          <w:lang w:eastAsia="es-MX"/>
        </w:rPr>
        <w:lastRenderedPageBreak/>
        <w:t xml:space="preserve">recepcionan signos, señales, escritos, imágenes, voz, sonidos, que se efectúa por hilos; considerando a dicha red como vía general de comunicación objeto de su regulación, aprovechamiento y explotación, haciendo hincapié que los servicios que en ella se presten son de jurisdicción federal. Consecuentemente, </w:t>
      </w:r>
      <w:r w:rsidRPr="0019713A">
        <w:rPr>
          <w:rFonts w:ascii="ITC Avant Garde" w:eastAsia="Times New Roman" w:hAnsi="ITC Avant Garde"/>
          <w:b/>
          <w:bCs/>
          <w:i/>
          <w:sz w:val="20"/>
          <w:szCs w:val="20"/>
          <w:lang w:eastAsia="es-MX"/>
        </w:rPr>
        <w:t>si se afectan los cableados a través de los que se emite, transmite o recepciona la voz, como sucede con el servicio telefónico, es inconcuso que se afecta un servicio público federal, aunque éste se encuentre concesionado a particulares, en virtud de que dicho servicio opera en las vías generales de comunicación,</w:t>
      </w:r>
      <w:r w:rsidRPr="0019713A">
        <w:rPr>
          <w:rFonts w:ascii="ITC Avant Garde" w:eastAsia="Times New Roman" w:hAnsi="ITC Avant Garde"/>
          <w:bCs/>
          <w:i/>
          <w:sz w:val="20"/>
          <w:szCs w:val="20"/>
          <w:lang w:eastAsia="es-MX"/>
        </w:rPr>
        <w:t xml:space="preserve"> ello, de conformidad con lo dispuesto en el artículo 50, fracción I, inciso i), de la Ley Orgánica del Poder Judicial de la Federación; por consiguiente, compete al Juez de Distrito, en ejercicio de su poder de denotación o verificación jurídica, analizar si la conducta desplegada por el indiciado tiene correspondencia con los enunciados normativos que constituyen las desviaciones punibles previstas en el Código Penal Federal en materia de delitos de telecomunicaciones, o bien, en la ley especial correspondiente.”</w:t>
      </w:r>
    </w:p>
    <w:p w14:paraId="68EF86F0" w14:textId="5823F81D" w:rsidR="001952D4" w:rsidRPr="0019713A" w:rsidRDefault="001952D4" w:rsidP="00907F25">
      <w:pPr>
        <w:spacing w:after="240" w:line="360" w:lineRule="auto"/>
        <w:ind w:left="851" w:right="900"/>
        <w:jc w:val="both"/>
        <w:rPr>
          <w:rFonts w:ascii="ITC Avant Garde" w:eastAsia="Times New Roman" w:hAnsi="ITC Avant Garde"/>
          <w:bCs/>
          <w:i/>
          <w:sz w:val="20"/>
          <w:szCs w:val="20"/>
          <w:lang w:eastAsia="es-MX"/>
        </w:rPr>
      </w:pPr>
      <w:r w:rsidRPr="0019713A">
        <w:rPr>
          <w:rFonts w:ascii="ITC Avant Garde" w:eastAsia="Times New Roman" w:hAnsi="ITC Avant Garde"/>
          <w:bCs/>
          <w:i/>
          <w:sz w:val="20"/>
          <w:szCs w:val="20"/>
          <w:lang w:eastAsia="es-MX"/>
        </w:rPr>
        <w:t>NOVENO TRIBUNAL COLEGIADO EN MATERIA PENAL DEL PRIMER CIRCUITO. Novena Época Registro: 186987, Instancia: Tribunales Colegiados de Circuito, Tesis Aislada, Fuente: Semanario Judicial de la Federación y su Gaceta, Tomo XV, Mayo de 2002, Materia(s): Penal, Tesis: I.9o.P.1 P, Página: 1196.</w:t>
      </w:r>
    </w:p>
    <w:p w14:paraId="3F5A902D" w14:textId="77777777" w:rsidR="00E2222D" w:rsidRDefault="001952D4" w:rsidP="00907F25">
      <w:pPr>
        <w:spacing w:after="240" w:line="360" w:lineRule="auto"/>
        <w:ind w:left="851" w:right="900"/>
        <w:jc w:val="both"/>
        <w:rPr>
          <w:rFonts w:ascii="ITC Avant Garde" w:eastAsia="Times New Roman" w:hAnsi="ITC Avant Garde"/>
          <w:bCs/>
          <w:i/>
          <w:sz w:val="20"/>
          <w:szCs w:val="20"/>
          <w:lang w:eastAsia="es-MX"/>
        </w:rPr>
      </w:pPr>
      <w:r w:rsidRPr="0019713A">
        <w:rPr>
          <w:rFonts w:ascii="ITC Avant Garde" w:eastAsia="Times New Roman" w:hAnsi="ITC Avant Garde"/>
          <w:bCs/>
          <w:i/>
          <w:sz w:val="20"/>
          <w:szCs w:val="20"/>
          <w:lang w:eastAsia="es-MX"/>
        </w:rPr>
        <w:t>Competencia 9/2002. Suscitada entre los Juzgados Trigésimo Octavo de Paz Penal y el Juzgado Segundo de Distrito de Procesos Penales Federales, ambos del Distrito Federal. 15 de febrero de 2002. Unanimidad de votos. Ponente: Emma Meza Fonseca. Secretario: Luis Fernando Lozano Soriano.</w:t>
      </w:r>
    </w:p>
    <w:p w14:paraId="7D5E0E84" w14:textId="5122CE8B" w:rsidR="001952D4" w:rsidRDefault="001952D4" w:rsidP="00907F25">
      <w:pPr>
        <w:spacing w:after="240" w:line="360" w:lineRule="auto"/>
        <w:jc w:val="both"/>
        <w:rPr>
          <w:rFonts w:ascii="ITC Avant Garde" w:eastAsia="Times New Roman" w:hAnsi="ITC Avant Garde"/>
          <w:bCs/>
          <w:lang w:eastAsia="es-MX"/>
        </w:rPr>
      </w:pPr>
      <w:r>
        <w:rPr>
          <w:rFonts w:ascii="ITC Avant Garde" w:eastAsia="Times New Roman" w:hAnsi="ITC Avant Garde"/>
          <w:bCs/>
          <w:lang w:eastAsia="es-MX"/>
        </w:rPr>
        <w:t>Por su parte, e</w:t>
      </w:r>
      <w:r w:rsidRPr="00AE43C9">
        <w:rPr>
          <w:rFonts w:ascii="ITC Avant Garde" w:eastAsia="Times New Roman" w:hAnsi="ITC Avant Garde"/>
          <w:bCs/>
          <w:lang w:eastAsia="es-MX"/>
        </w:rPr>
        <w:t>l Plan Nacional de Desarrollo 2013-2018, establece que las telecomunicaciones se han convertido en un insumo estratégico para competir en la economía moderna; y que las empresas e individuos deben tener pleno acceso a esos insumos estratégicos con precios competitivos y calidad.</w:t>
      </w:r>
    </w:p>
    <w:p w14:paraId="0EB06BE3" w14:textId="77777777" w:rsidR="00E2222D" w:rsidRDefault="001952D4" w:rsidP="00907F25">
      <w:pPr>
        <w:spacing w:after="240" w:line="360" w:lineRule="auto"/>
        <w:jc w:val="both"/>
        <w:rPr>
          <w:rFonts w:ascii="ITC Avant Garde" w:eastAsia="Times New Roman" w:hAnsi="ITC Avant Garde"/>
          <w:bCs/>
          <w:lang w:eastAsia="es-MX"/>
        </w:rPr>
      </w:pPr>
      <w:r w:rsidRPr="00AE43C9">
        <w:rPr>
          <w:rFonts w:ascii="ITC Avant Garde" w:eastAsia="Times New Roman" w:hAnsi="ITC Avant Garde"/>
          <w:bCs/>
          <w:lang w:eastAsia="es-MX"/>
        </w:rPr>
        <w:lastRenderedPageBreak/>
        <w:t xml:space="preserve">Asimismo, se indica que </w:t>
      </w:r>
      <w:r w:rsidRPr="00AE43C9">
        <w:rPr>
          <w:rFonts w:ascii="ITC Avant Garde" w:eastAsia="Times New Roman" w:hAnsi="ITC Avant Garde"/>
          <w:bCs/>
          <w:i/>
          <w:lang w:eastAsia="es-MX"/>
        </w:rPr>
        <w:t>“[el</w:t>
      </w:r>
      <w:r>
        <w:rPr>
          <w:rFonts w:ascii="ITC Avant Garde" w:eastAsia="Times New Roman" w:hAnsi="ITC Avant Garde"/>
          <w:bCs/>
          <w:i/>
          <w:lang w:eastAsia="es-MX"/>
        </w:rPr>
        <w:t>)</w:t>
      </w:r>
      <w:r w:rsidRPr="00AE43C9">
        <w:rPr>
          <w:rFonts w:ascii="ITC Avant Garde" w:eastAsia="Times New Roman" w:hAnsi="ITC Avant Garde"/>
          <w:bCs/>
          <w:i/>
          <w:lang w:eastAsia="es-MX"/>
        </w:rPr>
        <w:t xml:space="preserve"> acceso a los servicios de telecomunicaciones a un precio competitivo y con la calidad suficiente es hoy un prerrequisito para que los individuos y las empresas sean competitivos y aprovechen al máximo el potencial de las nuevas tecnologías de la información y la comunicación.”</w:t>
      </w:r>
    </w:p>
    <w:p w14:paraId="09A50CE5" w14:textId="77777777" w:rsidR="00E2222D" w:rsidRDefault="001952D4" w:rsidP="00907F25">
      <w:pPr>
        <w:spacing w:after="240" w:line="360" w:lineRule="auto"/>
        <w:jc w:val="both"/>
        <w:rPr>
          <w:rFonts w:ascii="ITC Avant Garde" w:eastAsia="Times New Roman" w:hAnsi="ITC Avant Garde"/>
          <w:bCs/>
          <w:lang w:eastAsia="es-MX"/>
        </w:rPr>
      </w:pPr>
      <w:r>
        <w:rPr>
          <w:rFonts w:ascii="ITC Avant Garde" w:eastAsia="Times New Roman" w:hAnsi="ITC Avant Garde"/>
          <w:bCs/>
          <w:lang w:eastAsia="es-MX"/>
        </w:rPr>
        <w:t>Sentado lo anterior, se procede al análisis de los componentes que integran el concepto de gravedad, conforme a lo argumentado en líneas anteriores.</w:t>
      </w:r>
    </w:p>
    <w:p w14:paraId="5708C8FF" w14:textId="77777777" w:rsidR="00E2222D" w:rsidRDefault="001952D4" w:rsidP="00907F25">
      <w:pPr>
        <w:numPr>
          <w:ilvl w:val="0"/>
          <w:numId w:val="47"/>
        </w:numPr>
        <w:spacing w:after="240" w:line="360" w:lineRule="auto"/>
        <w:ind w:left="709" w:right="-1"/>
        <w:jc w:val="both"/>
        <w:rPr>
          <w:rFonts w:ascii="ITC Avant Garde" w:hAnsi="ITC Avant Garde"/>
          <w:b/>
        </w:rPr>
      </w:pPr>
      <w:r>
        <w:rPr>
          <w:rFonts w:ascii="ITC Avant Garde" w:hAnsi="ITC Avant Garde"/>
          <w:b/>
        </w:rPr>
        <w:t>Los daños o perjuicios que se hubieren producido o puedan producirse.</w:t>
      </w:r>
    </w:p>
    <w:p w14:paraId="1E8704BB" w14:textId="77777777" w:rsidR="00E2222D" w:rsidRDefault="001952D4" w:rsidP="00907F25">
      <w:pPr>
        <w:spacing w:after="240" w:line="360" w:lineRule="auto"/>
        <w:ind w:right="-1"/>
        <w:jc w:val="both"/>
        <w:rPr>
          <w:rFonts w:ascii="ITC Avant Garde" w:hAnsi="ITC Avant Garde"/>
        </w:rPr>
      </w:pPr>
      <w:r w:rsidRPr="00176D7A">
        <w:rPr>
          <w:rFonts w:ascii="ITC Avant Garde" w:hAnsi="ITC Avant Garde"/>
        </w:rPr>
        <w:t xml:space="preserve">Si bien no se acredita </w:t>
      </w:r>
      <w:r>
        <w:rPr>
          <w:rFonts w:ascii="ITC Avant Garde" w:hAnsi="ITC Avant Garde"/>
        </w:rPr>
        <w:t>u</w:t>
      </w:r>
      <w:r w:rsidRPr="00176D7A">
        <w:rPr>
          <w:rFonts w:ascii="ITC Avant Garde" w:hAnsi="ITC Avant Garde"/>
        </w:rPr>
        <w:t xml:space="preserve">n daño como tal, entendido éste como la pérdida o menoscabo sufrido en el patrimonio del Estado como consecuencia del incumplimiento de una obligación, </w:t>
      </w:r>
      <w:r w:rsidR="00717A0C">
        <w:rPr>
          <w:rFonts w:ascii="ITC Avant Garde" w:hAnsi="ITC Avant Garde"/>
        </w:rPr>
        <w:t xml:space="preserve">ni un perjuicio ya que </w:t>
      </w:r>
      <w:r w:rsidR="006850B2">
        <w:rPr>
          <w:rFonts w:ascii="ITC Avant Garde" w:hAnsi="ITC Avant Garde"/>
        </w:rPr>
        <w:t xml:space="preserve">el Estado </w:t>
      </w:r>
      <w:r w:rsidR="00717A0C">
        <w:rPr>
          <w:rFonts w:ascii="ITC Avant Garde" w:hAnsi="ITC Avant Garde"/>
        </w:rPr>
        <w:t xml:space="preserve">no dejó de percibir ingresos por el ejercicio de una función pública, en el presente asunto sí se acredita una afectación en los servicios que presta </w:t>
      </w:r>
      <w:r w:rsidR="00717A0C" w:rsidRPr="00717A0C">
        <w:rPr>
          <w:rFonts w:ascii="ITC Avant Garde" w:hAnsi="ITC Avant Garde"/>
          <w:b/>
        </w:rPr>
        <w:t>MEGA CABLE</w:t>
      </w:r>
      <w:r w:rsidR="00717A0C">
        <w:rPr>
          <w:rFonts w:ascii="ITC Avant Garde" w:hAnsi="ITC Avant Garde"/>
        </w:rPr>
        <w:t xml:space="preserve"> a sus usuarios.</w:t>
      </w:r>
    </w:p>
    <w:p w14:paraId="2892CCF4" w14:textId="77777777" w:rsidR="00E2222D" w:rsidRDefault="007938C6" w:rsidP="00907F25">
      <w:pPr>
        <w:spacing w:after="240" w:line="360" w:lineRule="auto"/>
        <w:ind w:right="-1"/>
        <w:jc w:val="both"/>
        <w:rPr>
          <w:rFonts w:ascii="ITC Avant Garde" w:hAnsi="ITC Avant Garde"/>
        </w:rPr>
      </w:pPr>
      <w:r>
        <w:rPr>
          <w:rFonts w:ascii="ITC Avant Garde" w:hAnsi="ITC Avant Garde"/>
        </w:rPr>
        <w:t>Se afirma lo anterior toda vez que a partir de la conducta imputada se estima que se afectaron diversos derechos de sus usuarios al no tener acceso a una de las señales de una Institución Pública Federal, como se demostrará a continuación.</w:t>
      </w:r>
    </w:p>
    <w:p w14:paraId="21E9F0F3" w14:textId="3CCD3C65" w:rsidR="00717A0C" w:rsidRPr="00717A0C" w:rsidRDefault="00717A0C" w:rsidP="00907F25">
      <w:pPr>
        <w:spacing w:after="240" w:line="360" w:lineRule="auto"/>
        <w:ind w:right="-1"/>
        <w:jc w:val="both"/>
        <w:rPr>
          <w:rFonts w:ascii="ITC Avant Garde" w:hAnsi="ITC Avant Garde"/>
        </w:rPr>
      </w:pPr>
      <w:r w:rsidRPr="00717A0C">
        <w:rPr>
          <w:rFonts w:ascii="ITC Avant Garde" w:hAnsi="ITC Avant Garde"/>
        </w:rPr>
        <w:t xml:space="preserve">Al respecto, el considerando segundo de los </w:t>
      </w:r>
      <w:r w:rsidRPr="00717A0C">
        <w:rPr>
          <w:rFonts w:ascii="ITC Avant Garde" w:hAnsi="ITC Avant Garde"/>
          <w:b/>
        </w:rPr>
        <w:t>LINEAMIENTOS</w:t>
      </w:r>
      <w:r w:rsidRPr="00717A0C">
        <w:rPr>
          <w:rFonts w:ascii="ITC Avant Garde" w:hAnsi="ITC Avant Garde"/>
        </w:rPr>
        <w:t xml:space="preserve"> establece que “en el cumplimiento de sus funciones el Instituto tiene el mandato de garantizar lo establecido en los artículos 6º y 7º constitucionales, mismos que prevén, entre otras cosas, el derecho fundamental de acceso a los servicios de radiodifusión y telecomunicaciones (artículo 6º, tercer párrafo) y que otorgan a dichos servicios la naturaleza de servicios públicos de interés general (artículo 6º, apartado B, fracciones II y III)”, de lo que se advierte que los mismos fueron emitidos, en principio, para garantizar el derecho de acceso a los servicios de radiodifusión y telecomunicaciones.</w:t>
      </w:r>
    </w:p>
    <w:p w14:paraId="3ED2CF34"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t>Ahora bien, no debe perderse de vista que a través del establecimiento de estos derechos, en la reforma Constitucional en la materia se buscó la protección íntegra de diversos derechos establecidos en la propia Constitución.</w:t>
      </w:r>
    </w:p>
    <w:p w14:paraId="6AEA607F"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lastRenderedPageBreak/>
        <w:t>Lo anterior resulta de gran importancia para la conducta en análisis ya que, de conformidad con lo previsto en la exposición de motivos del Decreto de reformas Constitucionales en materia de Telecomunicaciones, atendiendo a la funci6n social que desempeñan los servicios de radiodifusión y telecomunicaciones como instrumentos para hacer efectivo el ejercicio de diversos derechos fundamentales, se planteó que fueran reconocidos com</w:t>
      </w:r>
      <w:r w:rsidR="007938C6">
        <w:rPr>
          <w:rFonts w:ascii="ITC Avant Garde" w:hAnsi="ITC Avant Garde"/>
        </w:rPr>
        <w:t>o</w:t>
      </w:r>
      <w:r w:rsidRPr="00717A0C">
        <w:rPr>
          <w:rFonts w:ascii="ITC Avant Garde" w:hAnsi="ITC Avant Garde"/>
        </w:rPr>
        <w:t xml:space="preserve"> servicios públicos, estableciendo como obligación del Estado el garantizar que sean prestados en condiciones de competencia y calidad, y brinden los beneficios de cultura a toda la poblaci6n, preservando la pluralidad y la veracidad de la información, así coma el fomento de los valores de la identidad nacional, contribuyendo a los fines establecidos en el artículo 3° de la CPEUM.</w:t>
      </w:r>
    </w:p>
    <w:p w14:paraId="518766B7"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t xml:space="preserve">En ese sentido, uno de los medios a través de los cuales el Estado radiodifunde contenidos que promuevan la integración nacional, la formación educativa, cultural y cívica, </w:t>
      </w:r>
      <w:r w:rsidR="007938C6">
        <w:rPr>
          <w:rFonts w:ascii="ITC Avant Garde" w:hAnsi="ITC Avant Garde"/>
        </w:rPr>
        <w:t xml:space="preserve">entre otros valores, </w:t>
      </w:r>
      <w:r w:rsidRPr="00717A0C">
        <w:rPr>
          <w:rFonts w:ascii="ITC Avant Garde" w:hAnsi="ITC Avant Garde"/>
        </w:rPr>
        <w:t xml:space="preserve">es precisamente a través de las señales emitidas por las Instituciones Públicas Federales, por lo que en tal sentido el Estado </w:t>
      </w:r>
      <w:r w:rsidR="007938C6">
        <w:rPr>
          <w:rFonts w:ascii="ITC Avant Garde" w:hAnsi="ITC Avant Garde"/>
        </w:rPr>
        <w:t>tiene</w:t>
      </w:r>
      <w:r w:rsidRPr="00717A0C">
        <w:rPr>
          <w:rFonts w:ascii="ITC Avant Garde" w:hAnsi="ITC Avant Garde"/>
        </w:rPr>
        <w:t xml:space="preserve"> especial interés en que dichas señales lleguen a toda la población.</w:t>
      </w:r>
    </w:p>
    <w:p w14:paraId="068501EC"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t xml:space="preserve">En protección de dichos derechos fue que en los </w:t>
      </w:r>
      <w:r w:rsidRPr="007938C6">
        <w:rPr>
          <w:rFonts w:ascii="ITC Avant Garde" w:hAnsi="ITC Avant Garde"/>
          <w:b/>
        </w:rPr>
        <w:t>LINEAMIENTOS</w:t>
      </w:r>
      <w:r w:rsidRPr="00717A0C">
        <w:rPr>
          <w:rFonts w:ascii="ITC Avant Garde" w:hAnsi="ITC Avant Garde"/>
        </w:rPr>
        <w:t xml:space="preserve"> se estableció que “todos los concesionarios de televisión restringida deben retransmitir las señales radiodifundidas por instituciones públicas federales, de manera gratuita y no discriminatoria, en forma íntegra, simultánea y sin modificaciones, incluyendo la publicidad, con la misma calidad de la señal que se radiodifunde e incluirla sin costo adicional en los servicios contratados por los suscriptores y usuarios. En relación con este supuesto, es importante destacar que no resulta aplicable la referencia a una misma zona de cobertura geográfica, en virtud de que la propia Constitución señala que es obligación de todos los concesionarios de televisión restringida la retransmisión de las señales radiodifundidas por dichas instituciones”.</w:t>
      </w:r>
    </w:p>
    <w:p w14:paraId="2D66FD5A"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lastRenderedPageBreak/>
        <w:t xml:space="preserve">A partir de todo lo anterior se puede concluir que, el no retransmitir la señal de una Institución Pública Federal genera una afectación a los usuarios del </w:t>
      </w:r>
      <w:r w:rsidR="007938C6">
        <w:rPr>
          <w:rFonts w:ascii="ITC Avant Garde" w:hAnsi="ITC Avant Garde"/>
        </w:rPr>
        <w:t>concesionario de televisión restringida</w:t>
      </w:r>
      <w:r w:rsidRPr="00717A0C">
        <w:rPr>
          <w:rFonts w:ascii="ITC Avant Garde" w:hAnsi="ITC Avant Garde"/>
        </w:rPr>
        <w:t>, al no haber tenido acceso a los contenidos educativos y culturales emitidos por dicha Institución, máxime si se considera que el canal que no era retransmitido en el caso específico, es un canal con contenidos dirigidos a la población infantil.</w:t>
      </w:r>
    </w:p>
    <w:p w14:paraId="4A8745B2"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t>No pasa desapercibido que, aún y cuando se considera que la conducta imputada sí genera una afectación a diversos derechos humanos establecidos en la CPEUM, en el caso en específico dicha afectación no representó una total restricción de acceso a los contenidos trasmitidos por las Instituciones Públicas Federales</w:t>
      </w:r>
      <w:r w:rsidR="007938C6">
        <w:rPr>
          <w:rFonts w:ascii="ITC Avant Garde" w:hAnsi="ITC Avant Garde"/>
        </w:rPr>
        <w:t xml:space="preserve"> de manera considerable</w:t>
      </w:r>
      <w:r w:rsidRPr="00717A0C">
        <w:rPr>
          <w:rFonts w:ascii="ITC Avant Garde" w:hAnsi="ITC Avant Garde"/>
        </w:rPr>
        <w:t xml:space="preserve">, ya que durante el desarrollo de la visita también se detectó que sí retransmitía los demás canales a los que se encontraba obligada, lo cual implica que los usuarios de </w:t>
      </w:r>
      <w:r w:rsidRPr="003B0802">
        <w:rPr>
          <w:rFonts w:ascii="ITC Avant Garde" w:hAnsi="ITC Avant Garde"/>
          <w:b/>
        </w:rPr>
        <w:t>MEGA CABLE</w:t>
      </w:r>
      <w:r w:rsidRPr="00717A0C">
        <w:rPr>
          <w:rFonts w:ascii="ITC Avant Garde" w:hAnsi="ITC Avant Garde"/>
        </w:rPr>
        <w:t xml:space="preserve"> sí tuvieron acceso a diversos contenidos transmitidos por dichas Instituciones.</w:t>
      </w:r>
    </w:p>
    <w:p w14:paraId="34FE9098"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t xml:space="preserve">No obstante lo anterior, el hecho de que no se hayan afectado de manera general los derechos de los usuarios de </w:t>
      </w:r>
      <w:r w:rsidRPr="003B0802">
        <w:rPr>
          <w:rFonts w:ascii="ITC Avant Garde" w:hAnsi="ITC Avant Garde"/>
          <w:b/>
        </w:rPr>
        <w:t>MEGA CABLE</w:t>
      </w:r>
      <w:r w:rsidRPr="00717A0C">
        <w:rPr>
          <w:rFonts w:ascii="ITC Avant Garde" w:hAnsi="ITC Avant Garde"/>
        </w:rPr>
        <w:t>, no puede llevarnos al extremo de asemejar la conducta y su posible afectación a una de las previstas por el inciso A), del artículo 298 de la LFTR, las cuales, como ya fue referido por nuestro Máximo Tribunal, se refieren a cuestiones de carácter formal cuyo posible incumplimiento no incide en la prestación de los servicios.</w:t>
      </w:r>
    </w:p>
    <w:p w14:paraId="3C9A03AF"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t xml:space="preserve">Ahora bien, por el otro extremo, también resulta relevante considerar que, tampoco puede </w:t>
      </w:r>
      <w:r w:rsidR="007938C6">
        <w:rPr>
          <w:rFonts w:ascii="ITC Avant Garde" w:hAnsi="ITC Avant Garde"/>
        </w:rPr>
        <w:t>estimarse</w:t>
      </w:r>
      <w:r w:rsidRPr="00717A0C">
        <w:rPr>
          <w:rFonts w:ascii="ITC Avant Garde" w:hAnsi="ITC Avant Garde"/>
        </w:rPr>
        <w:t xml:space="preserve"> que la afectación sea la misma que la que podría generarse con conductas como </w:t>
      </w:r>
      <w:r w:rsidR="007938C6">
        <w:rPr>
          <w:rFonts w:ascii="ITC Avant Garde" w:hAnsi="ITC Avant Garde"/>
        </w:rPr>
        <w:t xml:space="preserve">incumplir condiciones de un título de concesión o bien </w:t>
      </w:r>
      <w:r w:rsidRPr="00717A0C">
        <w:rPr>
          <w:rFonts w:ascii="ITC Avant Garde" w:hAnsi="ITC Avant Garde"/>
        </w:rPr>
        <w:t>bloquear, interferir, discriminar, entorpecer o restringir arbitrariamente el derecho de cualquier usuario del servicio de acceso a Internet</w:t>
      </w:r>
      <w:r w:rsidR="007938C6">
        <w:rPr>
          <w:rFonts w:ascii="ITC Avant Garde" w:hAnsi="ITC Avant Garde"/>
        </w:rPr>
        <w:t>, previstas en el inciso B)</w:t>
      </w:r>
      <w:r w:rsidRPr="00717A0C">
        <w:rPr>
          <w:rFonts w:ascii="ITC Avant Garde" w:hAnsi="ITC Avant Garde"/>
        </w:rPr>
        <w:t xml:space="preserve"> del mismo precepto legal, por lo que en tal sentido el monto de la sanción a imponer tampoco puede asemejarse a los previstos en el citado inciso.</w:t>
      </w:r>
    </w:p>
    <w:p w14:paraId="4902302D"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lastRenderedPageBreak/>
        <w:t>En ese orden de ideas, si bien en cumplimiento al mandato Judicial debe tomarse como monto mínimo para la individualización de la sanción el 0.01% de los ingresos acumulables del infractor establecido en el inciso A) del artículo 298 de la LFTR, también lo es que en dichas resoluciones se estableció la obligación de la autoridad de analizar la gravedad de la conducta imputada y, en su caso, la afectación causada para determinar el porcentaje aplicable.</w:t>
      </w:r>
    </w:p>
    <w:p w14:paraId="1782C6CA" w14:textId="77777777" w:rsidR="00E2222D" w:rsidRDefault="00717A0C" w:rsidP="00907F25">
      <w:pPr>
        <w:spacing w:after="240" w:line="360" w:lineRule="auto"/>
        <w:ind w:right="-1"/>
        <w:jc w:val="both"/>
        <w:rPr>
          <w:rFonts w:ascii="ITC Avant Garde" w:hAnsi="ITC Avant Garde"/>
        </w:rPr>
      </w:pPr>
      <w:r w:rsidRPr="00717A0C">
        <w:rPr>
          <w:rFonts w:ascii="ITC Avant Garde" w:hAnsi="ITC Avant Garde"/>
        </w:rPr>
        <w:t>Así, al haberse establecido que atendiendo a la naturaleza de la conducta imputada no podría imponerse el monto</w:t>
      </w:r>
      <w:r w:rsidR="007938C6">
        <w:rPr>
          <w:rFonts w:ascii="ITC Avant Garde" w:hAnsi="ITC Avant Garde"/>
        </w:rPr>
        <w:t xml:space="preserve"> mínimo</w:t>
      </w:r>
      <w:r w:rsidRPr="00717A0C">
        <w:rPr>
          <w:rFonts w:ascii="ITC Avant Garde" w:hAnsi="ITC Avant Garde"/>
        </w:rPr>
        <w:t xml:space="preserve"> del 0.01%, por estar establecido por el legislador dicho monto para conductas meramente formales, de naturaleza documental, debe analizarse el monto que debe imponerse tomando en consideración que en el caso específico la conducta acreditada tampoco generó una afectación que pudiera asemejarse a la restricción total de acceso a un servicio</w:t>
      </w:r>
      <w:r w:rsidR="001952D4" w:rsidRPr="00176D7A">
        <w:rPr>
          <w:rFonts w:ascii="ITC Avant Garde" w:hAnsi="ITC Avant Garde"/>
        </w:rPr>
        <w:t>.</w:t>
      </w:r>
    </w:p>
    <w:p w14:paraId="1652D926" w14:textId="77777777" w:rsidR="00E2222D" w:rsidRDefault="001952D4" w:rsidP="00907F25">
      <w:pPr>
        <w:spacing w:after="240" w:line="360" w:lineRule="auto"/>
        <w:ind w:right="-1"/>
        <w:jc w:val="both"/>
        <w:rPr>
          <w:rFonts w:ascii="ITC Avant Garde" w:hAnsi="ITC Avant Garde"/>
        </w:rPr>
      </w:pPr>
      <w:r>
        <w:rPr>
          <w:rFonts w:ascii="ITC Avant Garde" w:hAnsi="ITC Avant Garde"/>
        </w:rPr>
        <w:t>Por tanto, queda acreditado en el presente caso el elemento de análisis.</w:t>
      </w:r>
    </w:p>
    <w:p w14:paraId="459DDB77" w14:textId="77777777" w:rsidR="00E2222D" w:rsidRDefault="001952D4" w:rsidP="00907F25">
      <w:pPr>
        <w:numPr>
          <w:ilvl w:val="0"/>
          <w:numId w:val="47"/>
        </w:numPr>
        <w:spacing w:after="240" w:line="360" w:lineRule="auto"/>
        <w:ind w:left="709" w:right="-1"/>
        <w:jc w:val="both"/>
        <w:rPr>
          <w:rFonts w:ascii="ITC Avant Garde" w:hAnsi="ITC Avant Garde"/>
          <w:b/>
        </w:rPr>
      </w:pPr>
      <w:r>
        <w:rPr>
          <w:rFonts w:ascii="ITC Avant Garde" w:hAnsi="ITC Avant Garde"/>
          <w:b/>
        </w:rPr>
        <w:t>El carácter intencional de la acción u omisión constitutiva de la infracción.</w:t>
      </w:r>
    </w:p>
    <w:p w14:paraId="1A481BCD" w14:textId="77777777" w:rsidR="00E2222D" w:rsidRDefault="001952D4" w:rsidP="00907F25">
      <w:pPr>
        <w:spacing w:after="240" w:line="360" w:lineRule="auto"/>
        <w:ind w:right="-1"/>
        <w:jc w:val="both"/>
        <w:rPr>
          <w:rFonts w:ascii="ITC Avant Garde" w:hAnsi="ITC Avant Garde"/>
        </w:rPr>
      </w:pPr>
      <w:r w:rsidRPr="00177056">
        <w:rPr>
          <w:rFonts w:ascii="ITC Avant Garde" w:hAnsi="ITC Avant Garde"/>
        </w:rPr>
        <w:t xml:space="preserve">Del análisis de los autos que integran el presente expediente, </w:t>
      </w:r>
      <w:r w:rsidR="00062E28">
        <w:rPr>
          <w:rFonts w:ascii="ITC Avant Garde" w:hAnsi="ITC Avant Garde"/>
        </w:rPr>
        <w:t xml:space="preserve">no se desprende elemento de convicción alguno que permita acreditar la intencionalidad en la comisión de la conducta por parte de </w:t>
      </w:r>
      <w:r w:rsidR="00062E28" w:rsidRPr="00062E28">
        <w:rPr>
          <w:rFonts w:ascii="ITC Avant Garde" w:hAnsi="ITC Avant Garde"/>
          <w:b/>
        </w:rPr>
        <w:t>MEGA CABLE</w:t>
      </w:r>
      <w:r w:rsidR="00062E28">
        <w:rPr>
          <w:rFonts w:ascii="ITC Avant Garde" w:hAnsi="ITC Avant Garde"/>
        </w:rPr>
        <w:t>.</w:t>
      </w:r>
    </w:p>
    <w:p w14:paraId="72D4E65F" w14:textId="77777777" w:rsidR="00E2222D" w:rsidRDefault="00062E28" w:rsidP="00907F25">
      <w:pPr>
        <w:spacing w:after="240" w:line="360" w:lineRule="auto"/>
        <w:ind w:right="-1"/>
        <w:jc w:val="both"/>
        <w:rPr>
          <w:rFonts w:ascii="ITC Avant Garde" w:eastAsia="Times New Roman" w:hAnsi="ITC Avant Garde"/>
          <w:lang w:eastAsia="es-MX"/>
        </w:rPr>
      </w:pPr>
      <w:r>
        <w:rPr>
          <w:rFonts w:ascii="ITC Avant Garde" w:eastAsia="Times New Roman" w:hAnsi="ITC Avant Garde"/>
          <w:lang w:eastAsia="es-MX"/>
        </w:rPr>
        <w:t>Lo anterior se robustece si se considera que de sus manifestaciones realizadas se advierte que pudo existir una incorrecta interpretación de la obligación incumplida lo cual si bien es cierto no lo exime de su cumplimiento, también es cierto que permite concluir que no era su intención cometer la conducta.</w:t>
      </w:r>
    </w:p>
    <w:p w14:paraId="70981877" w14:textId="77777777" w:rsidR="00E2222D" w:rsidRDefault="00062E28" w:rsidP="00907F25">
      <w:pPr>
        <w:spacing w:after="240" w:line="360" w:lineRule="auto"/>
        <w:ind w:right="-1"/>
        <w:jc w:val="both"/>
        <w:rPr>
          <w:rFonts w:ascii="ITC Avant Garde" w:eastAsia="Times New Roman" w:hAnsi="ITC Avant Garde"/>
          <w:lang w:eastAsia="es-MX"/>
        </w:rPr>
      </w:pPr>
      <w:r>
        <w:rPr>
          <w:rFonts w:ascii="ITC Avant Garde" w:eastAsia="Times New Roman" w:hAnsi="ITC Avant Garde"/>
          <w:lang w:eastAsia="es-MX"/>
        </w:rPr>
        <w:t xml:space="preserve">Así es, del análisis de las constancias que obran en el expediente se desprende que manifestó que no se encontraba retransmitiendo el canal multiprogramado de Once Niños toda vez que el mismo no era radiodifundido en la localizad a servir, manifestación que resultó infundada para desvirtuar la comisión de la conducta sancionable pero que en el caso específico sirve para presumir en su favor que no </w:t>
      </w:r>
      <w:r>
        <w:rPr>
          <w:rFonts w:ascii="ITC Avant Garde" w:eastAsia="Times New Roman" w:hAnsi="ITC Avant Garde"/>
          <w:lang w:eastAsia="es-MX"/>
        </w:rPr>
        <w:lastRenderedPageBreak/>
        <w:t>realizó la conducta de manera intencional, por lo que en tal sentido no se tiene por acreditado el elemento en análisis</w:t>
      </w:r>
      <w:r w:rsidR="001952D4" w:rsidRPr="00C3773F">
        <w:rPr>
          <w:rFonts w:ascii="ITC Avant Garde" w:eastAsia="Times New Roman" w:hAnsi="ITC Avant Garde"/>
          <w:lang w:eastAsia="es-MX"/>
        </w:rPr>
        <w:t>.</w:t>
      </w:r>
    </w:p>
    <w:p w14:paraId="207F3F2E" w14:textId="77777777" w:rsidR="00E2222D" w:rsidRDefault="001952D4" w:rsidP="00907F25">
      <w:pPr>
        <w:numPr>
          <w:ilvl w:val="0"/>
          <w:numId w:val="8"/>
        </w:numPr>
        <w:spacing w:after="240" w:line="360" w:lineRule="auto"/>
        <w:ind w:left="709" w:right="-1"/>
        <w:jc w:val="both"/>
        <w:rPr>
          <w:rFonts w:ascii="ITC Avant Garde" w:hAnsi="ITC Avant Garde"/>
        </w:rPr>
      </w:pPr>
      <w:r w:rsidRPr="005F52F9">
        <w:rPr>
          <w:rFonts w:ascii="ITC Avant Garde" w:hAnsi="ITC Avant Garde"/>
          <w:b/>
        </w:rPr>
        <w:t xml:space="preserve">La </w:t>
      </w:r>
      <w:r w:rsidRPr="00D95B31">
        <w:rPr>
          <w:rFonts w:ascii="ITC Avant Garde" w:hAnsi="ITC Avant Garde"/>
          <w:b/>
        </w:rPr>
        <w:t>obtención de un luc</w:t>
      </w:r>
      <w:r>
        <w:rPr>
          <w:rFonts w:ascii="ITC Avant Garde" w:hAnsi="ITC Avant Garde"/>
          <w:b/>
        </w:rPr>
        <w:t xml:space="preserve">ro </w:t>
      </w:r>
      <w:r w:rsidR="009163E9">
        <w:rPr>
          <w:rFonts w:ascii="ITC Avant Garde" w:hAnsi="ITC Avant Garde"/>
          <w:b/>
        </w:rPr>
        <w:t>indebido</w:t>
      </w:r>
      <w:r w:rsidRPr="00D95B31">
        <w:rPr>
          <w:rFonts w:ascii="ITC Avant Garde" w:hAnsi="ITC Avant Garde"/>
          <w:b/>
        </w:rPr>
        <w:t>.</w:t>
      </w:r>
    </w:p>
    <w:p w14:paraId="51614445" w14:textId="77777777" w:rsidR="00E2222D" w:rsidRDefault="00062E28" w:rsidP="00907F25">
      <w:pPr>
        <w:spacing w:after="240" w:line="360" w:lineRule="auto"/>
        <w:ind w:right="-1"/>
        <w:jc w:val="both"/>
        <w:rPr>
          <w:rFonts w:ascii="ITC Avant Garde" w:hAnsi="ITC Avant Garde"/>
        </w:rPr>
      </w:pPr>
      <w:r>
        <w:rPr>
          <w:rFonts w:ascii="ITC Avant Garde" w:hAnsi="ITC Avant Garde"/>
        </w:rPr>
        <w:t xml:space="preserve">Atendiendo a la naturaleza de la conducta y del infractor, no se advierte que en el presente asunto exista un lucro indebido, ya que se trata de un sujeto regulado que presta sus servicios al amparo de un título de concesión y la conducta que le fue imputada es de naturaleza omisiva </w:t>
      </w:r>
      <w:r w:rsidR="009163E9">
        <w:rPr>
          <w:rFonts w:ascii="ITC Avant Garde" w:hAnsi="ITC Avant Garde"/>
        </w:rPr>
        <w:t xml:space="preserve">respecto </w:t>
      </w:r>
      <w:r>
        <w:rPr>
          <w:rFonts w:ascii="ITC Avant Garde" w:hAnsi="ITC Avant Garde"/>
        </w:rPr>
        <w:t xml:space="preserve">de la cual no se advierte que </w:t>
      </w:r>
      <w:r w:rsidR="009163E9">
        <w:rPr>
          <w:rFonts w:ascii="ITC Avant Garde" w:hAnsi="ITC Avant Garde"/>
        </w:rPr>
        <w:t>la abstención de realizarla le hubiera representado un beneficio económico indebido.</w:t>
      </w:r>
    </w:p>
    <w:p w14:paraId="5725A93C" w14:textId="77777777" w:rsidR="00E2222D" w:rsidRDefault="001952D4" w:rsidP="00907F25">
      <w:pPr>
        <w:numPr>
          <w:ilvl w:val="0"/>
          <w:numId w:val="8"/>
        </w:numPr>
        <w:spacing w:after="240" w:line="360" w:lineRule="auto"/>
        <w:ind w:left="709" w:right="-1"/>
        <w:jc w:val="both"/>
        <w:rPr>
          <w:rFonts w:ascii="ITC Avant Garde" w:hAnsi="ITC Avant Garde"/>
          <w:b/>
        </w:rPr>
      </w:pPr>
      <w:r w:rsidRPr="001A07E3">
        <w:rPr>
          <w:rFonts w:ascii="ITC Avant Garde" w:hAnsi="ITC Avant Garde"/>
          <w:b/>
        </w:rPr>
        <w:t>Afectación a un sistema de telecomunicaciones</w:t>
      </w:r>
      <w:r>
        <w:rPr>
          <w:rFonts w:ascii="ITC Avant Garde" w:hAnsi="ITC Avant Garde"/>
          <w:b/>
        </w:rPr>
        <w:t xml:space="preserve"> previamente autorizado</w:t>
      </w:r>
      <w:r w:rsidRPr="001A07E3">
        <w:rPr>
          <w:rFonts w:ascii="ITC Avant Garde" w:hAnsi="ITC Avant Garde"/>
          <w:b/>
        </w:rPr>
        <w:t>.</w:t>
      </w:r>
    </w:p>
    <w:p w14:paraId="003E376F" w14:textId="77777777" w:rsidR="00E2222D" w:rsidRDefault="001952D4" w:rsidP="00907F25">
      <w:pPr>
        <w:spacing w:after="240" w:line="360" w:lineRule="auto"/>
        <w:ind w:right="-1"/>
        <w:jc w:val="both"/>
        <w:rPr>
          <w:rFonts w:ascii="ITC Avant Garde" w:hAnsi="ITC Avant Garde"/>
        </w:rPr>
      </w:pPr>
      <w:r w:rsidRPr="005D526D">
        <w:rPr>
          <w:rFonts w:ascii="ITC Avant Garde" w:hAnsi="ITC Avant Garde"/>
        </w:rPr>
        <w:t xml:space="preserve">En el presente caso </w:t>
      </w:r>
      <w:r w:rsidR="009163E9">
        <w:rPr>
          <w:rFonts w:ascii="ITC Avant Garde" w:hAnsi="ITC Avant Garde"/>
        </w:rPr>
        <w:t xml:space="preserve">no se advierte que con la conducta imputada a </w:t>
      </w:r>
      <w:r w:rsidR="009163E9" w:rsidRPr="009163E9">
        <w:rPr>
          <w:rFonts w:ascii="ITC Avant Garde" w:hAnsi="ITC Avant Garde"/>
          <w:b/>
        </w:rPr>
        <w:t>MEGA CABLE</w:t>
      </w:r>
      <w:r w:rsidR="009163E9">
        <w:rPr>
          <w:rFonts w:ascii="ITC Avant Garde" w:hAnsi="ITC Avant Garde"/>
        </w:rPr>
        <w:t xml:space="preserve"> se hubieran afectado otros sistemas de telecomunicaciones previamente autorizados, motivo por el cual no se acredita el elemento en análisis</w:t>
      </w:r>
      <w:r w:rsidRPr="005D526D">
        <w:rPr>
          <w:rFonts w:ascii="ITC Avant Garde" w:hAnsi="ITC Avant Garde"/>
        </w:rPr>
        <w:t>.</w:t>
      </w:r>
    </w:p>
    <w:p w14:paraId="7A3E5F1D" w14:textId="77777777" w:rsidR="00E2222D" w:rsidRDefault="001952D4" w:rsidP="00907F25">
      <w:pPr>
        <w:spacing w:after="240" w:line="360" w:lineRule="auto"/>
        <w:ind w:right="-1"/>
        <w:jc w:val="both"/>
        <w:rPr>
          <w:rFonts w:ascii="ITC Avant Garde" w:hAnsi="ITC Avant Garde"/>
          <w:sz w:val="16"/>
          <w:szCs w:val="16"/>
        </w:rPr>
      </w:pPr>
      <w:r w:rsidRPr="001A07E3">
        <w:rPr>
          <w:rFonts w:ascii="ITC Avant Garde" w:hAnsi="ITC Avant Garde"/>
        </w:rPr>
        <w:t xml:space="preserve">Ahora bien, una vez analizados los elementos que integran el concepto de gravedad se considera que la conducta que se pretende sancionar es </w:t>
      </w:r>
      <w:r w:rsidR="009163E9">
        <w:rPr>
          <w:rFonts w:ascii="ITC Avant Garde" w:hAnsi="ITC Avant Garde"/>
          <w:b/>
        </w:rPr>
        <w:t>LEVE</w:t>
      </w:r>
      <w:r w:rsidRPr="001A07E3">
        <w:rPr>
          <w:rFonts w:ascii="ITC Avant Garde" w:hAnsi="ITC Avant Garde"/>
        </w:rPr>
        <w:t xml:space="preserve"> </w:t>
      </w:r>
      <w:r w:rsidR="009163E9">
        <w:rPr>
          <w:rFonts w:ascii="ITC Avant Garde" w:hAnsi="ITC Avant Garde"/>
        </w:rPr>
        <w:t xml:space="preserve">ya que si bien es cierto se acreditó una afectación a los usuarios de </w:t>
      </w:r>
      <w:r w:rsidR="009163E9" w:rsidRPr="009163E9">
        <w:rPr>
          <w:rFonts w:ascii="ITC Avant Garde" w:hAnsi="ITC Avant Garde"/>
          <w:b/>
        </w:rPr>
        <w:t>MEGA CABLE</w:t>
      </w:r>
      <w:r w:rsidR="009163E9">
        <w:rPr>
          <w:rFonts w:ascii="ITC Avant Garde" w:hAnsi="ITC Avant Garde"/>
        </w:rPr>
        <w:t>, se estima que dicha afectación no tuvo una gran incidencia en la restricción de los derechos de sus usuarios al haber tenido acceso a los demás contenidos radiodifundidos de las Instituciones Públicas Federales.</w:t>
      </w:r>
    </w:p>
    <w:p w14:paraId="69A13BB0" w14:textId="77777777" w:rsidR="0083511C" w:rsidRDefault="00EF2FD1" w:rsidP="00907F25">
      <w:pPr>
        <w:tabs>
          <w:tab w:val="left" w:pos="993"/>
        </w:tabs>
        <w:spacing w:after="240" w:line="360" w:lineRule="auto"/>
        <w:jc w:val="both"/>
        <w:rPr>
          <w:rFonts w:ascii="ITC Avant Garde" w:eastAsia="Times New Roman" w:hAnsi="ITC Avant Garde"/>
          <w:bCs/>
          <w:color w:val="000000"/>
          <w:lang w:eastAsia="es-MX"/>
        </w:rPr>
        <w:sectPr w:rsidR="0083511C" w:rsidSect="00802C6F">
          <w:headerReference w:type="default" r:id="rId43"/>
          <w:pgSz w:w="12240" w:h="15840"/>
          <w:pgMar w:top="2126" w:right="1325" w:bottom="1701" w:left="1701" w:header="709" w:footer="962" w:gutter="0"/>
          <w:cols w:space="708"/>
          <w:docGrid w:linePitch="360"/>
        </w:sectPr>
      </w:pPr>
      <w:r>
        <w:rPr>
          <w:rFonts w:ascii="ITC Avant Garde" w:eastAsia="Times New Roman" w:hAnsi="ITC Avant Garde"/>
          <w:bCs/>
          <w:color w:val="000000"/>
          <w:lang w:eastAsia="es-MX"/>
        </w:rPr>
        <w:t xml:space="preserve">Ahora bien, una vez establecida la gravedad de la conducta cometida, el artículo 301 de la </w:t>
      </w:r>
      <w:r w:rsidRPr="0060097E">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xml:space="preserve"> impone la obligación de tomar en consideración la capacidad económica del infractor, la reincidencia y el cumplimiento espontáneo de la obligación que dio origen al procedimiento sancionatorio, de los cuales la reincidencia se estima no puede ser analizada en la presente resolución de forma diversa a la contemplada en la diversa que fue declarada insubsistente, esto con el fin de no trasgredir el derecho de seguridad jurídica de </w:t>
      </w:r>
      <w:r w:rsidRPr="00281986">
        <w:rPr>
          <w:rFonts w:ascii="ITC Avant Garde" w:eastAsia="Times New Roman" w:hAnsi="ITC Avant Garde"/>
          <w:b/>
          <w:bCs/>
          <w:color w:val="000000"/>
          <w:lang w:eastAsia="es-MX"/>
        </w:rPr>
        <w:t>MEGA CABLE</w:t>
      </w:r>
      <w:r>
        <w:rPr>
          <w:rFonts w:ascii="ITC Avant Garde" w:eastAsia="Times New Roman" w:hAnsi="ITC Avant Garde"/>
          <w:bCs/>
          <w:color w:val="000000"/>
          <w:lang w:eastAsia="es-MX"/>
        </w:rPr>
        <w:t>.</w:t>
      </w:r>
    </w:p>
    <w:p w14:paraId="0CEBCF6A" w14:textId="6D695AF6"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Así es, no obstante que la ejecutoria que se cumplimenta ordenó reiterar todas las consideraciones excepto las relacionadas con la cuantificación de la conducta, debe estimarse que tal determinación alcanza para elementos tales como la reincidencia ya que, si en el momento de emitirse la resolución correspondiente no existía una resolución firme por la que se hubiera sancionado a </w:t>
      </w:r>
      <w:r w:rsidRPr="00281986">
        <w:rPr>
          <w:rFonts w:ascii="ITC Avant Garde" w:eastAsia="Times New Roman" w:hAnsi="ITC Avant Garde"/>
          <w:b/>
          <w:bCs/>
          <w:color w:val="000000"/>
          <w:lang w:eastAsia="es-MX"/>
        </w:rPr>
        <w:t>MEGA CABLE</w:t>
      </w:r>
      <w:r>
        <w:rPr>
          <w:rFonts w:ascii="ITC Avant Garde" w:eastAsia="Times New Roman" w:hAnsi="ITC Avant Garde"/>
          <w:bCs/>
          <w:color w:val="000000"/>
          <w:lang w:eastAsia="es-MX"/>
        </w:rPr>
        <w:t>, tal circunstancia no podría ser desconocida en la presente resolución sin afectar el derecho de seguridad jurídica de dicha empresa, por lo que en tal sentido no procede tomar en consideración dicho elemento para la determinación de la sanción a imponer.</w:t>
      </w:r>
    </w:p>
    <w:p w14:paraId="2B1B61D3" w14:textId="415249F3" w:rsidR="00EF2FD1"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Por otro lado, por lo que hace al cumplimiento espontáneo</w:t>
      </w:r>
      <w:r w:rsidR="00BF29E6">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del análisis de las constancias que integran el expediente en que se actúa no se advierte el cumplimiento de la obligación que dio origen el procedimiento sancionatorio en que se actúa.</w:t>
      </w:r>
    </w:p>
    <w:p w14:paraId="60ED5A3E" w14:textId="77777777"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Por último, por lo que hace a la capacidad económica del presunto infractor de autos se desprende que</w:t>
      </w:r>
      <w:r w:rsidRPr="00342DA7">
        <w:rPr>
          <w:rFonts w:ascii="ITC Avant Garde" w:eastAsia="Times New Roman" w:hAnsi="ITC Avant Garde"/>
          <w:bCs/>
          <w:color w:val="000000"/>
          <w:lang w:eastAsia="es-MX"/>
        </w:rPr>
        <w:t xml:space="preserve">, se solicitó a </w:t>
      </w:r>
      <w:r w:rsidRPr="00342DA7">
        <w:rPr>
          <w:rFonts w:ascii="ITC Avant Garde" w:eastAsia="Times New Roman" w:hAnsi="ITC Avant Garde"/>
          <w:b/>
          <w:bCs/>
          <w:color w:val="000000"/>
          <w:lang w:eastAsia="es-MX"/>
        </w:rPr>
        <w:t>MEGA CABLE</w:t>
      </w:r>
      <w:r w:rsidRPr="00342DA7">
        <w:rPr>
          <w:rFonts w:ascii="ITC Avant Garde" w:eastAsia="Times New Roman" w:hAnsi="ITC Avant Garde"/>
          <w:bCs/>
          <w:color w:val="000000"/>
          <w:lang w:eastAsia="es-MX"/>
        </w:rPr>
        <w:t xml:space="preserve"> que manifestara cuales habían sido sus ingresos acumulables del ejercicio dos mil catorce.</w:t>
      </w:r>
    </w:p>
    <w:p w14:paraId="3A453D30" w14:textId="77777777"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sidRPr="00342DA7">
        <w:rPr>
          <w:rFonts w:ascii="ITC Avant Garde" w:eastAsia="Times New Roman" w:hAnsi="ITC Avant Garde"/>
          <w:bCs/>
          <w:color w:val="000000"/>
          <w:lang w:eastAsia="es-MX"/>
        </w:rPr>
        <w:t>Al respecto, el veinticuatro de mayo de dos mil dieciséis</w:t>
      </w:r>
      <w:r>
        <w:rPr>
          <w:rFonts w:ascii="ITC Avant Garde" w:eastAsia="Times New Roman" w:hAnsi="ITC Avant Garde"/>
          <w:bCs/>
          <w:color w:val="000000"/>
          <w:lang w:eastAsia="es-MX"/>
        </w:rPr>
        <w:t xml:space="preserve"> </w:t>
      </w:r>
      <w:r w:rsidRPr="00342DA7">
        <w:rPr>
          <w:rFonts w:ascii="ITC Avant Garde" w:eastAsia="Times New Roman" w:hAnsi="ITC Avant Garde"/>
          <w:b/>
          <w:bCs/>
          <w:color w:val="000000"/>
          <w:lang w:eastAsia="es-MX"/>
        </w:rPr>
        <w:t>MEGA CABLE</w:t>
      </w:r>
      <w:r w:rsidRPr="00342DA7">
        <w:rPr>
          <w:rFonts w:ascii="ITC Avant Garde" w:eastAsia="Times New Roman" w:hAnsi="ITC Avant Garde"/>
          <w:bCs/>
          <w:color w:val="000000"/>
          <w:lang w:eastAsia="es-MX"/>
        </w:rPr>
        <w:t xml:space="preserve"> presentó</w:t>
      </w:r>
      <w:r>
        <w:rPr>
          <w:rFonts w:ascii="ITC Avant Garde" w:eastAsia="Times New Roman" w:hAnsi="ITC Avant Garde"/>
          <w:bCs/>
          <w:color w:val="000000"/>
          <w:lang w:eastAsia="es-MX"/>
        </w:rPr>
        <w:t xml:space="preserve"> </w:t>
      </w:r>
      <w:r w:rsidRPr="00342DA7">
        <w:rPr>
          <w:rFonts w:ascii="ITC Avant Garde" w:eastAsia="Times New Roman" w:hAnsi="ITC Avant Garde"/>
          <w:bCs/>
          <w:color w:val="000000"/>
          <w:lang w:eastAsia="es-MX"/>
        </w:rPr>
        <w:t>un escrito mediante el cual exhibió el estado de resultados correspondientes al periodo del primero de enero al treinta y uno de diciembre de dos mil catorce, así como la declaración correspondiente al ejercicio dos mil catorce.</w:t>
      </w:r>
    </w:p>
    <w:p w14:paraId="49A71926" w14:textId="26DFE470"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sidRPr="00342DA7">
        <w:rPr>
          <w:rFonts w:ascii="ITC Avant Garde" w:eastAsia="Times New Roman" w:hAnsi="ITC Avant Garde"/>
          <w:bCs/>
          <w:color w:val="000000"/>
          <w:lang w:eastAsia="es-MX"/>
        </w:rPr>
        <w:t xml:space="preserve">En ese sentido, </w:t>
      </w:r>
      <w:r w:rsidRPr="00342DA7">
        <w:rPr>
          <w:rFonts w:ascii="ITC Avant Garde" w:eastAsia="Times New Roman" w:hAnsi="ITC Avant Garde"/>
          <w:b/>
          <w:bCs/>
          <w:color w:val="000000"/>
          <w:lang w:eastAsia="es-MX"/>
        </w:rPr>
        <w:t>MEGA CABLE</w:t>
      </w:r>
      <w:r w:rsidRPr="00342DA7">
        <w:rPr>
          <w:rFonts w:ascii="ITC Avant Garde" w:eastAsia="Times New Roman" w:hAnsi="ITC Avant Garde"/>
          <w:bCs/>
          <w:color w:val="000000"/>
          <w:lang w:eastAsia="es-MX"/>
        </w:rPr>
        <w:t xml:space="preserve"> señaló como ingresos acumulables en la declaración anual correspondiente al ejercicio dos mil catorce la cantidad de </w:t>
      </w:r>
      <w:r w:rsidRPr="00A26B62">
        <w:rPr>
          <w:rFonts w:ascii="ITC Avant Garde" w:eastAsia="Times New Roman" w:hAnsi="ITC Avant Garde"/>
          <w:b/>
          <w:bCs/>
          <w:color w:val="000000"/>
          <w:lang w:eastAsia="es-MX"/>
        </w:rPr>
        <w:t>$</w:t>
      </w:r>
      <w:r w:rsidR="00492803">
        <w:rPr>
          <w:rFonts w:ascii="ITC Avant Garde" w:hAnsi="ITC Avant Garde"/>
          <w:b/>
          <w:bCs/>
          <w:color w:val="0000FF"/>
        </w:rPr>
        <w:t>“CONFIDENCIAL POR LEY”</w:t>
      </w:r>
      <w:r w:rsidRPr="00342DA7">
        <w:rPr>
          <w:rFonts w:ascii="ITC Avant Garde" w:eastAsia="Times New Roman" w:hAnsi="ITC Avant Garde"/>
          <w:bCs/>
          <w:color w:val="000000"/>
          <w:lang w:eastAsia="es-MX"/>
        </w:rPr>
        <w:t>.</w:t>
      </w:r>
    </w:p>
    <w:p w14:paraId="0BEEF750" w14:textId="288A5321" w:rsidR="00E2222D" w:rsidRDefault="00EF2FD1" w:rsidP="00907F25">
      <w:pPr>
        <w:tabs>
          <w:tab w:val="left" w:pos="993"/>
        </w:tabs>
        <w:spacing w:after="240" w:line="360" w:lineRule="auto"/>
        <w:jc w:val="both"/>
        <w:rPr>
          <w:rFonts w:ascii="ITC Avant Garde" w:eastAsia="Times New Roman" w:hAnsi="ITC Avant Garde"/>
          <w:bCs/>
          <w:color w:val="000000"/>
          <w:lang w:eastAsia="es-MX"/>
        </w:rPr>
      </w:pPr>
      <w:r w:rsidRPr="00342DA7">
        <w:rPr>
          <w:rFonts w:ascii="ITC Avant Garde" w:eastAsia="Times New Roman" w:hAnsi="ITC Avant Garde"/>
          <w:bCs/>
          <w:color w:val="000000"/>
          <w:lang w:eastAsia="es-MX"/>
        </w:rPr>
        <w:t>Lo anterior, tal y como se observa de la declaración en comento, a través de la siguiente imagen:</w:t>
      </w:r>
    </w:p>
    <w:p w14:paraId="6332E586" w14:textId="17470D69" w:rsidR="003F0281" w:rsidRDefault="003F0281" w:rsidP="00907F25">
      <w:pPr>
        <w:tabs>
          <w:tab w:val="left" w:pos="993"/>
        </w:tabs>
        <w:spacing w:after="240" w:line="360" w:lineRule="auto"/>
        <w:jc w:val="both"/>
        <w:rPr>
          <w:rFonts w:ascii="ITC Avant Garde" w:eastAsia="Times New Roman" w:hAnsi="ITC Avant Garde"/>
          <w:bCs/>
          <w:color w:val="000000"/>
          <w:lang w:eastAsia="es-MX"/>
        </w:rPr>
      </w:pPr>
    </w:p>
    <w:p w14:paraId="39201F61" w14:textId="77777777" w:rsidR="0083511C" w:rsidRDefault="00AA63BB" w:rsidP="00907F25">
      <w:pPr>
        <w:tabs>
          <w:tab w:val="left" w:pos="993"/>
        </w:tabs>
        <w:spacing w:after="240" w:line="360" w:lineRule="auto"/>
        <w:jc w:val="both"/>
        <w:rPr>
          <w:rFonts w:ascii="ITC Avant Garde" w:eastAsia="Times New Roman" w:hAnsi="ITC Avant Garde"/>
          <w:bCs/>
          <w:color w:val="000000"/>
          <w:lang w:eastAsia="es-MX"/>
        </w:rPr>
        <w:sectPr w:rsidR="0083511C" w:rsidSect="00802C6F">
          <w:headerReference w:type="default" r:id="rId44"/>
          <w:pgSz w:w="12240" w:h="15840"/>
          <w:pgMar w:top="2126" w:right="1325" w:bottom="1701" w:left="1701" w:header="709" w:footer="962" w:gutter="0"/>
          <w:cols w:space="708"/>
          <w:docGrid w:linePitch="360"/>
        </w:sectPr>
      </w:pPr>
      <w:r w:rsidRPr="00AA63BB">
        <w:rPr>
          <w:rFonts w:ascii="ITC Avant Garde" w:eastAsia="Times New Roman" w:hAnsi="ITC Avant Garde"/>
          <w:bCs/>
          <w:noProof/>
          <w:color w:val="000000"/>
          <w:lang w:eastAsia="es-MX"/>
        </w:rPr>
        <w:lastRenderedPageBreak/>
        <w:drawing>
          <wp:inline distT="0" distB="0" distL="0" distR="0" wp14:anchorId="6F81F7DB" wp14:editId="36C1735E">
            <wp:extent cx="5850890" cy="7566702"/>
            <wp:effectExtent l="0" t="0" r="0" b="0"/>
            <wp:docPr id="14" name="Imagen 14" descr="La imagen se refiere a la hoja de declaración del ejercicio fiscal de la persona moral (SAT)" title="Declaración Fis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50890" cy="7566702"/>
                    </a:xfrm>
                    <a:prstGeom prst="rect">
                      <a:avLst/>
                    </a:prstGeom>
                    <a:noFill/>
                    <a:ln>
                      <a:noFill/>
                    </a:ln>
                  </pic:spPr>
                </pic:pic>
              </a:graphicData>
            </a:graphic>
          </wp:inline>
        </w:drawing>
      </w:r>
    </w:p>
    <w:p w14:paraId="09FE3AE3" w14:textId="77DD9146" w:rsidR="00E2222D" w:rsidRDefault="00AA63BB"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Auna</w:t>
      </w:r>
      <w:r w:rsidR="00E37ABB">
        <w:rPr>
          <w:rFonts w:ascii="ITC Avant Garde" w:eastAsia="Times New Roman" w:hAnsi="ITC Avant Garde"/>
          <w:bCs/>
          <w:color w:val="000000"/>
          <w:lang w:eastAsia="es-MX"/>
        </w:rPr>
        <w:t>do a lo anterior, de la búsqueda realizada al Registro Público de Concesiones se desprende que cuenta con más de cien concesiones para prestar servicios en materia de telecomunicaciones, las cuales le permiten seguir generando ingresos como los declarados ante la autoridad Hacendaria en su momento.</w:t>
      </w:r>
    </w:p>
    <w:p w14:paraId="3C6D1572" w14:textId="77777777" w:rsidR="00E2222D" w:rsidRDefault="00931202"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 igual forma, no debe perderse de vista </w:t>
      </w:r>
      <w:r w:rsidR="00EF2FD1">
        <w:rPr>
          <w:rFonts w:ascii="ITC Avant Garde" w:eastAsia="Times New Roman" w:hAnsi="ITC Avant Garde"/>
          <w:bCs/>
          <w:color w:val="000000"/>
          <w:lang w:eastAsia="es-MX"/>
        </w:rPr>
        <w:t xml:space="preserve">que </w:t>
      </w:r>
      <w:r>
        <w:rPr>
          <w:rFonts w:ascii="ITC Avant Garde" w:eastAsia="Times New Roman" w:hAnsi="ITC Avant Garde"/>
          <w:bCs/>
          <w:color w:val="000000"/>
          <w:lang w:eastAsia="es-MX"/>
        </w:rPr>
        <w:t xml:space="preserve">el monto de la multa a determinar </w:t>
      </w:r>
      <w:r w:rsidR="006B74DC">
        <w:rPr>
          <w:rFonts w:ascii="ITC Avant Garde" w:eastAsia="Times New Roman" w:hAnsi="ITC Avant Garde"/>
          <w:bCs/>
          <w:color w:val="000000"/>
          <w:lang w:eastAsia="es-MX"/>
        </w:rPr>
        <w:t xml:space="preserve">podría </w:t>
      </w:r>
      <w:r w:rsidR="00EF2FD1">
        <w:rPr>
          <w:rFonts w:ascii="ITC Avant Garde" w:eastAsia="Times New Roman" w:hAnsi="ITC Avant Garde"/>
          <w:bCs/>
          <w:color w:val="000000"/>
          <w:lang w:eastAsia="es-MX"/>
        </w:rPr>
        <w:t xml:space="preserve">ser inferior al 1% de sus ingresos acumulables de conformidad con el ejercicio de integración del artículo 298 de la </w:t>
      </w:r>
      <w:r w:rsidR="00EF2FD1" w:rsidRPr="005B1D82">
        <w:rPr>
          <w:rFonts w:ascii="ITC Avant Garde" w:eastAsia="Times New Roman" w:hAnsi="ITC Avant Garde"/>
          <w:b/>
          <w:bCs/>
          <w:color w:val="000000"/>
          <w:lang w:eastAsia="es-MX"/>
        </w:rPr>
        <w:t>LFTR</w:t>
      </w:r>
      <w:r w:rsidR="006B74DC">
        <w:rPr>
          <w:rFonts w:ascii="ITC Avant Garde" w:eastAsia="Times New Roman" w:hAnsi="ITC Avant Garde"/>
          <w:b/>
          <w:bCs/>
          <w:color w:val="000000"/>
          <w:lang w:eastAsia="es-MX"/>
        </w:rPr>
        <w:t>,</w:t>
      </w:r>
      <w:r w:rsidR="00EF2FD1">
        <w:rPr>
          <w:rFonts w:ascii="ITC Avant Garde" w:eastAsia="Times New Roman" w:hAnsi="ITC Avant Garde"/>
          <w:bCs/>
          <w:color w:val="000000"/>
          <w:lang w:eastAsia="es-MX"/>
        </w:rPr>
        <w:t xml:space="preserve"> en cumplimiento a lo ordenado por el Poder Judicial de la Federación.</w:t>
      </w:r>
    </w:p>
    <w:p w14:paraId="08440592" w14:textId="77777777" w:rsidR="00E2222D" w:rsidRDefault="00931202"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 partir de lo </w:t>
      </w:r>
      <w:r w:rsidRPr="00931202">
        <w:rPr>
          <w:rFonts w:ascii="ITC Avant Garde" w:eastAsia="Times New Roman" w:hAnsi="ITC Avant Garde"/>
          <w:bCs/>
          <w:color w:val="000000"/>
          <w:lang w:eastAsia="es-MX"/>
        </w:rPr>
        <w:t xml:space="preserve">anterior se </w:t>
      </w:r>
      <w:r>
        <w:rPr>
          <w:rFonts w:ascii="ITC Avant Garde" w:eastAsia="Times New Roman" w:hAnsi="ITC Avant Garde"/>
          <w:bCs/>
          <w:color w:val="000000"/>
          <w:lang w:eastAsia="es-MX"/>
        </w:rPr>
        <w:t>estima</w:t>
      </w:r>
      <w:r w:rsidRPr="00931202">
        <w:rPr>
          <w:rFonts w:ascii="ITC Avant Garde" w:eastAsia="Times New Roman" w:hAnsi="ITC Avant Garde"/>
          <w:bCs/>
          <w:color w:val="000000"/>
          <w:lang w:eastAsia="es-MX"/>
        </w:rPr>
        <w:t xml:space="preserve"> que </w:t>
      </w:r>
      <w:r w:rsidRPr="00C45EAC">
        <w:rPr>
          <w:rFonts w:ascii="ITC Avant Garde" w:eastAsia="Times New Roman" w:hAnsi="ITC Avant Garde"/>
          <w:b/>
          <w:bCs/>
          <w:color w:val="000000"/>
          <w:lang w:eastAsia="es-MX"/>
        </w:rPr>
        <w:t>MEGA CABLE</w:t>
      </w:r>
      <w:r w:rsidRPr="00931202">
        <w:rPr>
          <w:rFonts w:ascii="ITC Avant Garde" w:eastAsia="Times New Roman" w:hAnsi="ITC Avant Garde"/>
          <w:bCs/>
          <w:color w:val="000000"/>
          <w:lang w:eastAsia="es-MX"/>
        </w:rPr>
        <w:t xml:space="preserve"> cuenta con la capacidad económica suficiente para hacer frente a la sanción que en su caso le sea impuesta</w:t>
      </w:r>
      <w:r>
        <w:rPr>
          <w:rFonts w:ascii="ITC Avant Garde" w:eastAsia="Times New Roman" w:hAnsi="ITC Avant Garde"/>
          <w:bCs/>
          <w:color w:val="000000"/>
          <w:lang w:eastAsia="es-MX"/>
        </w:rPr>
        <w:t xml:space="preserve"> atendiendo al número de concesiones que detenta lo cual implica el despliegue de diversas redes públicas de telecomunicaciones y la instalación de múltiples equipos para prestar los servicios concesionados, así como por los ingresos percibidos por dicha empresa en el ejercicio dos mil catorce</w:t>
      </w:r>
      <w:r w:rsidRPr="00931202">
        <w:rPr>
          <w:rFonts w:ascii="ITC Avant Garde" w:eastAsia="Times New Roman" w:hAnsi="ITC Avant Garde"/>
          <w:bCs/>
          <w:color w:val="000000"/>
          <w:lang w:eastAsia="es-MX"/>
        </w:rPr>
        <w:t>, máxime si se considera</w:t>
      </w:r>
      <w:r>
        <w:rPr>
          <w:rFonts w:ascii="ITC Avant Garde" w:eastAsia="Times New Roman" w:hAnsi="ITC Avant Garde"/>
          <w:bCs/>
          <w:color w:val="000000"/>
          <w:lang w:eastAsia="es-MX"/>
        </w:rPr>
        <w:t xml:space="preserve"> que el monto a determinar </w:t>
      </w:r>
      <w:r w:rsidR="006B74DC">
        <w:rPr>
          <w:rFonts w:ascii="ITC Avant Garde" w:eastAsia="Times New Roman" w:hAnsi="ITC Avant Garde"/>
          <w:bCs/>
          <w:color w:val="000000"/>
          <w:lang w:eastAsia="es-MX"/>
        </w:rPr>
        <w:t xml:space="preserve">podría </w:t>
      </w:r>
      <w:r>
        <w:rPr>
          <w:rFonts w:ascii="ITC Avant Garde" w:eastAsia="Times New Roman" w:hAnsi="ITC Avant Garde"/>
          <w:bCs/>
          <w:color w:val="000000"/>
          <w:lang w:eastAsia="es-MX"/>
        </w:rPr>
        <w:t>ser menor al 1% de dichos ingresos</w:t>
      </w:r>
      <w:r w:rsidR="006B74DC">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lo cual asegura, además, que la misma </w:t>
      </w:r>
      <w:r w:rsidR="00B13A9C">
        <w:rPr>
          <w:rFonts w:ascii="ITC Avant Garde" w:eastAsia="Times New Roman" w:hAnsi="ITC Avant Garde"/>
          <w:bCs/>
          <w:color w:val="000000"/>
          <w:lang w:eastAsia="es-MX"/>
        </w:rPr>
        <w:t>no sea ruinosa ni excesiva.</w:t>
      </w:r>
    </w:p>
    <w:p w14:paraId="078518DB" w14:textId="77777777" w:rsidR="00E2222D" w:rsidRDefault="00B13A9C"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No obstante lo anterior, c</w:t>
      </w:r>
      <w:r w:rsidR="00EF2FD1">
        <w:rPr>
          <w:rFonts w:ascii="ITC Avant Garde" w:eastAsia="Times New Roman" w:hAnsi="ITC Avant Garde"/>
          <w:bCs/>
          <w:color w:val="000000"/>
          <w:lang w:eastAsia="es-MX"/>
        </w:rPr>
        <w:t xml:space="preserve">abe señalar que el monto de la sanción debe ser suficiente para inhibir la comisión de las conductas contrarias a las disposiciones legales y administrativas aplicables en la materia, sin que esto nos lleve al grado de trasgredir lo previsto por el artículo 22 de la </w:t>
      </w:r>
      <w:r w:rsidR="00EF2FD1" w:rsidRPr="00C07B97">
        <w:rPr>
          <w:rFonts w:ascii="ITC Avant Garde" w:eastAsia="Times New Roman" w:hAnsi="ITC Avant Garde"/>
          <w:b/>
          <w:bCs/>
          <w:color w:val="000000"/>
          <w:lang w:eastAsia="es-MX"/>
        </w:rPr>
        <w:t>CPEUM</w:t>
      </w:r>
      <w:r w:rsidR="00EF2FD1">
        <w:rPr>
          <w:rFonts w:ascii="ITC Avant Garde" w:eastAsia="Times New Roman" w:hAnsi="ITC Avant Garde"/>
          <w:bCs/>
          <w:color w:val="000000"/>
          <w:lang w:eastAsia="es-MX"/>
        </w:rPr>
        <w:t xml:space="preserve"> al imponer una multa excesiva.</w:t>
      </w:r>
    </w:p>
    <w:p w14:paraId="4D6DE0E0" w14:textId="77777777" w:rsidR="00E2222D" w:rsidRDefault="00BF29E6" w:rsidP="00907F25">
      <w:pPr>
        <w:tabs>
          <w:tab w:val="left" w:pos="993"/>
        </w:tabs>
        <w:spacing w:after="240" w:line="360" w:lineRule="auto"/>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CUANTIFICACIÓN</w:t>
      </w:r>
    </w:p>
    <w:p w14:paraId="66EC207F" w14:textId="77777777" w:rsidR="00E2222D" w:rsidRDefault="00BF29E6" w:rsidP="00907F25">
      <w:pPr>
        <w:spacing w:after="240" w:line="360" w:lineRule="auto"/>
        <w:jc w:val="both"/>
        <w:rPr>
          <w:rFonts w:ascii="ITC Avant Garde" w:hAnsi="ITC Avant Garde"/>
        </w:rPr>
      </w:pPr>
      <w:r w:rsidRPr="00A366DD">
        <w:rPr>
          <w:rFonts w:ascii="ITC Avant Garde" w:hAnsi="ITC Avant Garde"/>
        </w:rPr>
        <w:t xml:space="preserve">Una vez analizados los elementos </w:t>
      </w:r>
      <w:r>
        <w:rPr>
          <w:rFonts w:ascii="ITC Avant Garde" w:hAnsi="ITC Avant Garde"/>
        </w:rPr>
        <w:t>previstos en la ley de la materia para individualizar una multa</w:t>
      </w:r>
      <w:r w:rsidRPr="00A366DD">
        <w:rPr>
          <w:rFonts w:ascii="ITC Avant Garde" w:hAnsi="ITC Avant Garde"/>
        </w:rPr>
        <w:t xml:space="preserve">, se procede a determinar el monto de la </w:t>
      </w:r>
      <w:r>
        <w:rPr>
          <w:rFonts w:ascii="ITC Avant Garde" w:hAnsi="ITC Avant Garde"/>
        </w:rPr>
        <w:t>misma</w:t>
      </w:r>
      <w:r w:rsidRPr="00A366DD">
        <w:rPr>
          <w:rFonts w:ascii="ITC Avant Garde" w:hAnsi="ITC Avant Garde"/>
        </w:rPr>
        <w:t xml:space="preserve"> en atención a las siguientes consideraciones:</w:t>
      </w:r>
    </w:p>
    <w:p w14:paraId="38DDEFB1" w14:textId="77777777" w:rsidR="00E2222D" w:rsidRDefault="00BF29E6" w:rsidP="00907F25">
      <w:pPr>
        <w:spacing w:after="240" w:line="360" w:lineRule="auto"/>
        <w:jc w:val="both"/>
        <w:rPr>
          <w:rFonts w:ascii="ITC Avant Garde" w:hAnsi="ITC Avant Garde"/>
        </w:rPr>
      </w:pPr>
      <w:r w:rsidRPr="00A366DD">
        <w:rPr>
          <w:rFonts w:ascii="ITC Avant Garde" w:hAnsi="ITC Avant Garde"/>
        </w:rPr>
        <w:lastRenderedPageBreak/>
        <w:t xml:space="preserve">El monto de la multa que en su caso se imponga debe tener como finalidad inhibir la comisión de este tipo de infracciones, siendo </w:t>
      </w:r>
      <w:r>
        <w:rPr>
          <w:rFonts w:ascii="ITC Avant Garde" w:hAnsi="ITC Avant Garde"/>
        </w:rPr>
        <w:t>é</w:t>
      </w:r>
      <w:r w:rsidRPr="00A366DD">
        <w:rPr>
          <w:rFonts w:ascii="ITC Avant Garde" w:hAnsi="ITC Avant Garde"/>
        </w:rPr>
        <w:t xml:space="preserve">sta una de las razones que motivaron la </w:t>
      </w:r>
      <w:r>
        <w:rPr>
          <w:rFonts w:ascii="ITC Avant Garde" w:hAnsi="ITC Avant Garde"/>
        </w:rPr>
        <w:t>R</w:t>
      </w:r>
      <w:r w:rsidRPr="00A366DD">
        <w:rPr>
          <w:rFonts w:ascii="ITC Avant Garde" w:hAnsi="ITC Avant Garde"/>
        </w:rPr>
        <w:t xml:space="preserve">eforma </w:t>
      </w:r>
      <w:r>
        <w:rPr>
          <w:rFonts w:ascii="ITC Avant Garde" w:hAnsi="ITC Avant Garde"/>
        </w:rPr>
        <w:t>C</w:t>
      </w:r>
      <w:r w:rsidRPr="00A366DD">
        <w:rPr>
          <w:rFonts w:ascii="ITC Avant Garde" w:hAnsi="ITC Avant Garde"/>
        </w:rPr>
        <w:t>onstitucional en la materia.</w:t>
      </w:r>
    </w:p>
    <w:p w14:paraId="230E69D6" w14:textId="77777777" w:rsidR="00E2222D" w:rsidRDefault="00BF29E6" w:rsidP="00907F25">
      <w:pPr>
        <w:spacing w:after="240" w:line="360" w:lineRule="auto"/>
        <w:jc w:val="both"/>
        <w:rPr>
          <w:rFonts w:ascii="ITC Avant Garde" w:hAnsi="ITC Avant Garde"/>
        </w:rPr>
      </w:pPr>
      <w:r w:rsidRPr="00A366DD">
        <w:rPr>
          <w:rFonts w:ascii="ITC Avant Garde" w:hAnsi="ITC Avant Garde"/>
        </w:rPr>
        <w:t>Al respecto</w:t>
      </w:r>
      <w:r>
        <w:rPr>
          <w:rFonts w:ascii="ITC Avant Garde" w:hAnsi="ITC Avant Garde"/>
        </w:rPr>
        <w:t>,</w:t>
      </w:r>
      <w:r w:rsidRPr="00A366DD">
        <w:rPr>
          <w:rFonts w:ascii="ITC Avant Garde" w:hAnsi="ITC Avant Garde"/>
        </w:rPr>
        <w:t xml:space="preserve"> resulta importante tener en consideración lo señalado en la exposición de motivos de la iniciativa que dio origen a</w:t>
      </w:r>
      <w:r>
        <w:rPr>
          <w:rFonts w:ascii="ITC Avant Garde" w:hAnsi="ITC Avant Garde"/>
        </w:rPr>
        <w:t xml:space="preserve"> dicha R</w:t>
      </w:r>
      <w:r w:rsidRPr="00A366DD">
        <w:rPr>
          <w:rFonts w:ascii="ITC Avant Garde" w:hAnsi="ITC Avant Garde"/>
        </w:rPr>
        <w:t>eforma en la que expresamente se señaló lo siguiente:</w:t>
      </w:r>
    </w:p>
    <w:p w14:paraId="22FB9A88"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“En consistencia con las atribuciones que se otorgan al Instituto Federal de Telecomunicaciones, se establecen las bases a las que deberá ajustarse el régimen de concesiones. Las adiciones propuestas tienen por objeto asegurar que en el otorgamiento de concesiones se atienda al fin de garantizar el derecho de acceso a la banda ancha y a los servicios públicos de radiodifusión y telecomunicaciones en condiciones de competencia, pluralidad, calidad y convergencia, y optimizando el uso del espectro radioeléctrico.</w:t>
      </w:r>
    </w:p>
    <w:p w14:paraId="3B09085E" w14:textId="7AFEFB4C" w:rsidR="00BF29E6" w:rsidRPr="003D0E61"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El régimen de concesiones debe estar basado en una política de competencia efectiva que permita alcanzar en el mediano plazo una cobertura universal así como las mejores condiciones posibles de calidad y precio en los productos y servicios. Se entiende así que la competencia en el sector constituye un instrumento central para asegurar el acceso a las tecnologías de la información y además, en su caso, permite al Estado corregir las fallas de mercado.</w:t>
      </w:r>
    </w:p>
    <w:p w14:paraId="0048BCAC"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En concreto, se propone lo siguiente:</w:t>
      </w:r>
    </w:p>
    <w:p w14:paraId="5B1821EC"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w:t>
      </w:r>
    </w:p>
    <w:p w14:paraId="4B2AD158" w14:textId="017AB255" w:rsidR="00BF29E6" w:rsidRPr="003D0E61"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La ley establecerá un esquema efectivo de sanciones que señale como causal de revocación del título de concesión, entre otras, el incumplimiento de las resoluciones que hayan quedado firmes en casos de conductas vinculadas con prácticas monopólicas.</w:t>
      </w:r>
    </w:p>
    <w:p w14:paraId="1C0A9CF9"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w:t>
      </w:r>
    </w:p>
    <w:p w14:paraId="28E357C1" w14:textId="77777777" w:rsidR="00E2222D" w:rsidRDefault="00BF29E6" w:rsidP="00907F25">
      <w:pPr>
        <w:spacing w:after="240" w:line="360" w:lineRule="auto"/>
        <w:jc w:val="both"/>
        <w:rPr>
          <w:rFonts w:ascii="ITC Avant Garde" w:hAnsi="ITC Avant Garde"/>
        </w:rPr>
      </w:pPr>
      <w:r w:rsidRPr="00A366DD">
        <w:rPr>
          <w:rFonts w:ascii="ITC Avant Garde" w:hAnsi="ITC Avant Garde"/>
        </w:rPr>
        <w:lastRenderedPageBreak/>
        <w:t>De lo señalado en la tra</w:t>
      </w:r>
      <w:r>
        <w:rPr>
          <w:rFonts w:ascii="ITC Avant Garde" w:hAnsi="ITC Avant Garde"/>
        </w:rPr>
        <w:t>n</w:t>
      </w:r>
      <w:r w:rsidRPr="00A366DD">
        <w:rPr>
          <w:rFonts w:ascii="ITC Avant Garde" w:hAnsi="ITC Avant Garde"/>
        </w:rPr>
        <w:t xml:space="preserve">scripción anterior se desprende la intención del Constituyente de </w:t>
      </w:r>
      <w:r>
        <w:rPr>
          <w:rFonts w:ascii="ITC Avant Garde" w:hAnsi="ITC Avant Garde"/>
        </w:rPr>
        <w:t>prever</w:t>
      </w:r>
      <w:r w:rsidRPr="00A366DD">
        <w:rPr>
          <w:rFonts w:ascii="ITC Avant Garde" w:hAnsi="ITC Avant Garde"/>
        </w:rPr>
        <w:t xml:space="preserve"> que la </w:t>
      </w:r>
      <w:r w:rsidRPr="004B194F">
        <w:rPr>
          <w:rFonts w:ascii="ITC Avant Garde" w:hAnsi="ITC Avant Garde"/>
          <w:b/>
        </w:rPr>
        <w:t>LFTR</w:t>
      </w:r>
      <w:r w:rsidRPr="00A366DD">
        <w:rPr>
          <w:rFonts w:ascii="ITC Avant Garde" w:hAnsi="ITC Avant Garde"/>
        </w:rPr>
        <w:t xml:space="preserve"> establezca un esquema efectivo de sanciones con el fin de que la regulación que se emit</w:t>
      </w:r>
      <w:r>
        <w:rPr>
          <w:rFonts w:ascii="ITC Avant Garde" w:hAnsi="ITC Avant Garde"/>
        </w:rPr>
        <w:t>a</w:t>
      </w:r>
      <w:r w:rsidRPr="00A366DD">
        <w:rPr>
          <w:rFonts w:ascii="ITC Avant Garde" w:hAnsi="ITC Avant Garde"/>
        </w:rPr>
        <w:t xml:space="preserve"> en la materia sea efectiva</w:t>
      </w:r>
      <w:r>
        <w:rPr>
          <w:rFonts w:ascii="ITC Avant Garde" w:hAnsi="ITC Avant Garde"/>
        </w:rPr>
        <w:t xml:space="preserve"> y de esa forma se hizo al establecer la ley vigente multas que tienen su base de cálculo en los ingresos acumulables del presunto infractor</w:t>
      </w:r>
      <w:r w:rsidRPr="00A366DD">
        <w:rPr>
          <w:rFonts w:ascii="ITC Avant Garde" w:hAnsi="ITC Avant Garde"/>
        </w:rPr>
        <w:t>.</w:t>
      </w:r>
    </w:p>
    <w:p w14:paraId="033471E9" w14:textId="77777777" w:rsidR="00E2222D" w:rsidRDefault="00BF29E6" w:rsidP="00907F25">
      <w:pPr>
        <w:spacing w:after="240" w:line="360" w:lineRule="auto"/>
        <w:jc w:val="both"/>
        <w:rPr>
          <w:rFonts w:ascii="ITC Avant Garde" w:hAnsi="ITC Avant Garde"/>
        </w:rPr>
      </w:pPr>
      <w:r w:rsidRPr="00A366DD">
        <w:rPr>
          <w:rFonts w:ascii="ITC Avant Garde" w:hAnsi="ITC Avant Garde"/>
        </w:rPr>
        <w:t xml:space="preserve">Al respecto cabe señalar que </w:t>
      </w:r>
      <w:r>
        <w:rPr>
          <w:rFonts w:ascii="ITC Avant Garde" w:hAnsi="ITC Avant Garde"/>
        </w:rPr>
        <w:t xml:space="preserve">como antecedente de </w:t>
      </w:r>
      <w:r w:rsidRPr="00A366DD">
        <w:rPr>
          <w:rFonts w:ascii="ITC Avant Garde" w:hAnsi="ITC Avant Garde"/>
        </w:rPr>
        <w:t xml:space="preserve">la </w:t>
      </w:r>
      <w:r>
        <w:rPr>
          <w:rFonts w:ascii="ITC Avant Garde" w:hAnsi="ITC Avant Garde"/>
        </w:rPr>
        <w:t xml:space="preserve">Reforma aludida, </w:t>
      </w:r>
      <w:r w:rsidRPr="00A366DD">
        <w:rPr>
          <w:rFonts w:ascii="ITC Avant Garde" w:hAnsi="ITC Avant Garde"/>
        </w:rPr>
        <w:t>la O</w:t>
      </w:r>
      <w:r>
        <w:rPr>
          <w:rFonts w:ascii="ITC Avant Garde" w:hAnsi="ITC Avant Garde"/>
        </w:rPr>
        <w:t>rganización para la Cooperación y Desarrollo Económico (“</w:t>
      </w:r>
      <w:r w:rsidRPr="00081EC6">
        <w:rPr>
          <w:rFonts w:ascii="ITC Avant Garde" w:hAnsi="ITC Avant Garde"/>
          <w:b/>
        </w:rPr>
        <w:t>OCDE</w:t>
      </w:r>
      <w:r>
        <w:rPr>
          <w:rFonts w:ascii="ITC Avant Garde" w:hAnsi="ITC Avant Garde"/>
          <w:b/>
        </w:rPr>
        <w:t>”</w:t>
      </w:r>
      <w:r>
        <w:rPr>
          <w:rFonts w:ascii="ITC Avant Garde" w:hAnsi="ITC Avant Garde"/>
        </w:rPr>
        <w:t>)</w:t>
      </w:r>
      <w:r w:rsidRPr="00A366DD">
        <w:rPr>
          <w:rFonts w:ascii="ITC Avant Garde" w:hAnsi="ITC Avant Garde"/>
        </w:rPr>
        <w:t xml:space="preserve"> </w:t>
      </w:r>
      <w:r>
        <w:rPr>
          <w:rFonts w:ascii="ITC Avant Garde" w:hAnsi="ITC Avant Garde"/>
        </w:rPr>
        <w:t xml:space="preserve">realizó un estudio </w:t>
      </w:r>
      <w:r w:rsidRPr="00A366DD">
        <w:rPr>
          <w:rFonts w:ascii="ITC Avant Garde" w:hAnsi="ITC Avant Garde"/>
        </w:rPr>
        <w:t xml:space="preserve">sobre políticas y regulación de telecomunicaciones en México, el cual en la parte que interesa </w:t>
      </w:r>
      <w:r>
        <w:rPr>
          <w:rFonts w:ascii="ITC Avant Garde" w:hAnsi="ITC Avant Garde"/>
        </w:rPr>
        <w:t>señaló</w:t>
      </w:r>
      <w:r w:rsidRPr="00A366DD">
        <w:rPr>
          <w:rFonts w:ascii="ITC Avant Garde" w:hAnsi="ITC Avant Garde"/>
        </w:rPr>
        <w:t xml:space="preserve"> lo siguiente:</w:t>
      </w:r>
    </w:p>
    <w:p w14:paraId="14A875C1"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“Se debe facultar a la autoridad reguladora para que imponga multas significativas que sean lo bastante elevadas (mucho más altas que las actuales) para que resulten disuasorias y garanticen la observancia de la regulación vigente, así como el cumplimiento de sus objetivos. También debe tener suficientes facultades para requerir información a las empresas a fin de cumplir con sus obligaciones, así como para sancionar a aquellas que no respondan a los requerimientos razonables.</w:t>
      </w:r>
    </w:p>
    <w:p w14:paraId="089531A0"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w:t>
      </w:r>
    </w:p>
    <w:p w14:paraId="5BD107F8" w14:textId="77777777" w:rsidR="00E2222D" w:rsidRDefault="00BF29E6" w:rsidP="00907F25">
      <w:pPr>
        <w:spacing w:after="240" w:line="360" w:lineRule="auto"/>
        <w:ind w:left="851" w:right="618"/>
        <w:jc w:val="both"/>
        <w:rPr>
          <w:rFonts w:ascii="ITC Avant Garde" w:eastAsia="Times New Roman" w:hAnsi="ITC Avant Garde"/>
          <w:bCs/>
          <w:i/>
          <w:color w:val="000000"/>
          <w:szCs w:val="20"/>
          <w:lang w:eastAsia="es-MX"/>
        </w:rPr>
      </w:pPr>
      <w:r w:rsidRPr="003D0E61">
        <w:rPr>
          <w:rFonts w:ascii="ITC Avant Garde" w:eastAsia="Times New Roman" w:hAnsi="ITC Avant Garde"/>
          <w:bCs/>
          <w:i/>
          <w:color w:val="000000"/>
          <w:sz w:val="20"/>
          <w:szCs w:val="20"/>
          <w:lang w:eastAsia="es-MX"/>
        </w:rPr>
        <w:t xml:space="preserve">Una limitación importante en el uso de concesiones para controlar el comportamiento es el tipo de sanción. En México, la LFT prevé que el incumplimiento de los términos de una concesión podría llevar a la revocación de la concesión y al cese de operaciones. Ésta no es una opción realista. De hecho, sería difícil encontrar un ejemplo de tales sanciones en toda la OCDE. Es preciso reformar la ley para permitir la imposición de formas intermedias de sanción financiera lo suficientemente elevadas para que sean disuasivas. Las reformas a la ley también podrían permitir la separación funcional y/o estructural de un incumbente con poder de mercado como sanción por el reiterado incumplimiento, como ha ocurrido en algunos países de la OCDE (p. ej. Estados Unidos, Reino Unido, Suecia, Australia, Nueva Zelanda). La LFT, en la actualidad, establece disposiciones para sancionar a quienes violen sus preceptos. Las </w:t>
      </w:r>
      <w:r w:rsidRPr="003D0E61">
        <w:rPr>
          <w:rFonts w:ascii="ITC Avant Garde" w:eastAsia="Times New Roman" w:hAnsi="ITC Avant Garde"/>
          <w:bCs/>
          <w:i/>
          <w:color w:val="000000"/>
          <w:sz w:val="20"/>
          <w:szCs w:val="20"/>
          <w:lang w:eastAsia="es-MX"/>
        </w:rPr>
        <w:lastRenderedPageBreak/>
        <w:t>multas que pueden imponerse hoy día son muy bajas: fluctúan desde “2 000 a 20 000 salarios mínimos” diarios para violaciones menores, hasta “10 000 a 100 000 salarios mínimos” por transgresiones mayores, como el incumplimiento de obligaciones relativas a la interconexión. Con un salario mínimo diario de 59.82 pesos en la ciudad de México, la sanción máxima que podría imponerse sería de unos</w:t>
      </w:r>
      <w:r w:rsidRPr="00466ACD">
        <w:rPr>
          <w:rFonts w:ascii="ITC Avant Garde" w:eastAsia="Times New Roman" w:hAnsi="ITC Avant Garde"/>
          <w:bCs/>
          <w:i/>
          <w:color w:val="000000"/>
          <w:szCs w:val="20"/>
          <w:lang w:eastAsia="es-MX"/>
        </w:rPr>
        <w:t xml:space="preserve"> 500 000 dólares. Es obvio que las sanciones deben ser proporcionales a la infracción.” </w:t>
      </w:r>
    </w:p>
    <w:p w14:paraId="5AF2E200" w14:textId="5E9D83AA" w:rsidR="00BF29E6" w:rsidRPr="00702A23" w:rsidRDefault="00BF29E6" w:rsidP="00907F25">
      <w:pPr>
        <w:spacing w:after="240" w:line="360" w:lineRule="auto"/>
        <w:jc w:val="both"/>
        <w:rPr>
          <w:rFonts w:ascii="ITC Avant Garde" w:hAnsi="ITC Avant Garde"/>
          <w:b/>
        </w:rPr>
      </w:pPr>
      <w:r>
        <w:rPr>
          <w:rFonts w:ascii="ITC Avant Garde" w:hAnsi="ITC Avant Garde"/>
        </w:rPr>
        <w:t>Congruente con lo anterior, en la referida Reforma el Constituyente consideró necesario que la ley de la materia estableciera</w:t>
      </w:r>
      <w:r w:rsidRPr="00A366DD">
        <w:rPr>
          <w:rFonts w:ascii="ITC Avant Garde" w:hAnsi="ITC Avant Garde"/>
        </w:rPr>
        <w:t xml:space="preserve"> un esquema efectivo de sanciones</w:t>
      </w:r>
      <w:r>
        <w:rPr>
          <w:rFonts w:ascii="ITC Avant Garde" w:hAnsi="ITC Avant Garde"/>
        </w:rPr>
        <w:t>,</w:t>
      </w:r>
      <w:r w:rsidRPr="00A366DD">
        <w:rPr>
          <w:rFonts w:ascii="ITC Avant Garde" w:hAnsi="ITC Avant Garde"/>
        </w:rPr>
        <w:t xml:space="preserve"> no sólo en cuanto </w:t>
      </w:r>
      <w:r>
        <w:rPr>
          <w:rFonts w:ascii="ITC Avant Garde" w:hAnsi="ITC Avant Garde"/>
        </w:rPr>
        <w:t xml:space="preserve">a </w:t>
      </w:r>
      <w:r w:rsidRPr="00A366DD">
        <w:rPr>
          <w:rFonts w:ascii="ITC Avant Garde" w:hAnsi="ITC Avant Garde"/>
        </w:rPr>
        <w:t xml:space="preserve">los procesos para su imposición, sino también en relación con los montos de las mismas, al considerar que las existentes no eran suficientes para disuadir las conductas infractoras y garantizar la observancia de la </w:t>
      </w:r>
      <w:r w:rsidRPr="004B194F">
        <w:rPr>
          <w:rFonts w:ascii="ITC Avant Garde" w:hAnsi="ITC Avant Garde"/>
          <w:b/>
        </w:rPr>
        <w:t>LFTR</w:t>
      </w:r>
      <w:r w:rsidRPr="00702A23">
        <w:rPr>
          <w:rFonts w:ascii="ITC Avant Garde" w:hAnsi="ITC Avant Garde"/>
          <w:b/>
        </w:rPr>
        <w:t>.</w:t>
      </w:r>
    </w:p>
    <w:p w14:paraId="0B08D925" w14:textId="77777777" w:rsidR="00E2222D" w:rsidRDefault="00BF29E6" w:rsidP="00907F25">
      <w:pPr>
        <w:spacing w:after="240" w:line="360" w:lineRule="auto"/>
        <w:jc w:val="both"/>
        <w:rPr>
          <w:rFonts w:ascii="ITC Avant Garde" w:hAnsi="ITC Avant Garde"/>
        </w:rPr>
      </w:pPr>
      <w:r w:rsidRPr="00A366DD">
        <w:rPr>
          <w:rFonts w:ascii="ITC Avant Garde" w:hAnsi="ITC Avant Garde"/>
        </w:rPr>
        <w:t xml:space="preserve">En ese sentido, la exposición de motivos de la iniciativa presentada por el Ejecutivo Federal para la expedición de la </w:t>
      </w:r>
      <w:r w:rsidRPr="004B194F">
        <w:rPr>
          <w:rFonts w:ascii="ITC Avant Garde" w:hAnsi="ITC Avant Garde"/>
          <w:b/>
        </w:rPr>
        <w:t>LFTR</w:t>
      </w:r>
      <w:r w:rsidRPr="00A366DD">
        <w:rPr>
          <w:rFonts w:ascii="ITC Avant Garde" w:hAnsi="ITC Avant Garde"/>
        </w:rPr>
        <w:t>, en relación con el esquema de sancione</w:t>
      </w:r>
      <w:r>
        <w:rPr>
          <w:rFonts w:ascii="ITC Avant Garde" w:hAnsi="ITC Avant Garde"/>
        </w:rPr>
        <w:t>s</w:t>
      </w:r>
      <w:r w:rsidRPr="00A366DD">
        <w:rPr>
          <w:rFonts w:ascii="ITC Avant Garde" w:hAnsi="ITC Avant Garde"/>
        </w:rPr>
        <w:t xml:space="preserve"> señaló lo siguiente:</w:t>
      </w:r>
    </w:p>
    <w:p w14:paraId="42340D20"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“El artículo 28 constitucional recién reformado en materia de telecomunicaciones y radiodifusión, prevé que la ley establecerá un esquema efectivo de sanciones que señale como causal de revocación del Título de concesión, entre otras, el incumplimiento de las resoluciones que hayan quedado firmes en casos de conductas vinculadas con prácticas monopólicas.</w:t>
      </w:r>
    </w:p>
    <w:p w14:paraId="2A65CDF0"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Para cumplir este mandato constitucional, la iniciativa que se presenta a esta soberanía, propone un esquema de sanciones basados en porcentajes de ingresos de los infractores a fin de homologarlo con el esquema de sanciones establecido en la Ley Federal de Competencia Económica.</w:t>
      </w:r>
    </w:p>
    <w:p w14:paraId="1F368A4E"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 xml:space="preserve">Los porcentajes de ingresos permiten imponer sanciones de manera equitativa, ya que la sanción que se llegue a imponer, incluso la máxima, será proporcional a los ingresos del infractor, lo que evita que llegue a ser ruinosa. En un esquema de sanciones basados en salarios mínimos, se corre el riesgo que al momento de </w:t>
      </w:r>
      <w:r w:rsidRPr="003D0E61">
        <w:rPr>
          <w:rFonts w:ascii="ITC Avant Garde" w:eastAsia="Times New Roman" w:hAnsi="ITC Avant Garde"/>
          <w:bCs/>
          <w:i/>
          <w:color w:val="000000"/>
          <w:sz w:val="20"/>
          <w:szCs w:val="20"/>
          <w:lang w:eastAsia="es-MX"/>
        </w:rPr>
        <w:lastRenderedPageBreak/>
        <w:t>imponer la sanción, ésta llegue a ser de tal magnitud que pueda exceder incluso, los ingresos del infractor.</w:t>
      </w:r>
    </w:p>
    <w:p w14:paraId="4F8AB5EC"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Las sanciones por porcentajes de ingresos evitan la posibilidad de excesos en el cálculo del monto de la sanción y al mismo tiempo cumplen su función de ser ejemplares a fin de inhibir la comisión de nuevas infracciones.</w:t>
      </w:r>
    </w:p>
    <w:p w14:paraId="09293EC9"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Para establecer este tipo de sanciones, es menester contar con la información de los ingresos del infractor, es por esto que se establecen la facultad de requerir al infractor de tal información con apercibimiento que de no proporcionarlo se optará por un esquema de salarios mínimos, el cual también se contempla.</w:t>
      </w:r>
    </w:p>
    <w:p w14:paraId="3D29B8FA"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El esquema de salarios mínimos solo aplicará en el caso que no se cuente con la información de los ingresos del infractor.</w:t>
      </w:r>
    </w:p>
    <w:p w14:paraId="467AAE7A" w14:textId="0E5A66E3" w:rsidR="00BF29E6" w:rsidRPr="003D0E61"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En el título correspondiente a sanciones, se clasifican las conductas infractoras en cinco rubros, las cuales van desde las leves a las graves, estableciendo correlativamente las sanciones que van de las más bajas a las más altas. En apartado por separado, se clasifican las conductas que ameritan la revocación de la concesión.”</w:t>
      </w:r>
    </w:p>
    <w:p w14:paraId="10FD5504"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(Énfasis añadido)</w:t>
      </w:r>
    </w:p>
    <w:p w14:paraId="1F118569" w14:textId="04AA369A" w:rsidR="00BF29E6" w:rsidRPr="00A366DD" w:rsidRDefault="00BF29E6" w:rsidP="00907F25">
      <w:pPr>
        <w:spacing w:after="240" w:line="360" w:lineRule="auto"/>
        <w:jc w:val="both"/>
        <w:rPr>
          <w:rFonts w:ascii="ITC Avant Garde" w:hAnsi="ITC Avant Garde"/>
        </w:rPr>
      </w:pPr>
      <w:r w:rsidRPr="00A366DD">
        <w:rPr>
          <w:rFonts w:ascii="ITC Avant Garde" w:hAnsi="ITC Avant Garde"/>
        </w:rPr>
        <w:t xml:space="preserve">Asimismo, el Dictamen emitido por la Cámara revisora en relación con la citada </w:t>
      </w:r>
      <w:r>
        <w:rPr>
          <w:rFonts w:ascii="ITC Avant Garde" w:hAnsi="ITC Avant Garde"/>
        </w:rPr>
        <w:t>I</w:t>
      </w:r>
      <w:r w:rsidRPr="00A366DD">
        <w:rPr>
          <w:rFonts w:ascii="ITC Avant Garde" w:hAnsi="ITC Avant Garde"/>
        </w:rPr>
        <w:t>niciativa señaló lo siguiente:</w:t>
      </w:r>
    </w:p>
    <w:p w14:paraId="403DD363" w14:textId="77777777" w:rsidR="00BF29E6" w:rsidRPr="003D0E61"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 xml:space="preserve">“De acuerdo con el mandato constitucional, la ley deberá contemplar un sistema efectivo de sanciones, para ello, estas Comisiones Dictaminadoras consideraron adoptar primordialmente un sistema de sanciones basado en porcentajes de ingresos, como ha sido apuntado. En la Minuta se reconoce que existen conductas que deben ser sancionadas de manera diferenciada a fin de que la sanción logre su efectividad, es decir, ser ejemplar y al mismo tiempo disuadir al infractor, por ello, se establecieron para algunos casos sanciones basadas en salarios mínimos y para otros sanciones con base en los ingresos que </w:t>
      </w:r>
      <w:r w:rsidRPr="003D0E61">
        <w:rPr>
          <w:rFonts w:ascii="ITC Avant Garde" w:eastAsia="Times New Roman" w:hAnsi="ITC Avant Garde"/>
          <w:bCs/>
          <w:i/>
          <w:color w:val="000000"/>
          <w:sz w:val="20"/>
          <w:szCs w:val="20"/>
          <w:lang w:eastAsia="es-MX"/>
        </w:rPr>
        <w:lastRenderedPageBreak/>
        <w:t>se obtuvieron adicionalmente, por causa de la comisión de la infracción e incluso, en algunos casos se prevé la posibilidad del apercibimiento. Con respecto a los porcentajes de sanción, en la Iniciativa se establece un sistema gradual, catalogando aquellas conductas que se consideraron menos graves con sanciones muy leves y así sucesivamente hasta las conductas infractoras que se consideraron muy graves que incluso podrían ameritar la revocación de la concesión.”</w:t>
      </w:r>
    </w:p>
    <w:p w14:paraId="3201549E"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3D0E61">
        <w:rPr>
          <w:rFonts w:ascii="ITC Avant Garde" w:eastAsia="Times New Roman" w:hAnsi="ITC Avant Garde"/>
          <w:bCs/>
          <w:i/>
          <w:color w:val="000000"/>
          <w:sz w:val="20"/>
          <w:szCs w:val="20"/>
          <w:lang w:eastAsia="es-MX"/>
        </w:rPr>
        <w:t>(Énfasis añadido)</w:t>
      </w:r>
    </w:p>
    <w:p w14:paraId="4AEA520F" w14:textId="77777777" w:rsidR="00E2222D" w:rsidRDefault="00BF29E6" w:rsidP="00907F25">
      <w:pPr>
        <w:spacing w:after="240" w:line="360" w:lineRule="auto"/>
        <w:jc w:val="both"/>
        <w:rPr>
          <w:rFonts w:ascii="ITC Avant Garde" w:hAnsi="ITC Avant Garde"/>
        </w:rPr>
      </w:pPr>
      <w:r w:rsidRPr="00A366DD">
        <w:rPr>
          <w:rFonts w:ascii="ITC Avant Garde" w:hAnsi="ITC Avant Garde"/>
        </w:rPr>
        <w:t>De lo señalado en los procesos legislativos tra</w:t>
      </w:r>
      <w:r>
        <w:rPr>
          <w:rFonts w:ascii="ITC Avant Garde" w:hAnsi="ITC Avant Garde"/>
        </w:rPr>
        <w:t>n</w:t>
      </w:r>
      <w:r w:rsidRPr="00A366DD">
        <w:rPr>
          <w:rFonts w:ascii="ITC Avant Garde" w:hAnsi="ITC Avant Garde"/>
        </w:rPr>
        <w:t xml:space="preserve">scritos se advierten las premisas </w:t>
      </w:r>
      <w:r>
        <w:rPr>
          <w:rFonts w:ascii="ITC Avant Garde" w:hAnsi="ITC Avant Garde"/>
        </w:rPr>
        <w:t>que tomó</w:t>
      </w:r>
      <w:r w:rsidRPr="00A366DD">
        <w:rPr>
          <w:rFonts w:ascii="ITC Avant Garde" w:hAnsi="ITC Avant Garde"/>
        </w:rPr>
        <w:t xml:space="preserve"> en consideración el legislador al emitir las disposiciones que regulan la imposición de sanciones en la materia, </w:t>
      </w:r>
      <w:r>
        <w:rPr>
          <w:rFonts w:ascii="ITC Avant Garde" w:hAnsi="ITC Avant Garde"/>
        </w:rPr>
        <w:t>entre las que destacan</w:t>
      </w:r>
      <w:r w:rsidRPr="00A366DD">
        <w:rPr>
          <w:rFonts w:ascii="ITC Avant Garde" w:hAnsi="ITC Avant Garde"/>
        </w:rPr>
        <w:t xml:space="preserve"> las siguientes:</w:t>
      </w:r>
    </w:p>
    <w:p w14:paraId="708CB798" w14:textId="7817FA4D" w:rsidR="00BF29E6" w:rsidRPr="00A366DD" w:rsidRDefault="00BF29E6" w:rsidP="00907F25">
      <w:pPr>
        <w:pStyle w:val="Prrafodelista"/>
        <w:numPr>
          <w:ilvl w:val="0"/>
          <w:numId w:val="5"/>
        </w:numPr>
        <w:spacing w:after="240" w:line="360" w:lineRule="auto"/>
        <w:ind w:left="851"/>
        <w:jc w:val="both"/>
        <w:rPr>
          <w:rFonts w:ascii="ITC Avant Garde" w:hAnsi="ITC Avant Garde"/>
        </w:rPr>
      </w:pPr>
      <w:r>
        <w:rPr>
          <w:rFonts w:ascii="ITC Avant Garde" w:hAnsi="ITC Avant Garde"/>
        </w:rPr>
        <w:t>Establecer u</w:t>
      </w:r>
      <w:r w:rsidRPr="00A366DD">
        <w:rPr>
          <w:rFonts w:ascii="ITC Avant Garde" w:hAnsi="ITC Avant Garde"/>
        </w:rPr>
        <w:t>n esquema efectivo de sanciones.</w:t>
      </w:r>
    </w:p>
    <w:p w14:paraId="616C3455" w14:textId="77777777" w:rsidR="00BF29E6" w:rsidRPr="00A366DD" w:rsidRDefault="00BF29E6" w:rsidP="00907F25">
      <w:pPr>
        <w:pStyle w:val="Prrafodelista"/>
        <w:numPr>
          <w:ilvl w:val="0"/>
          <w:numId w:val="5"/>
        </w:numPr>
        <w:spacing w:after="240" w:line="360" w:lineRule="auto"/>
        <w:ind w:left="851"/>
        <w:jc w:val="both"/>
        <w:rPr>
          <w:rFonts w:ascii="ITC Avant Garde" w:hAnsi="ITC Avant Garde"/>
        </w:rPr>
      </w:pPr>
      <w:r w:rsidRPr="00A366DD">
        <w:rPr>
          <w:rFonts w:ascii="ITC Avant Garde" w:hAnsi="ITC Avant Garde"/>
        </w:rPr>
        <w:t xml:space="preserve">Que </w:t>
      </w:r>
      <w:r>
        <w:rPr>
          <w:rFonts w:ascii="ITC Avant Garde" w:hAnsi="ITC Avant Garde"/>
        </w:rPr>
        <w:t xml:space="preserve">las sanciones </w:t>
      </w:r>
      <w:r w:rsidRPr="00A366DD">
        <w:rPr>
          <w:rFonts w:ascii="ITC Avant Garde" w:hAnsi="ITC Avant Garde"/>
        </w:rPr>
        <w:t>cumplan con la función de inhibir la comisión de infracciones.</w:t>
      </w:r>
    </w:p>
    <w:p w14:paraId="0F20934C" w14:textId="77777777" w:rsidR="00BF29E6" w:rsidRPr="00A366DD" w:rsidRDefault="00BF29E6" w:rsidP="00907F25">
      <w:pPr>
        <w:pStyle w:val="Prrafodelista"/>
        <w:numPr>
          <w:ilvl w:val="0"/>
          <w:numId w:val="5"/>
        </w:numPr>
        <w:spacing w:after="240" w:line="360" w:lineRule="auto"/>
        <w:ind w:left="851"/>
        <w:jc w:val="both"/>
        <w:rPr>
          <w:rFonts w:ascii="ITC Avant Garde" w:hAnsi="ITC Avant Garde"/>
        </w:rPr>
      </w:pPr>
      <w:r w:rsidRPr="00A366DD">
        <w:rPr>
          <w:rFonts w:ascii="ITC Avant Garde" w:hAnsi="ITC Avant Garde"/>
        </w:rPr>
        <w:t>Que sean ejemplares.</w:t>
      </w:r>
    </w:p>
    <w:p w14:paraId="6FBF8C18" w14:textId="77777777" w:rsidR="00BF29E6" w:rsidRPr="00A366DD" w:rsidRDefault="00BF29E6" w:rsidP="00907F25">
      <w:pPr>
        <w:pStyle w:val="Prrafodelista"/>
        <w:numPr>
          <w:ilvl w:val="0"/>
          <w:numId w:val="5"/>
        </w:numPr>
        <w:spacing w:after="240" w:line="360" w:lineRule="auto"/>
        <w:ind w:left="851"/>
        <w:jc w:val="both"/>
        <w:rPr>
          <w:rFonts w:ascii="ITC Avant Garde" w:hAnsi="ITC Avant Garde"/>
        </w:rPr>
      </w:pPr>
      <w:r w:rsidRPr="00A366DD">
        <w:rPr>
          <w:rFonts w:ascii="ITC Avant Garde" w:hAnsi="ITC Avant Garde"/>
        </w:rPr>
        <w:t>Que atiendan primordialmente al ingreso del infractor.</w:t>
      </w:r>
    </w:p>
    <w:p w14:paraId="226E6B7B" w14:textId="77777777" w:rsidR="00BF29E6" w:rsidRPr="00A366DD" w:rsidRDefault="00BF29E6" w:rsidP="00907F25">
      <w:pPr>
        <w:pStyle w:val="Prrafodelista"/>
        <w:numPr>
          <w:ilvl w:val="0"/>
          <w:numId w:val="5"/>
        </w:numPr>
        <w:spacing w:after="240" w:line="360" w:lineRule="auto"/>
        <w:ind w:left="851"/>
        <w:jc w:val="both"/>
        <w:rPr>
          <w:rFonts w:ascii="ITC Avant Garde" w:hAnsi="ITC Avant Garde"/>
        </w:rPr>
      </w:pPr>
      <w:r w:rsidRPr="00A366DD">
        <w:rPr>
          <w:rFonts w:ascii="ITC Avant Garde" w:hAnsi="ITC Avant Garde"/>
        </w:rPr>
        <w:t xml:space="preserve">La propia </w:t>
      </w:r>
      <w:r w:rsidRPr="004B194F">
        <w:rPr>
          <w:rFonts w:ascii="ITC Avant Garde" w:hAnsi="ITC Avant Garde"/>
          <w:b/>
        </w:rPr>
        <w:t>LFTR</w:t>
      </w:r>
      <w:r w:rsidRPr="00A366DD">
        <w:rPr>
          <w:rFonts w:ascii="ITC Avant Garde" w:hAnsi="ITC Avant Garde"/>
        </w:rPr>
        <w:t xml:space="preserve"> cont</w:t>
      </w:r>
      <w:r>
        <w:rPr>
          <w:rFonts w:ascii="ITC Avant Garde" w:hAnsi="ITC Avant Garde"/>
        </w:rPr>
        <w:t>enga</w:t>
      </w:r>
      <w:r w:rsidRPr="00A366DD">
        <w:rPr>
          <w:rFonts w:ascii="ITC Avant Garde" w:hAnsi="ITC Avant Garde"/>
        </w:rPr>
        <w:t xml:space="preserve"> una graduación de las conductas.</w:t>
      </w:r>
    </w:p>
    <w:p w14:paraId="2D554DF8" w14:textId="77777777" w:rsidR="00E2222D" w:rsidRDefault="00BF29E6" w:rsidP="00907F25">
      <w:pPr>
        <w:pStyle w:val="Prrafodelista"/>
        <w:numPr>
          <w:ilvl w:val="0"/>
          <w:numId w:val="5"/>
        </w:numPr>
        <w:spacing w:after="240" w:line="360" w:lineRule="auto"/>
        <w:ind w:left="851"/>
        <w:jc w:val="both"/>
        <w:rPr>
          <w:rFonts w:ascii="ITC Avant Garde" w:hAnsi="ITC Avant Garde"/>
        </w:rPr>
      </w:pPr>
      <w:r w:rsidRPr="00A366DD">
        <w:rPr>
          <w:rFonts w:ascii="ITC Avant Garde" w:hAnsi="ITC Avant Garde"/>
        </w:rPr>
        <w:t>Que las multas sean mayores a las que establecía la legislación anterior la cual no cumplió con los fines pretendidos.</w:t>
      </w:r>
    </w:p>
    <w:p w14:paraId="6A0E179F" w14:textId="77777777" w:rsidR="00E2222D" w:rsidRDefault="00BF29E6" w:rsidP="00907F25">
      <w:pPr>
        <w:spacing w:after="240" w:line="360" w:lineRule="auto"/>
        <w:jc w:val="both"/>
        <w:rPr>
          <w:rFonts w:ascii="ITC Avant Garde" w:hAnsi="ITC Avant Garde"/>
        </w:rPr>
      </w:pPr>
      <w:r w:rsidRPr="00A366DD">
        <w:rPr>
          <w:rFonts w:ascii="ITC Avant Garde" w:hAnsi="ITC Avant Garde"/>
        </w:rPr>
        <w:t>A</w:t>
      </w:r>
      <w:r>
        <w:rPr>
          <w:rFonts w:ascii="ITC Avant Garde" w:hAnsi="ITC Avant Garde"/>
        </w:rPr>
        <w:t>tendiendo a lo anterior, el análisis de los efectos producidos por la conducta cometida y la afectación al bien jurídico tutelado</w:t>
      </w:r>
      <w:r w:rsidRPr="00A366DD">
        <w:rPr>
          <w:rFonts w:ascii="ITC Avant Garde" w:hAnsi="ITC Avant Garde"/>
        </w:rPr>
        <w:t xml:space="preserve"> permite</w:t>
      </w:r>
      <w:r>
        <w:rPr>
          <w:rFonts w:ascii="ITC Avant Garde" w:hAnsi="ITC Avant Garde"/>
        </w:rPr>
        <w:t>n a esta</w:t>
      </w:r>
      <w:r w:rsidRPr="00A366DD">
        <w:rPr>
          <w:rFonts w:ascii="ITC Avant Garde" w:hAnsi="ITC Avant Garde"/>
        </w:rPr>
        <w:t xml:space="preserve"> autoridad sancionadora determinar el monto de la multa </w:t>
      </w:r>
      <w:r>
        <w:rPr>
          <w:rFonts w:ascii="ITC Avant Garde" w:hAnsi="ITC Avant Garde"/>
        </w:rPr>
        <w:t>conforme a los parámetros</w:t>
      </w:r>
      <w:r w:rsidRPr="00A366DD">
        <w:rPr>
          <w:rFonts w:ascii="ITC Avant Garde" w:hAnsi="ITC Avant Garde"/>
        </w:rPr>
        <w:t xml:space="preserve"> establecidos en la propia </w:t>
      </w:r>
      <w:r w:rsidRPr="004B194F">
        <w:rPr>
          <w:rFonts w:ascii="ITC Avant Garde" w:hAnsi="ITC Avant Garde"/>
          <w:b/>
        </w:rPr>
        <w:t>LFTR</w:t>
      </w:r>
      <w:r w:rsidRPr="00702A23">
        <w:rPr>
          <w:rFonts w:ascii="ITC Avant Garde" w:hAnsi="ITC Avant Garde"/>
          <w:b/>
        </w:rPr>
        <w:t>.</w:t>
      </w:r>
    </w:p>
    <w:p w14:paraId="3F0A43CA" w14:textId="77777777" w:rsidR="00E2222D" w:rsidRDefault="00BF29E6" w:rsidP="00907F25">
      <w:pPr>
        <w:spacing w:after="240" w:line="360" w:lineRule="auto"/>
        <w:jc w:val="both"/>
        <w:rPr>
          <w:rFonts w:ascii="ITC Avant Garde" w:hAnsi="ITC Avant Garde"/>
        </w:rPr>
      </w:pPr>
      <w:r>
        <w:rPr>
          <w:rFonts w:ascii="ITC Avant Garde" w:hAnsi="ITC Avant Garde"/>
        </w:rPr>
        <w:t xml:space="preserve">En efecto, </w:t>
      </w:r>
      <w:r w:rsidRPr="006D5E0B">
        <w:rPr>
          <w:rFonts w:ascii="ITC Avant Garde" w:hAnsi="ITC Avant Garde"/>
        </w:rPr>
        <w:t xml:space="preserve">como fue analizado en páginas precedentes, la conducta sancionada se considera como </w:t>
      </w:r>
      <w:r>
        <w:rPr>
          <w:rFonts w:ascii="ITC Avant Garde" w:hAnsi="ITC Avant Garde"/>
          <w:b/>
        </w:rPr>
        <w:t>LE</w:t>
      </w:r>
      <w:r w:rsidRPr="006D5E0B">
        <w:rPr>
          <w:rFonts w:ascii="ITC Avant Garde" w:hAnsi="ITC Avant Garde"/>
          <w:b/>
        </w:rPr>
        <w:t>VE</w:t>
      </w:r>
      <w:r w:rsidRPr="006D5E0B">
        <w:rPr>
          <w:rFonts w:ascii="ITC Avant Garde" w:hAnsi="ITC Avant Garde"/>
        </w:rPr>
        <w:t xml:space="preserve"> por </w:t>
      </w:r>
      <w:r>
        <w:rPr>
          <w:rFonts w:ascii="ITC Avant Garde" w:hAnsi="ITC Avant Garde"/>
        </w:rPr>
        <w:t xml:space="preserve">la afectación a los usuarios del servicio de televisión por cable al no recibir la señal de un canal de Institución Pública Federal cuyo objetivo es </w:t>
      </w:r>
      <w:r>
        <w:rPr>
          <w:rFonts w:ascii="ITC Avant Garde" w:hAnsi="ITC Avant Garde"/>
        </w:rPr>
        <w:lastRenderedPageBreak/>
        <w:t>promover la cultura, los valores de la identidad nacional y el fomento al desarrollo de la niñez.</w:t>
      </w:r>
    </w:p>
    <w:p w14:paraId="6EDC8604" w14:textId="77777777" w:rsidR="00E2222D" w:rsidRDefault="00BF29E6" w:rsidP="00907F25">
      <w:pPr>
        <w:spacing w:after="240" w:line="360" w:lineRule="auto"/>
        <w:jc w:val="both"/>
        <w:rPr>
          <w:rFonts w:ascii="ITC Avant Garde" w:eastAsia="Times New Roman" w:hAnsi="ITC Avant Garde"/>
          <w:bCs/>
          <w:lang w:eastAsia="es-MX"/>
        </w:rPr>
      </w:pPr>
      <w:r>
        <w:rPr>
          <w:rFonts w:ascii="ITC Avant Garde" w:hAnsi="ITC Avant Garde"/>
        </w:rPr>
        <w:t xml:space="preserve">En ese orden de ideas, debe tenerse en cuenta que en el presente asunto se tuvo por acreditada la afectación al bien jurídico tutelado consistente en el derecho a </w:t>
      </w:r>
      <w:r w:rsidR="005131F9">
        <w:rPr>
          <w:rFonts w:ascii="ITC Avant Garde" w:hAnsi="ITC Avant Garde"/>
        </w:rPr>
        <w:t xml:space="preserve">recibir </w:t>
      </w:r>
      <w:r>
        <w:rPr>
          <w:rFonts w:ascii="ITC Avant Garde" w:hAnsi="ITC Avant Garde"/>
        </w:rPr>
        <w:t xml:space="preserve">la programación de un canal con las características antes mencionadas, </w:t>
      </w:r>
      <w:r w:rsidR="005131F9">
        <w:rPr>
          <w:rFonts w:ascii="ITC Avant Garde" w:hAnsi="ITC Avant Garde"/>
        </w:rPr>
        <w:t xml:space="preserve">por lo que en tal sentido y </w:t>
      </w:r>
      <w:r>
        <w:rPr>
          <w:rFonts w:ascii="ITC Avant Garde" w:eastAsia="Times New Roman" w:hAnsi="ITC Avant Garde"/>
          <w:bCs/>
          <w:lang w:eastAsia="es-MX"/>
        </w:rPr>
        <w:t xml:space="preserve">atendiendo a los motivos y fundamentos que han quedado expuestos a lo largo de la presente resolución, considerando que el monto de la multa debe ser suficiente para corregir su comisión y para inhibirla en lo futuro, </w:t>
      </w:r>
      <w:r w:rsidR="005131F9">
        <w:rPr>
          <w:rFonts w:ascii="ITC Avant Garde" w:eastAsia="Times New Roman" w:hAnsi="ITC Avant Garde"/>
          <w:bCs/>
          <w:lang w:eastAsia="es-MX"/>
        </w:rPr>
        <w:t xml:space="preserve">se </w:t>
      </w:r>
      <w:r>
        <w:rPr>
          <w:rFonts w:ascii="ITC Avant Garde" w:eastAsia="Times New Roman" w:hAnsi="ITC Avant Garde"/>
          <w:bCs/>
          <w:lang w:eastAsia="es-MX"/>
        </w:rPr>
        <w:t xml:space="preserve">considera procedente imponer </w:t>
      </w:r>
      <w:r>
        <w:rPr>
          <w:rFonts w:ascii="ITC Avant Garde" w:hAnsi="ITC Avant Garde"/>
          <w:color w:val="000000"/>
          <w:lang w:eastAsia="es-MX"/>
        </w:rPr>
        <w:t>a</w:t>
      </w:r>
      <w:r w:rsidR="005131F9">
        <w:rPr>
          <w:rFonts w:ascii="ITC Avant Garde" w:hAnsi="ITC Avant Garde"/>
          <w:color w:val="000000"/>
          <w:lang w:eastAsia="es-MX"/>
        </w:rPr>
        <w:t xml:space="preserve"> </w:t>
      </w:r>
      <w:r w:rsidR="005131F9">
        <w:rPr>
          <w:rFonts w:ascii="ITC Avant Garde" w:hAnsi="ITC Avant Garde"/>
          <w:b/>
          <w:color w:val="000000"/>
          <w:lang w:eastAsia="es-MX"/>
        </w:rPr>
        <w:t xml:space="preserve">MEGA CABLE </w:t>
      </w:r>
      <w:r w:rsidR="005131F9">
        <w:rPr>
          <w:rFonts w:ascii="ITC Avant Garde" w:hAnsi="ITC Avant Garde"/>
          <w:color w:val="000000"/>
          <w:lang w:eastAsia="es-MX"/>
        </w:rPr>
        <w:t>una multa superior al mínim</w:t>
      </w:r>
      <w:r w:rsidR="00C45EAC">
        <w:rPr>
          <w:rFonts w:ascii="ITC Avant Garde" w:hAnsi="ITC Avant Garde"/>
          <w:color w:val="000000"/>
          <w:lang w:eastAsia="es-MX"/>
        </w:rPr>
        <w:t>o previsto en ley conforme a lo</w:t>
      </w:r>
      <w:r w:rsidR="005131F9">
        <w:rPr>
          <w:rFonts w:ascii="ITC Avant Garde" w:hAnsi="ITC Avant Garde"/>
          <w:color w:val="000000"/>
          <w:lang w:eastAsia="es-MX"/>
        </w:rPr>
        <w:t xml:space="preserve"> siguiente.</w:t>
      </w:r>
      <w:r>
        <w:rPr>
          <w:rFonts w:ascii="ITC Avant Garde" w:hAnsi="ITC Avant Garde"/>
          <w:color w:val="000000"/>
          <w:lang w:eastAsia="es-MX"/>
        </w:rPr>
        <w:t xml:space="preserve">  </w:t>
      </w:r>
    </w:p>
    <w:p w14:paraId="45E5E08A" w14:textId="77777777" w:rsidR="00E2222D" w:rsidRDefault="005131F9" w:rsidP="00907F25">
      <w:pPr>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w:t>
      </w:r>
      <w:r w:rsidR="00EF2FD1">
        <w:rPr>
          <w:rFonts w:ascii="ITC Avant Garde" w:eastAsia="Times New Roman" w:hAnsi="ITC Avant Garde"/>
          <w:bCs/>
          <w:color w:val="000000"/>
          <w:lang w:eastAsia="es-MX"/>
        </w:rPr>
        <w:t>l haberse acreditado e</w:t>
      </w:r>
      <w:r w:rsidR="00EF2FD1" w:rsidRPr="00B215CD">
        <w:rPr>
          <w:rFonts w:ascii="ITC Avant Garde" w:eastAsia="Times New Roman" w:hAnsi="ITC Avant Garde"/>
          <w:bCs/>
          <w:color w:val="000000"/>
          <w:lang w:eastAsia="es-MX"/>
        </w:rPr>
        <w:t xml:space="preserve">l incumplimiento a lo establecido </w:t>
      </w:r>
      <w:r w:rsidR="00EF2FD1" w:rsidRPr="00B215CD">
        <w:rPr>
          <w:rFonts w:ascii="ITC Avant Garde" w:hAnsi="ITC Avant Garde"/>
          <w:color w:val="000000"/>
        </w:rPr>
        <w:t xml:space="preserve">en el </w:t>
      </w:r>
      <w:r w:rsidR="00EF2FD1">
        <w:rPr>
          <w:rFonts w:ascii="ITC Avant Garde" w:hAnsi="ITC Avant Garde"/>
          <w:b/>
        </w:rPr>
        <w:t>Artículo 12</w:t>
      </w:r>
      <w:r w:rsidR="00EF2FD1">
        <w:rPr>
          <w:rFonts w:ascii="ITC Avant Garde" w:hAnsi="ITC Avant Garde"/>
        </w:rPr>
        <w:t xml:space="preserve"> de los </w:t>
      </w:r>
      <w:r w:rsidR="00EF2FD1">
        <w:rPr>
          <w:rFonts w:ascii="ITC Avant Garde" w:hAnsi="ITC Avant Garde"/>
          <w:b/>
        </w:rPr>
        <w:t xml:space="preserve">LINEAMIENTOS, </w:t>
      </w:r>
      <w:r w:rsidR="00EF2FD1">
        <w:rPr>
          <w:rFonts w:ascii="ITC Avant Garde" w:hAnsi="ITC Avant Garde"/>
        </w:rPr>
        <w:t xml:space="preserve">sus respectivas modificaciones contenidas en el </w:t>
      </w:r>
      <w:r w:rsidR="00EF2FD1">
        <w:rPr>
          <w:rFonts w:ascii="ITC Avant Garde" w:hAnsi="ITC Avant Garde"/>
          <w:b/>
        </w:rPr>
        <w:t xml:space="preserve">ACUERDO MODIFICATORIO; </w:t>
      </w:r>
      <w:r w:rsidR="00EF2FD1">
        <w:rPr>
          <w:rFonts w:ascii="ITC Avant Garde" w:hAnsi="ITC Avant Garde"/>
        </w:rPr>
        <w:t xml:space="preserve">el </w:t>
      </w:r>
      <w:r w:rsidR="00EF2FD1">
        <w:rPr>
          <w:rFonts w:ascii="ITC Avant Garde" w:hAnsi="ITC Avant Garde"/>
          <w:b/>
        </w:rPr>
        <w:t xml:space="preserve">LISTADO </w:t>
      </w:r>
      <w:r w:rsidR="00EF2FD1">
        <w:rPr>
          <w:rFonts w:ascii="ITC Avant Garde" w:hAnsi="ITC Avant Garde"/>
        </w:rPr>
        <w:t xml:space="preserve">y sus correspondientes </w:t>
      </w:r>
      <w:r w:rsidR="00EF2FD1">
        <w:rPr>
          <w:rFonts w:ascii="ITC Avant Garde" w:hAnsi="ITC Avant Garde"/>
          <w:b/>
        </w:rPr>
        <w:t>ACTUALIZACIONES,</w:t>
      </w:r>
      <w:r w:rsidR="00EF2FD1" w:rsidRPr="00B215CD">
        <w:rPr>
          <w:rFonts w:ascii="ITC Avant Garde" w:hAnsi="ITC Avant Garde"/>
          <w:color w:val="000000"/>
        </w:rPr>
        <w:t xml:space="preserve"> </w:t>
      </w:r>
      <w:r w:rsidR="00EF2FD1">
        <w:rPr>
          <w:rFonts w:ascii="ITC Avant Garde" w:hAnsi="ITC Avant Garde"/>
          <w:color w:val="000000"/>
        </w:rPr>
        <w:t xml:space="preserve">se </w:t>
      </w:r>
      <w:r w:rsidR="00EF2FD1" w:rsidRPr="00B215CD">
        <w:rPr>
          <w:rFonts w:ascii="ITC Avant Garde" w:eastAsia="Times New Roman" w:hAnsi="ITC Avant Garde"/>
          <w:bCs/>
          <w:color w:val="000000"/>
          <w:lang w:eastAsia="es-MX"/>
        </w:rPr>
        <w:t xml:space="preserve">actualiza el supuesto normativo previsto en el artículo 298, apartado B) fracción IV de la </w:t>
      </w:r>
      <w:r w:rsidR="00EF2FD1">
        <w:rPr>
          <w:rFonts w:ascii="ITC Avant Garde" w:eastAsia="Times New Roman" w:hAnsi="ITC Avant Garde"/>
          <w:b/>
          <w:bCs/>
          <w:color w:val="000000"/>
          <w:lang w:eastAsia="es-MX"/>
        </w:rPr>
        <w:t>LFTR</w:t>
      </w:r>
      <w:r w:rsidR="00EF2FD1" w:rsidRPr="00B215CD">
        <w:rPr>
          <w:rFonts w:ascii="ITC Avant Garde" w:eastAsia="Times New Roman" w:hAnsi="ITC Avant Garde"/>
          <w:bCs/>
          <w:color w:val="000000"/>
          <w:lang w:eastAsia="es-MX"/>
        </w:rPr>
        <w:t xml:space="preserve"> que a la letra señala:</w:t>
      </w:r>
    </w:p>
    <w:p w14:paraId="28B72816" w14:textId="77777777" w:rsidR="00E2222D" w:rsidRDefault="00EF2FD1" w:rsidP="00907F25">
      <w:pPr>
        <w:spacing w:after="240" w:line="360" w:lineRule="auto"/>
        <w:ind w:left="851" w:right="900"/>
        <w:jc w:val="both"/>
        <w:rPr>
          <w:rFonts w:ascii="ITC Avant Garde" w:hAnsi="ITC Avant Garde"/>
          <w:i/>
          <w:color w:val="000000"/>
          <w:sz w:val="20"/>
          <w:szCs w:val="20"/>
          <w:lang w:val="x-none"/>
        </w:rPr>
      </w:pPr>
      <w:r w:rsidRPr="00C07B97">
        <w:rPr>
          <w:rFonts w:ascii="ITC Avant Garde" w:hAnsi="ITC Avant Garde"/>
          <w:b/>
          <w:i/>
          <w:color w:val="000000"/>
          <w:sz w:val="20"/>
          <w:szCs w:val="20"/>
        </w:rPr>
        <w:t>“</w:t>
      </w:r>
      <w:r w:rsidRPr="00C07B97">
        <w:rPr>
          <w:rFonts w:ascii="ITC Avant Garde" w:hAnsi="ITC Avant Garde"/>
          <w:b/>
          <w:i/>
          <w:color w:val="000000"/>
          <w:sz w:val="20"/>
          <w:szCs w:val="20"/>
          <w:lang w:val="x-none"/>
        </w:rPr>
        <w:t>Artículo 298.</w:t>
      </w:r>
      <w:r w:rsidRPr="00C07B97">
        <w:rPr>
          <w:rFonts w:ascii="ITC Avant Garde" w:hAnsi="ITC Avant Garde"/>
          <w:i/>
          <w:color w:val="000000"/>
          <w:sz w:val="20"/>
          <w:szCs w:val="20"/>
          <w:lang w:val="x-none"/>
        </w:rPr>
        <w:t xml:space="preserve"> Las infracciones a lo dispuesto en esta Ley </w:t>
      </w:r>
      <w:r w:rsidRPr="00C07B97">
        <w:rPr>
          <w:rFonts w:ascii="ITC Avant Garde" w:hAnsi="ITC Avant Garde"/>
          <w:b/>
          <w:i/>
          <w:color w:val="000000"/>
          <w:sz w:val="20"/>
          <w:szCs w:val="20"/>
          <w:u w:val="single"/>
          <w:lang w:val="x-none"/>
        </w:rPr>
        <w:t>y a las disposiciones que deriven de ella</w:t>
      </w:r>
      <w:r w:rsidRPr="00C07B97">
        <w:rPr>
          <w:rFonts w:ascii="ITC Avant Garde" w:hAnsi="ITC Avant Garde"/>
          <w:i/>
          <w:color w:val="000000"/>
          <w:sz w:val="20"/>
          <w:szCs w:val="20"/>
          <w:lang w:val="x-none"/>
        </w:rPr>
        <w:t xml:space="preserve">, se sancionarán por el Instituto de conformidad con lo siguiente: </w:t>
      </w:r>
      <w:r w:rsidRPr="00C07B97">
        <w:rPr>
          <w:rFonts w:ascii="ITC Avant Garde" w:hAnsi="ITC Avant Garde"/>
          <w:i/>
          <w:color w:val="000000"/>
          <w:sz w:val="20"/>
          <w:szCs w:val="20"/>
          <w:lang w:val="x-none"/>
        </w:rPr>
        <w:cr/>
        <w:t>…</w:t>
      </w:r>
    </w:p>
    <w:p w14:paraId="2549E379" w14:textId="1EE3EAE5" w:rsidR="00EF2FD1" w:rsidRPr="00C07B97" w:rsidRDefault="00EF2FD1" w:rsidP="00907F25">
      <w:pPr>
        <w:spacing w:after="240" w:line="360" w:lineRule="auto"/>
        <w:ind w:left="851" w:right="900"/>
        <w:jc w:val="both"/>
        <w:rPr>
          <w:rFonts w:ascii="ITC Avant Garde" w:hAnsi="ITC Avant Garde"/>
          <w:i/>
          <w:color w:val="000000"/>
          <w:sz w:val="20"/>
          <w:szCs w:val="20"/>
          <w:lang w:val="x-none"/>
        </w:rPr>
      </w:pPr>
      <w:r w:rsidRPr="00C07B97">
        <w:rPr>
          <w:rFonts w:ascii="ITC Avant Garde" w:hAnsi="ITC Avant Garde"/>
          <w:i/>
          <w:color w:val="000000"/>
          <w:sz w:val="20"/>
          <w:szCs w:val="20"/>
          <w:lang w:val="x-none"/>
        </w:rPr>
        <w:t xml:space="preserve">B). Con multa por el equivalente de </w:t>
      </w:r>
      <w:r w:rsidRPr="00C07B97">
        <w:rPr>
          <w:rFonts w:ascii="ITC Avant Garde" w:hAnsi="ITC Avant Garde"/>
          <w:b/>
          <w:i/>
          <w:color w:val="000000"/>
          <w:sz w:val="20"/>
          <w:szCs w:val="20"/>
          <w:u w:val="single"/>
          <w:lang w:val="x-none"/>
        </w:rPr>
        <w:t>1% hasta 3% de los ingresos del concesionario o autorizado</w:t>
      </w:r>
      <w:r w:rsidRPr="00C07B97">
        <w:rPr>
          <w:rFonts w:ascii="ITC Avant Garde" w:hAnsi="ITC Avant Garde"/>
          <w:i/>
          <w:color w:val="000000"/>
          <w:sz w:val="20"/>
          <w:szCs w:val="20"/>
          <w:lang w:val="x-none"/>
        </w:rPr>
        <w:t xml:space="preserve"> por:</w:t>
      </w:r>
    </w:p>
    <w:p w14:paraId="1EA85414" w14:textId="77777777" w:rsidR="00EF2FD1" w:rsidRPr="00C07B97" w:rsidRDefault="00EF2FD1" w:rsidP="00907F25">
      <w:pPr>
        <w:spacing w:after="240" w:line="360" w:lineRule="auto"/>
        <w:ind w:left="851" w:right="900"/>
        <w:jc w:val="both"/>
        <w:rPr>
          <w:rFonts w:ascii="ITC Avant Garde" w:hAnsi="ITC Avant Garde"/>
          <w:i/>
          <w:color w:val="000000"/>
          <w:sz w:val="20"/>
          <w:szCs w:val="20"/>
          <w:lang w:val="x-none"/>
        </w:rPr>
      </w:pPr>
      <w:r w:rsidRPr="00C07B97">
        <w:rPr>
          <w:rFonts w:ascii="ITC Avant Garde" w:hAnsi="ITC Avant Garde"/>
          <w:i/>
          <w:color w:val="000000"/>
          <w:sz w:val="20"/>
          <w:szCs w:val="20"/>
        </w:rPr>
        <w:t>…</w:t>
      </w:r>
    </w:p>
    <w:p w14:paraId="3108AB0A" w14:textId="77777777" w:rsidR="00144100" w:rsidRDefault="00EF2FD1" w:rsidP="00907F25">
      <w:pPr>
        <w:pStyle w:val="Estilo"/>
        <w:tabs>
          <w:tab w:val="left" w:pos="8364"/>
        </w:tabs>
        <w:spacing w:after="240" w:line="360" w:lineRule="auto"/>
        <w:ind w:left="851" w:right="900"/>
        <w:rPr>
          <w:rFonts w:ascii="ITC Avant Garde" w:hAnsi="ITC Avant Garde"/>
          <w:i/>
          <w:color w:val="000000"/>
          <w:sz w:val="20"/>
          <w:szCs w:val="20"/>
        </w:rPr>
        <w:sectPr w:rsidR="00144100" w:rsidSect="00802C6F">
          <w:headerReference w:type="default" r:id="rId46"/>
          <w:pgSz w:w="12240" w:h="15840"/>
          <w:pgMar w:top="2126" w:right="1325" w:bottom="1701" w:left="1701" w:header="709" w:footer="962" w:gutter="0"/>
          <w:cols w:space="708"/>
          <w:docGrid w:linePitch="360"/>
        </w:sectPr>
      </w:pPr>
      <w:r w:rsidRPr="00C07B97">
        <w:rPr>
          <w:rFonts w:ascii="ITC Avant Garde" w:hAnsi="ITC Avant Garde"/>
          <w:b/>
          <w:i/>
          <w:color w:val="000000"/>
          <w:sz w:val="20"/>
          <w:szCs w:val="20"/>
        </w:rPr>
        <w:t>IV.</w:t>
      </w:r>
      <w:r w:rsidRPr="00C07B97">
        <w:rPr>
          <w:rFonts w:ascii="ITC Avant Garde" w:hAnsi="ITC Avant Garde"/>
          <w:i/>
          <w:color w:val="000000"/>
          <w:sz w:val="20"/>
          <w:szCs w:val="20"/>
        </w:rPr>
        <w:t xml:space="preserve"> </w:t>
      </w:r>
      <w:r w:rsidRPr="00C07B97">
        <w:rPr>
          <w:rFonts w:ascii="ITC Avant Garde" w:hAnsi="ITC Avant Garde"/>
          <w:b/>
          <w:i/>
          <w:color w:val="000000"/>
          <w:sz w:val="20"/>
          <w:szCs w:val="20"/>
          <w:u w:val="single"/>
        </w:rPr>
        <w:t>Otras violaciones a esta Ley, a los Reglamentos, a las disposiciones administrativas, planes técnicos fundamentales y demás disposiciones emitidas por el Instituto</w:t>
      </w:r>
      <w:r w:rsidRPr="00C07B97">
        <w:rPr>
          <w:rFonts w:ascii="ITC Avant Garde" w:hAnsi="ITC Avant Garde"/>
          <w:i/>
          <w:color w:val="000000"/>
          <w:sz w:val="20"/>
          <w:szCs w:val="20"/>
        </w:rPr>
        <w:t>; así como a las concesiones o autorizaciones que no estén expresamente contempladas en el presente capítulo.,</w:t>
      </w:r>
    </w:p>
    <w:p w14:paraId="2FF12DF5" w14:textId="77777777" w:rsidR="00EF2FD1" w:rsidRPr="00C07B97" w:rsidRDefault="00EF2FD1" w:rsidP="00907F25">
      <w:pPr>
        <w:pStyle w:val="Estilo"/>
        <w:tabs>
          <w:tab w:val="left" w:pos="8364"/>
        </w:tabs>
        <w:spacing w:after="240" w:line="360" w:lineRule="auto"/>
        <w:ind w:left="851" w:right="900"/>
        <w:rPr>
          <w:rFonts w:ascii="ITC Avant Garde" w:hAnsi="ITC Avant Garde"/>
          <w:i/>
          <w:color w:val="000000"/>
          <w:sz w:val="20"/>
          <w:szCs w:val="20"/>
        </w:rPr>
      </w:pPr>
      <w:r w:rsidRPr="00C07B97">
        <w:rPr>
          <w:rFonts w:ascii="ITC Avant Garde" w:hAnsi="ITC Avant Garde"/>
          <w:i/>
          <w:color w:val="000000"/>
          <w:sz w:val="20"/>
          <w:szCs w:val="20"/>
        </w:rPr>
        <w:lastRenderedPageBreak/>
        <w:t>…”</w:t>
      </w:r>
      <w:r w:rsidRPr="00C07B97" w:rsidDel="0086575B">
        <w:rPr>
          <w:rFonts w:ascii="ITC Avant Garde" w:eastAsia="Times New Roman" w:hAnsi="ITC Avant Garde"/>
          <w:bCs/>
          <w:i/>
          <w:color w:val="000000"/>
          <w:sz w:val="20"/>
          <w:szCs w:val="20"/>
          <w:lang w:eastAsia="es-MX"/>
        </w:rPr>
        <w:t xml:space="preserve"> </w:t>
      </w:r>
    </w:p>
    <w:p w14:paraId="5CB6835F" w14:textId="77777777" w:rsidR="00E2222D" w:rsidRDefault="00EF2FD1" w:rsidP="00907F25">
      <w:pPr>
        <w:pStyle w:val="Textoindependiente"/>
        <w:tabs>
          <w:tab w:val="left" w:pos="993"/>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Por otra parte, al haberse declarado la inconstitucionalidad del monto mínimo previsto en el citado precepto legal en favor de </w:t>
      </w:r>
      <w:r w:rsidRPr="00C07B97">
        <w:rPr>
          <w:rFonts w:ascii="ITC Avant Garde" w:eastAsia="Times New Roman" w:hAnsi="ITC Avant Garde"/>
          <w:b/>
          <w:bCs/>
          <w:color w:val="000000"/>
          <w:lang w:eastAsia="es-MX"/>
        </w:rPr>
        <w:t>MEGA CABLE</w:t>
      </w:r>
      <w:r>
        <w:rPr>
          <w:rFonts w:ascii="ITC Avant Garde" w:eastAsia="Times New Roman" w:hAnsi="ITC Avant Garde"/>
          <w:bCs/>
          <w:color w:val="000000"/>
          <w:lang w:eastAsia="es-MX"/>
        </w:rPr>
        <w:t xml:space="preserve">, el monto mínimo que esta autoridad considerará en la presente resolución es el </w:t>
      </w:r>
      <w:r w:rsidR="00F971BD">
        <w:rPr>
          <w:rFonts w:ascii="ITC Avant Garde" w:eastAsia="Times New Roman" w:hAnsi="ITC Avant Garde"/>
          <w:bCs/>
          <w:color w:val="000000"/>
          <w:lang w:eastAsia="es-MX"/>
        </w:rPr>
        <w:t>previsto en el inciso A) del mismo precepto legal que corresponde al</w:t>
      </w:r>
      <w:r>
        <w:rPr>
          <w:rFonts w:ascii="ITC Avant Garde" w:eastAsia="Times New Roman" w:hAnsi="ITC Avant Garde"/>
          <w:bCs/>
          <w:color w:val="000000"/>
          <w:lang w:eastAsia="es-MX"/>
        </w:rPr>
        <w:t>0.01% de los ingresos acumulables del infractor</w:t>
      </w:r>
      <w:r w:rsidR="00F971BD">
        <w:rPr>
          <w:rFonts w:ascii="ITC Avant Garde" w:eastAsia="Times New Roman" w:hAnsi="ITC Avant Garde"/>
          <w:bCs/>
          <w:color w:val="000000"/>
          <w:lang w:eastAsia="es-MX"/>
        </w:rPr>
        <w:t>, porcentaje a partir del cual se calculará la multa que en su caso proceda imponer</w:t>
      </w:r>
      <w:r>
        <w:rPr>
          <w:rFonts w:ascii="ITC Avant Garde" w:eastAsia="Times New Roman" w:hAnsi="ITC Avant Garde"/>
          <w:bCs/>
          <w:color w:val="000000"/>
          <w:lang w:eastAsia="es-MX"/>
        </w:rPr>
        <w:t>.</w:t>
      </w:r>
    </w:p>
    <w:p w14:paraId="4086C3E0" w14:textId="77777777" w:rsidR="00E2222D" w:rsidRDefault="00EF2FD1" w:rsidP="00907F25">
      <w:pPr>
        <w:pStyle w:val="Textoindependiente"/>
        <w:tabs>
          <w:tab w:val="left" w:pos="993"/>
        </w:tabs>
        <w:spacing w:after="240" w:line="360" w:lineRule="auto"/>
        <w:jc w:val="both"/>
        <w:rPr>
          <w:rFonts w:ascii="ITC Avant Garde" w:eastAsia="Times New Roman" w:hAnsi="ITC Avant Garde"/>
          <w:bCs/>
          <w:color w:val="000000"/>
          <w:lang w:eastAsia="es-MX"/>
        </w:rPr>
      </w:pPr>
      <w:r w:rsidRPr="00C07B97">
        <w:rPr>
          <w:rFonts w:ascii="ITC Avant Garde" w:eastAsia="Times New Roman" w:hAnsi="ITC Avant Garde"/>
          <w:bCs/>
          <w:color w:val="000000"/>
          <w:lang w:eastAsia="es-MX"/>
        </w:rPr>
        <w:t xml:space="preserve">Así, con base en las consideraciones señaladas y tomando en </w:t>
      </w:r>
      <w:r w:rsidR="00E975EB">
        <w:rPr>
          <w:rFonts w:ascii="ITC Avant Garde" w:eastAsia="Times New Roman" w:hAnsi="ITC Avant Garde"/>
          <w:bCs/>
          <w:color w:val="000000"/>
          <w:lang w:eastAsia="es-MX"/>
        </w:rPr>
        <w:t xml:space="preserve">cuenta </w:t>
      </w:r>
      <w:r w:rsidRPr="00C07B97">
        <w:rPr>
          <w:rFonts w:ascii="ITC Avant Garde" w:eastAsia="Times New Roman" w:hAnsi="ITC Avant Garde"/>
          <w:bCs/>
          <w:color w:val="000000"/>
          <w:lang w:eastAsia="es-MX"/>
        </w:rPr>
        <w:t xml:space="preserve">que el monto de la sanción debe ser congruente con la gravedad de la conducta imputada, la afectación causada y la capacidad económica del infractor, se estima justo y equitativo imponer </w:t>
      </w:r>
      <w:r w:rsidR="005131F9">
        <w:rPr>
          <w:rFonts w:ascii="ITC Avant Garde" w:eastAsia="Times New Roman" w:hAnsi="ITC Avant Garde"/>
          <w:bCs/>
          <w:color w:val="000000"/>
          <w:lang w:eastAsia="es-MX"/>
        </w:rPr>
        <w:t xml:space="preserve">a </w:t>
      </w:r>
      <w:r w:rsidR="005131F9">
        <w:rPr>
          <w:rFonts w:ascii="ITC Avant Garde" w:eastAsia="Times New Roman" w:hAnsi="ITC Avant Garde"/>
          <w:b/>
          <w:bCs/>
          <w:color w:val="000000"/>
          <w:lang w:eastAsia="es-MX"/>
        </w:rPr>
        <w:t xml:space="preserve">MEGA CABLE </w:t>
      </w:r>
      <w:r w:rsidRPr="00C07B97">
        <w:rPr>
          <w:rFonts w:ascii="ITC Avant Garde" w:eastAsia="Times New Roman" w:hAnsi="ITC Avant Garde"/>
          <w:bCs/>
          <w:color w:val="000000"/>
          <w:lang w:eastAsia="es-MX"/>
        </w:rPr>
        <w:t xml:space="preserve">una sanción por el 0.1% de </w:t>
      </w:r>
      <w:r w:rsidR="005131F9">
        <w:rPr>
          <w:rFonts w:ascii="ITC Avant Garde" w:eastAsia="Times New Roman" w:hAnsi="ITC Avant Garde"/>
          <w:bCs/>
          <w:color w:val="000000"/>
          <w:lang w:eastAsia="es-MX"/>
        </w:rPr>
        <w:t>sus</w:t>
      </w:r>
      <w:r w:rsidR="005131F9" w:rsidRPr="00C07B97">
        <w:rPr>
          <w:rFonts w:ascii="ITC Avant Garde" w:eastAsia="Times New Roman" w:hAnsi="ITC Avant Garde"/>
          <w:bCs/>
          <w:color w:val="000000"/>
          <w:lang w:eastAsia="es-MX"/>
        </w:rPr>
        <w:t xml:space="preserve"> </w:t>
      </w:r>
      <w:r w:rsidRPr="00C07B97">
        <w:rPr>
          <w:rFonts w:ascii="ITC Avant Garde" w:eastAsia="Times New Roman" w:hAnsi="ITC Avant Garde"/>
          <w:bCs/>
          <w:color w:val="000000"/>
          <w:lang w:eastAsia="es-MX"/>
        </w:rPr>
        <w:t xml:space="preserve">ingresos acumulables </w:t>
      </w:r>
      <w:r w:rsidR="005131F9">
        <w:rPr>
          <w:rFonts w:ascii="ITC Avant Garde" w:eastAsia="Times New Roman" w:hAnsi="ITC Avant Garde"/>
          <w:bCs/>
          <w:color w:val="000000"/>
          <w:lang w:eastAsia="es-MX"/>
        </w:rPr>
        <w:t>en el ejercicio fiscal dos mil catorce</w:t>
      </w:r>
      <w:r w:rsidRPr="00C07B97">
        <w:rPr>
          <w:rFonts w:ascii="ITC Avant Garde" w:eastAsia="Times New Roman" w:hAnsi="ITC Avant Garde"/>
          <w:bCs/>
          <w:color w:val="000000"/>
          <w:lang w:eastAsia="es-MX"/>
        </w:rPr>
        <w:t xml:space="preserve">, porcentaje que se encuentra por encima del mínimo previsto por la Ley para las conductas de naturaleza documental, pero por debajo de </w:t>
      </w:r>
      <w:r w:rsidR="008D3D19">
        <w:rPr>
          <w:rFonts w:ascii="ITC Avant Garde" w:eastAsia="Times New Roman" w:hAnsi="ITC Avant Garde"/>
          <w:bCs/>
          <w:color w:val="000000"/>
          <w:lang w:eastAsia="es-MX"/>
        </w:rPr>
        <w:t xml:space="preserve">la multa aplicable a </w:t>
      </w:r>
      <w:r w:rsidRPr="00C07B97">
        <w:rPr>
          <w:rFonts w:ascii="ITC Avant Garde" w:eastAsia="Times New Roman" w:hAnsi="ITC Avant Garde"/>
          <w:bCs/>
          <w:color w:val="000000"/>
          <w:lang w:eastAsia="es-MX"/>
        </w:rPr>
        <w:t>las conductas que restringen de manera total derechos de los usuarios de los servicios.</w:t>
      </w:r>
    </w:p>
    <w:p w14:paraId="041B63D6" w14:textId="6531CEA8" w:rsidR="00E2222D" w:rsidRDefault="00E975EB" w:rsidP="00907F25">
      <w:pPr>
        <w:spacing w:after="240" w:line="360" w:lineRule="auto"/>
        <w:ind w:right="49"/>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De igual forma debe tomarse en consideración que el porcentaje del 0.1</w:t>
      </w:r>
      <w:r w:rsidR="00F971BD">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a que se </w:t>
      </w:r>
      <w:r w:rsidR="00F971BD">
        <w:rPr>
          <w:rFonts w:ascii="ITC Avant Garde" w:eastAsia="Times New Roman" w:hAnsi="ITC Avant Garde"/>
          <w:bCs/>
          <w:color w:val="000000"/>
          <w:lang w:eastAsia="es-MX"/>
        </w:rPr>
        <w:t>contrae la presente resolución</w:t>
      </w:r>
      <w:r>
        <w:rPr>
          <w:rFonts w:ascii="ITC Avant Garde" w:eastAsia="Times New Roman" w:hAnsi="ITC Avant Garde"/>
          <w:bCs/>
          <w:color w:val="000000"/>
          <w:lang w:eastAsia="es-MX"/>
        </w:rPr>
        <w:t xml:space="preserve"> </w:t>
      </w:r>
      <w:r w:rsidR="00F971BD">
        <w:rPr>
          <w:rFonts w:ascii="ITC Avant Garde" w:eastAsia="Times New Roman" w:hAnsi="ITC Avant Garde"/>
          <w:bCs/>
          <w:color w:val="000000"/>
          <w:lang w:eastAsia="es-MX"/>
        </w:rPr>
        <w:t>se ubica</w:t>
      </w:r>
      <w:r>
        <w:rPr>
          <w:rFonts w:ascii="ITC Avant Garde" w:eastAsia="Times New Roman" w:hAnsi="ITC Avant Garde"/>
          <w:bCs/>
          <w:color w:val="000000"/>
          <w:lang w:eastAsia="es-MX"/>
        </w:rPr>
        <w:t xml:space="preserve"> en el </w:t>
      </w:r>
      <w:r w:rsidR="00BC12C3">
        <w:rPr>
          <w:rFonts w:ascii="ITC Avant Garde" w:eastAsia="Times New Roman" w:hAnsi="ITC Avant Garde"/>
          <w:bCs/>
          <w:color w:val="000000"/>
          <w:lang w:eastAsia="es-MX"/>
        </w:rPr>
        <w:t>s</w:t>
      </w:r>
      <w:r>
        <w:rPr>
          <w:rFonts w:ascii="ITC Avant Garde" w:eastAsia="Times New Roman" w:hAnsi="ITC Avant Garde"/>
          <w:bCs/>
          <w:color w:val="000000"/>
          <w:lang w:eastAsia="es-MX"/>
        </w:rPr>
        <w:t>iguiente escalón decimal de la sanción menos gravosa prevista en el supra citado artículo 298, inciso A, y dicha determinación atiende a que la afectación causada se consideró leve en virtud del análisis hecho con anterioridad.</w:t>
      </w:r>
      <w:r w:rsidR="00AC392B" w:rsidRPr="00AC392B">
        <w:rPr>
          <w:rFonts w:asciiTheme="minorHAnsi" w:hAnsiTheme="minorHAnsi" w:cstheme="minorHAnsi"/>
          <w:noProof/>
          <w:sz w:val="16"/>
        </w:rPr>
        <w:t xml:space="preserve"> </w:t>
      </w:r>
    </w:p>
    <w:p w14:paraId="629D2DB8" w14:textId="77777777" w:rsidR="00144100" w:rsidRDefault="00EF2FD1" w:rsidP="00907F25">
      <w:pPr>
        <w:pStyle w:val="Listavistosa-nfasis11"/>
        <w:spacing w:after="240" w:line="360" w:lineRule="auto"/>
        <w:ind w:left="0" w:right="49"/>
        <w:jc w:val="both"/>
        <w:rPr>
          <w:rFonts w:ascii="ITC Avant Garde" w:eastAsia="Times New Roman" w:hAnsi="ITC Avant Garde"/>
          <w:bCs/>
          <w:color w:val="000000"/>
          <w:lang w:eastAsia="es-MX"/>
        </w:rPr>
        <w:sectPr w:rsidR="00144100" w:rsidSect="00802C6F">
          <w:headerReference w:type="default" r:id="rId47"/>
          <w:pgSz w:w="12240" w:h="15840"/>
          <w:pgMar w:top="2126" w:right="1325" w:bottom="1701" w:left="1701" w:header="709" w:footer="962" w:gutter="0"/>
          <w:cols w:space="708"/>
          <w:docGrid w:linePitch="360"/>
        </w:sectPr>
      </w:pPr>
      <w:r w:rsidRPr="00441FDE">
        <w:rPr>
          <w:rFonts w:ascii="ITC Avant Garde" w:eastAsia="Times New Roman" w:hAnsi="ITC Avant Garde"/>
          <w:bCs/>
          <w:color w:val="000000"/>
          <w:lang w:eastAsia="es-MX"/>
        </w:rPr>
        <w:t xml:space="preserve">En razón de lo anterior, tomando en consideración las constancias que obran en el presente expediente, así como atendiendo a que </w:t>
      </w:r>
      <w:r>
        <w:rPr>
          <w:rFonts w:ascii="ITC Avant Garde" w:eastAsia="Times New Roman" w:hAnsi="ITC Avant Garde"/>
          <w:b/>
          <w:bCs/>
          <w:color w:val="000000"/>
          <w:lang w:eastAsia="es-MX"/>
        </w:rPr>
        <w:t>MEGA CABLE</w:t>
      </w:r>
      <w:r w:rsidRPr="00441FDE">
        <w:rPr>
          <w:rFonts w:ascii="ITC Avant Garde" w:eastAsia="Times New Roman" w:hAnsi="ITC Avant Garde"/>
          <w:b/>
          <w:bCs/>
          <w:color w:val="000000"/>
          <w:lang w:eastAsia="es-MX"/>
        </w:rPr>
        <w:t xml:space="preserve"> </w:t>
      </w:r>
      <w:r w:rsidRPr="00441FDE">
        <w:rPr>
          <w:rFonts w:ascii="ITC Avant Garde" w:eastAsia="Times New Roman" w:hAnsi="ITC Avant Garde"/>
          <w:bCs/>
          <w:color w:val="000000"/>
          <w:lang w:eastAsia="es-MX"/>
        </w:rPr>
        <w:t xml:space="preserve">infringió lo establecido en </w:t>
      </w:r>
      <w:r>
        <w:rPr>
          <w:rFonts w:ascii="ITC Avant Garde" w:eastAsia="Times New Roman" w:hAnsi="ITC Avant Garde"/>
          <w:bCs/>
          <w:color w:val="000000"/>
          <w:lang w:eastAsia="es-MX"/>
        </w:rPr>
        <w:t xml:space="preserve">el </w:t>
      </w:r>
      <w:r>
        <w:rPr>
          <w:rFonts w:ascii="ITC Avant Garde" w:hAnsi="ITC Avant Garde"/>
          <w:b/>
        </w:rPr>
        <w:t>Artículo 12</w:t>
      </w:r>
      <w:r>
        <w:rPr>
          <w:rFonts w:ascii="ITC Avant Garde" w:hAnsi="ITC Avant Garde"/>
        </w:rPr>
        <w:t xml:space="preserve"> de los </w:t>
      </w:r>
      <w:r>
        <w:rPr>
          <w:rFonts w:ascii="ITC Avant Garde" w:hAnsi="ITC Avant Garde"/>
          <w:b/>
        </w:rPr>
        <w:t xml:space="preserve">LINEAMIENTOS, </w:t>
      </w:r>
      <w:r>
        <w:rPr>
          <w:rFonts w:ascii="ITC Avant Garde" w:hAnsi="ITC Avant Garde"/>
        </w:rPr>
        <w:t xml:space="preserve">sus respectivas modificaciones contenidas en el </w:t>
      </w:r>
      <w:r>
        <w:rPr>
          <w:rFonts w:ascii="ITC Avant Garde" w:hAnsi="ITC Avant Garde"/>
          <w:b/>
        </w:rPr>
        <w:t xml:space="preserve">ACUERDO MODIFICATORIO; </w:t>
      </w:r>
      <w:r>
        <w:rPr>
          <w:rFonts w:ascii="ITC Avant Garde" w:hAnsi="ITC Avant Garde"/>
        </w:rPr>
        <w:t xml:space="preserve">el </w:t>
      </w:r>
      <w:r>
        <w:rPr>
          <w:rFonts w:ascii="ITC Avant Garde" w:hAnsi="ITC Avant Garde"/>
          <w:b/>
        </w:rPr>
        <w:t xml:space="preserve">LISTADO </w:t>
      </w:r>
      <w:r>
        <w:rPr>
          <w:rFonts w:ascii="ITC Avant Garde" w:hAnsi="ITC Avant Garde"/>
        </w:rPr>
        <w:t xml:space="preserve">y sus correspondientes </w:t>
      </w:r>
      <w:r>
        <w:rPr>
          <w:rFonts w:ascii="ITC Avant Garde" w:hAnsi="ITC Avant Garde"/>
          <w:b/>
        </w:rPr>
        <w:t>ACTUALIZACIONES,</w:t>
      </w:r>
      <w:r w:rsidRPr="00441FDE">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con fundamento en el artículo </w:t>
      </w:r>
      <w:r w:rsidRPr="007A349D">
        <w:rPr>
          <w:rFonts w:ascii="ITC Avant Garde" w:eastAsia="Times New Roman" w:hAnsi="ITC Avant Garde"/>
          <w:bCs/>
          <w:color w:val="000000"/>
          <w:lang w:eastAsia="es-MX"/>
        </w:rPr>
        <w:t>298 inciso B), fracción IV</w:t>
      </w:r>
      <w:r w:rsidR="00BF29E6">
        <w:rPr>
          <w:rFonts w:ascii="ITC Avant Garde" w:eastAsia="Times New Roman" w:hAnsi="ITC Avant Garde"/>
          <w:bCs/>
          <w:color w:val="000000"/>
          <w:lang w:eastAsia="es-MX"/>
        </w:rPr>
        <w:t xml:space="preserve"> en relación con el inciso A) del mismo precepto legal</w:t>
      </w:r>
      <w:r w:rsidRPr="007A349D">
        <w:rPr>
          <w:rFonts w:ascii="ITC Avant Garde" w:eastAsia="Times New Roman" w:hAnsi="ITC Avant Garde"/>
          <w:bCs/>
          <w:color w:val="000000"/>
          <w:lang w:eastAsia="es-MX"/>
        </w:rPr>
        <w:t xml:space="preserve"> de la </w:t>
      </w:r>
      <w:r w:rsidRPr="007A349D">
        <w:rPr>
          <w:rFonts w:ascii="ITC Avant Garde" w:eastAsia="Times New Roman" w:hAnsi="ITC Avant Garde"/>
          <w:b/>
          <w:bCs/>
          <w:color w:val="000000"/>
          <w:lang w:eastAsia="es-MX"/>
        </w:rPr>
        <w:t>LFTR</w:t>
      </w:r>
      <w:r w:rsidR="00BF29E6">
        <w:rPr>
          <w:rFonts w:ascii="ITC Avant Garde" w:eastAsia="Times New Roman" w:hAnsi="ITC Avant Garde"/>
          <w:b/>
          <w:bCs/>
          <w:color w:val="000000"/>
          <w:lang w:eastAsia="es-MX"/>
        </w:rPr>
        <w:t>,</w:t>
      </w:r>
      <w:r w:rsidRPr="008F43EB">
        <w:rPr>
          <w:rFonts w:ascii="ITC Avant Garde" w:eastAsia="Times New Roman" w:hAnsi="ITC Avant Garde"/>
          <w:bCs/>
          <w:color w:val="000000"/>
          <w:lang w:eastAsia="es-MX"/>
        </w:rPr>
        <w:t xml:space="preserve"> se le impone</w:t>
      </w:r>
      <w:r w:rsidRPr="00441FDE">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una</w:t>
      </w:r>
      <w:r w:rsidRPr="00441FDE">
        <w:rPr>
          <w:rFonts w:ascii="ITC Avant Garde" w:eastAsia="Times New Roman" w:hAnsi="ITC Avant Garde"/>
          <w:bCs/>
          <w:color w:val="000000"/>
          <w:lang w:eastAsia="es-MX"/>
        </w:rPr>
        <w:t xml:space="preserve"> multa </w:t>
      </w:r>
      <w:r>
        <w:rPr>
          <w:rFonts w:ascii="ITC Avant Garde" w:eastAsia="Times New Roman" w:hAnsi="ITC Avant Garde"/>
          <w:bCs/>
          <w:color w:val="000000"/>
          <w:lang w:eastAsia="es-MX"/>
        </w:rPr>
        <w:t>d</w:t>
      </w:r>
      <w:r w:rsidRPr="00441FDE">
        <w:rPr>
          <w:rFonts w:ascii="ITC Avant Garde" w:eastAsia="Times New Roman" w:hAnsi="ITC Avant Garde"/>
          <w:bCs/>
          <w:color w:val="000000"/>
          <w:lang w:eastAsia="es-MX"/>
        </w:rPr>
        <w:t xml:space="preserve">el </w:t>
      </w:r>
      <w:r w:rsidR="00AC392B">
        <w:rPr>
          <w:rFonts w:ascii="ITC Avant Garde" w:hAnsi="ITC Avant Garde"/>
          <w:b/>
          <w:bCs/>
          <w:color w:val="0000FF"/>
        </w:rPr>
        <w:t xml:space="preserve">“CONFIDENCIAL POR LEY” </w:t>
      </w:r>
      <w:r w:rsidRPr="00441FDE">
        <w:rPr>
          <w:rFonts w:ascii="ITC Avant Garde" w:eastAsia="Times New Roman" w:hAnsi="ITC Avant Garde"/>
          <w:bCs/>
          <w:color w:val="000000"/>
          <w:lang w:eastAsia="es-MX"/>
        </w:rPr>
        <w:t xml:space="preserve">% de sus ingresos acumulables obtenidos en el ejercicio fiscal </w:t>
      </w:r>
      <w:r>
        <w:rPr>
          <w:rFonts w:ascii="ITC Avant Garde" w:eastAsia="Times New Roman" w:hAnsi="ITC Avant Garde"/>
          <w:bCs/>
          <w:color w:val="000000"/>
          <w:lang w:eastAsia="es-MX"/>
        </w:rPr>
        <w:t>dos mil catorce</w:t>
      </w:r>
      <w:r w:rsidRPr="00441FDE">
        <w:rPr>
          <w:rFonts w:ascii="ITC Avant Garde" w:eastAsia="Times New Roman" w:hAnsi="ITC Avant Garde"/>
          <w:bCs/>
          <w:color w:val="000000"/>
          <w:lang w:eastAsia="es-MX"/>
        </w:rPr>
        <w:t xml:space="preserve">, lo cual </w:t>
      </w:r>
    </w:p>
    <w:p w14:paraId="6F1197CC" w14:textId="018EE96A" w:rsidR="00E2222D" w:rsidRDefault="00EF2FD1" w:rsidP="00907F25">
      <w:pPr>
        <w:pStyle w:val="Listavistosa-nfasis11"/>
        <w:spacing w:after="240" w:line="360" w:lineRule="auto"/>
        <w:ind w:left="0" w:right="49"/>
        <w:jc w:val="both"/>
        <w:rPr>
          <w:rFonts w:ascii="ITC Avant Garde" w:eastAsia="Times New Roman" w:hAnsi="ITC Avant Garde"/>
          <w:bCs/>
          <w:color w:val="000000"/>
          <w:lang w:eastAsia="es-MX"/>
        </w:rPr>
      </w:pPr>
      <w:r w:rsidRPr="00441FDE">
        <w:rPr>
          <w:rFonts w:ascii="ITC Avant Garde" w:eastAsia="Times New Roman" w:hAnsi="ITC Avant Garde"/>
          <w:bCs/>
          <w:color w:val="000000"/>
          <w:lang w:eastAsia="es-MX"/>
        </w:rPr>
        <w:lastRenderedPageBreak/>
        <w:t xml:space="preserve">equivale a la cantidad de </w:t>
      </w:r>
      <w:r w:rsidRPr="00C07B97">
        <w:rPr>
          <w:rFonts w:ascii="ITC Avant Garde" w:eastAsia="Times New Roman" w:hAnsi="ITC Avant Garde"/>
          <w:b/>
          <w:bCs/>
          <w:color w:val="000000"/>
          <w:lang w:eastAsia="es-MX"/>
        </w:rPr>
        <w:t>$2,423,598.16</w:t>
      </w:r>
      <w:r>
        <w:rPr>
          <w:rFonts w:ascii="ITC Avant Garde" w:eastAsia="Times New Roman" w:hAnsi="ITC Avant Garde"/>
          <w:bCs/>
          <w:color w:val="000000"/>
          <w:lang w:eastAsia="es-MX"/>
        </w:rPr>
        <w:t xml:space="preserve"> </w:t>
      </w:r>
      <w:r w:rsidRPr="00310D70">
        <w:rPr>
          <w:rFonts w:ascii="ITC Avant Garde" w:eastAsia="Times New Roman" w:hAnsi="ITC Avant Garde"/>
          <w:bCs/>
          <w:color w:val="000000"/>
          <w:lang w:eastAsia="es-MX"/>
        </w:rPr>
        <w:t>(</w:t>
      </w:r>
      <w:r>
        <w:rPr>
          <w:rFonts w:ascii="ITC Avant Garde" w:eastAsia="Times New Roman" w:hAnsi="ITC Avant Garde"/>
          <w:bCs/>
          <w:color w:val="000000"/>
          <w:lang w:eastAsia="es-MX"/>
        </w:rPr>
        <w:t>Dos</w:t>
      </w:r>
      <w:r w:rsidRPr="00310D70">
        <w:rPr>
          <w:rFonts w:ascii="ITC Avant Garde" w:eastAsia="Times New Roman" w:hAnsi="ITC Avant Garde"/>
          <w:bCs/>
          <w:color w:val="000000"/>
          <w:lang w:eastAsia="es-MX"/>
        </w:rPr>
        <w:t xml:space="preserve"> millones </w:t>
      </w:r>
      <w:r>
        <w:rPr>
          <w:rFonts w:ascii="ITC Avant Garde" w:eastAsia="Times New Roman" w:hAnsi="ITC Avant Garde"/>
          <w:bCs/>
          <w:color w:val="000000"/>
          <w:lang w:eastAsia="es-MX"/>
        </w:rPr>
        <w:t>cuatrocientos veintitrés</w:t>
      </w:r>
      <w:r w:rsidRPr="00310D70">
        <w:rPr>
          <w:rFonts w:ascii="ITC Avant Garde" w:eastAsia="Times New Roman" w:hAnsi="ITC Avant Garde"/>
          <w:bCs/>
          <w:color w:val="000000"/>
          <w:lang w:eastAsia="es-MX"/>
        </w:rPr>
        <w:t xml:space="preserve"> mil </w:t>
      </w:r>
      <w:r>
        <w:rPr>
          <w:rFonts w:ascii="ITC Avant Garde" w:eastAsia="Times New Roman" w:hAnsi="ITC Avant Garde"/>
          <w:bCs/>
          <w:color w:val="000000"/>
          <w:lang w:eastAsia="es-MX"/>
        </w:rPr>
        <w:t>quinientos noventa y ocho</w:t>
      </w:r>
      <w:r w:rsidRPr="00310D70">
        <w:rPr>
          <w:rFonts w:ascii="ITC Avant Garde" w:eastAsia="Times New Roman" w:hAnsi="ITC Avant Garde"/>
          <w:bCs/>
          <w:color w:val="000000"/>
          <w:lang w:eastAsia="es-MX"/>
        </w:rPr>
        <w:t xml:space="preserve"> pesos </w:t>
      </w:r>
      <w:r>
        <w:rPr>
          <w:rFonts w:ascii="ITC Avant Garde" w:eastAsia="Times New Roman" w:hAnsi="ITC Avant Garde"/>
          <w:bCs/>
          <w:color w:val="000000"/>
          <w:lang w:eastAsia="es-MX"/>
        </w:rPr>
        <w:t>16</w:t>
      </w:r>
      <w:r w:rsidRPr="00310D70">
        <w:rPr>
          <w:rFonts w:ascii="ITC Avant Garde" w:eastAsia="Times New Roman" w:hAnsi="ITC Avant Garde"/>
          <w:bCs/>
          <w:color w:val="000000"/>
          <w:lang w:eastAsia="es-MX"/>
        </w:rPr>
        <w:t>/100 M.N.)</w:t>
      </w:r>
      <w:r>
        <w:rPr>
          <w:rFonts w:ascii="ITC Avant Garde" w:eastAsia="Times New Roman" w:hAnsi="ITC Avant Garde"/>
          <w:bCs/>
          <w:color w:val="000000"/>
          <w:lang w:eastAsia="es-MX"/>
        </w:rPr>
        <w:t>.</w:t>
      </w:r>
    </w:p>
    <w:p w14:paraId="490668B6" w14:textId="77777777" w:rsidR="00E2222D" w:rsidRDefault="00BF29E6" w:rsidP="00907F25">
      <w:pPr>
        <w:pStyle w:val="Sangradetextonormal"/>
        <w:tabs>
          <w:tab w:val="right" w:pos="8280"/>
        </w:tabs>
        <w:spacing w:after="240" w:line="360" w:lineRule="auto"/>
        <w:ind w:left="0"/>
        <w:jc w:val="both"/>
        <w:rPr>
          <w:rFonts w:ascii="ITC Avant Garde" w:eastAsia="Times New Roman" w:hAnsi="ITC Avant Garde"/>
          <w:bCs/>
          <w:lang w:eastAsia="es-MX"/>
        </w:rPr>
      </w:pPr>
      <w:r w:rsidRPr="001A07E3">
        <w:rPr>
          <w:rFonts w:ascii="ITC Avant Garde" w:eastAsia="Times New Roman" w:hAnsi="ITC Avant Garde"/>
          <w:bCs/>
          <w:lang w:eastAsia="es-MX"/>
        </w:rPr>
        <w:t xml:space="preserve">En relación con lo anterior, es de resaltar que esta autoridad goza de arbitrio para fijar el monto de la multa, atendiendo a lo establecido en </w:t>
      </w:r>
      <w:r>
        <w:rPr>
          <w:rFonts w:ascii="ITC Avant Garde" w:eastAsia="Times New Roman" w:hAnsi="ITC Avant Garde"/>
          <w:bCs/>
          <w:lang w:eastAsia="es-MX"/>
        </w:rPr>
        <w:t>el artículo</w:t>
      </w:r>
      <w:r w:rsidRPr="001A07E3">
        <w:rPr>
          <w:rFonts w:ascii="ITC Avant Garde" w:eastAsia="Times New Roman" w:hAnsi="ITC Avant Garde"/>
          <w:bCs/>
          <w:lang w:eastAsia="es-MX"/>
        </w:rPr>
        <w:t xml:space="preserve"> 301 de la </w:t>
      </w:r>
      <w:r w:rsidRPr="004B194F">
        <w:rPr>
          <w:rFonts w:ascii="ITC Avant Garde" w:eastAsia="Times New Roman" w:hAnsi="ITC Avant Garde"/>
          <w:b/>
          <w:bCs/>
          <w:lang w:eastAsia="es-MX"/>
        </w:rPr>
        <w:t>LFTR</w:t>
      </w:r>
      <w:r w:rsidRPr="001A07E3">
        <w:rPr>
          <w:rFonts w:ascii="ITC Avant Garde" w:eastAsia="Times New Roman" w:hAnsi="ITC Avant Garde"/>
          <w:bCs/>
          <w:lang w:eastAsia="es-MX"/>
        </w:rPr>
        <w:t>.</w:t>
      </w:r>
    </w:p>
    <w:p w14:paraId="185EFA76" w14:textId="77777777" w:rsidR="00E2222D" w:rsidRDefault="00BF29E6" w:rsidP="00907F25">
      <w:pPr>
        <w:pStyle w:val="Sangradetextonormal"/>
        <w:tabs>
          <w:tab w:val="right" w:pos="8280"/>
        </w:tabs>
        <w:spacing w:after="240" w:line="360" w:lineRule="auto"/>
        <w:ind w:left="0"/>
        <w:jc w:val="both"/>
        <w:rPr>
          <w:rFonts w:ascii="ITC Avant Garde" w:eastAsia="Times New Roman" w:hAnsi="ITC Avant Garde"/>
          <w:bCs/>
          <w:lang w:eastAsia="es-MX"/>
        </w:rPr>
      </w:pPr>
      <w:r w:rsidRPr="001A07E3">
        <w:rPr>
          <w:rFonts w:ascii="ITC Avant Garde" w:eastAsia="Times New Roman" w:hAnsi="ITC Avant Garde"/>
          <w:bCs/>
          <w:lang w:eastAsia="es-MX"/>
        </w:rPr>
        <w:t xml:space="preserve">Al respecto, resulta aplicable la jurisprudencia emitida por el Poder Judicial de la Federación de rubro y texto siguientes: </w:t>
      </w:r>
    </w:p>
    <w:p w14:paraId="3F1042ED"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8C1A3A">
        <w:rPr>
          <w:rFonts w:ascii="ITC Avant Garde" w:eastAsia="Times New Roman" w:hAnsi="ITC Avant Garde"/>
          <w:b/>
          <w:bCs/>
          <w:i/>
          <w:color w:val="000000"/>
          <w:sz w:val="20"/>
          <w:szCs w:val="20"/>
          <w:lang w:eastAsia="es-MX"/>
        </w:rPr>
        <w:t>“MULTAS. INDIVIDUALIZACIÓN DE SU MONTO.</w:t>
      </w:r>
      <w:r w:rsidRPr="008C1A3A">
        <w:rPr>
          <w:rFonts w:ascii="ITC Avant Garde" w:eastAsia="Times New Roman" w:hAnsi="ITC Avant Garde"/>
          <w:bCs/>
          <w:i/>
          <w:color w:val="000000"/>
          <w:sz w:val="20"/>
          <w:szCs w:val="20"/>
          <w:lang w:eastAsia="es-MX"/>
        </w:rPr>
        <w:t xml:space="preserve"> Basta que el precepto legal en que se establezca una multa señale un mínimo y un máximo de la sanción,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de la multa, y que serán los que rodean tanto al infractor como al hecho sancionable.</w:t>
      </w:r>
    </w:p>
    <w:p w14:paraId="6A849593" w14:textId="77777777" w:rsidR="00E2222D" w:rsidRDefault="00BF29E6" w:rsidP="00907F25">
      <w:pPr>
        <w:spacing w:after="240" w:line="360" w:lineRule="auto"/>
        <w:ind w:left="851" w:right="618"/>
        <w:jc w:val="both"/>
        <w:rPr>
          <w:rFonts w:ascii="ITC Avant Garde" w:eastAsia="Times New Roman" w:hAnsi="ITC Avant Garde"/>
          <w:bCs/>
          <w:i/>
          <w:color w:val="000000"/>
          <w:sz w:val="20"/>
          <w:szCs w:val="20"/>
          <w:lang w:eastAsia="es-MX"/>
        </w:rPr>
      </w:pPr>
      <w:r w:rsidRPr="008C1A3A">
        <w:rPr>
          <w:rFonts w:ascii="ITC Avant Garde" w:eastAsia="Times New Roman" w:hAnsi="ITC Avant Garde"/>
          <w:bCs/>
          <w:i/>
          <w:color w:val="000000"/>
          <w:sz w:val="20"/>
          <w:szCs w:val="20"/>
          <w:lang w:eastAsia="es-MX"/>
        </w:rPr>
        <w:t>(Época: Novena Época, Registro: 186216, Instancia: Tribunales Colegiados de Circuito, Tipo de Tesis: Jurisprudencia, Fuente: Semanario Judicial de la Federación y su Gaceta, Tomo XVI, Agosto de 2002, Materia(s): Común, Tesis: VI.3o.A. J/20, Página: 1172)”.</w:t>
      </w:r>
    </w:p>
    <w:p w14:paraId="57526761" w14:textId="77777777" w:rsidR="00E2222D" w:rsidRDefault="00BF29E6" w:rsidP="00907F25">
      <w:pPr>
        <w:pStyle w:val="Textoindependiente"/>
        <w:tabs>
          <w:tab w:val="left" w:pos="993"/>
        </w:tabs>
        <w:spacing w:after="240" w:line="360" w:lineRule="auto"/>
        <w:jc w:val="both"/>
        <w:rPr>
          <w:rFonts w:ascii="ITC Avant Garde" w:eastAsia="Times New Roman" w:hAnsi="ITC Avant Garde"/>
          <w:lang w:eastAsia="es-MX"/>
        </w:rPr>
      </w:pPr>
      <w:r>
        <w:rPr>
          <w:rFonts w:ascii="ITC Avant Garde" w:eastAsia="Times New Roman" w:hAnsi="ITC Avant Garde"/>
          <w:lang w:eastAsia="es-MX"/>
        </w:rPr>
        <w:t xml:space="preserve">Asimismo, resulta importante mencionar que para individualizar dicha multa esta autoridad tomó en cuenta </w:t>
      </w:r>
      <w:r w:rsidRPr="00720822">
        <w:rPr>
          <w:rFonts w:ascii="ITC Avant Garde" w:eastAsia="Times New Roman" w:hAnsi="ITC Avant Garde"/>
          <w:lang w:eastAsia="es-MX"/>
        </w:rPr>
        <w:t xml:space="preserve">el criterio </w:t>
      </w:r>
      <w:r>
        <w:rPr>
          <w:rFonts w:ascii="ITC Avant Garde" w:eastAsia="Times New Roman" w:hAnsi="ITC Avant Garde"/>
          <w:lang w:eastAsia="es-MX"/>
        </w:rPr>
        <w:t xml:space="preserve">emitido por </w:t>
      </w:r>
      <w:r w:rsidRPr="00720822">
        <w:rPr>
          <w:rFonts w:ascii="ITC Avant Garde" w:eastAsia="Times New Roman" w:hAnsi="ITC Avant Garde"/>
          <w:lang w:eastAsia="es-MX"/>
        </w:rPr>
        <w:t>el Pleno de la Suprema Corte de Justicia de la Nación en la tesis de jurisprudencia P./J. 9/95, que sustentó en la Novena Época y que aparece publicada en el Semanario Judicial de la Federación y su Gaceta, Tomo II, julio de mil novecientos noventa y cinco, página cinco</w:t>
      </w:r>
      <w:r>
        <w:rPr>
          <w:rFonts w:ascii="ITC Avant Garde" w:eastAsia="Times New Roman" w:hAnsi="ITC Avant Garde"/>
          <w:lang w:eastAsia="es-MX"/>
        </w:rPr>
        <w:t xml:space="preserve">, la cual establece que la multa que en su caso se determine debe ser acorde con la capacidad económica del infractor a efecto de que la misma no se considere excesiva o desproporcionada. </w:t>
      </w:r>
    </w:p>
    <w:p w14:paraId="75A9AEEF" w14:textId="7B6B1D5D" w:rsidR="00BF29E6" w:rsidRDefault="00BF29E6" w:rsidP="00907F25">
      <w:pPr>
        <w:pStyle w:val="Textoindependiente"/>
        <w:tabs>
          <w:tab w:val="left" w:pos="993"/>
        </w:tabs>
        <w:spacing w:after="240" w:line="360" w:lineRule="auto"/>
        <w:jc w:val="both"/>
        <w:rPr>
          <w:rFonts w:ascii="ITC Avant Garde" w:eastAsia="Times New Roman" w:hAnsi="ITC Avant Garde"/>
          <w:lang w:eastAsia="es-MX"/>
        </w:rPr>
      </w:pPr>
      <w:r>
        <w:rPr>
          <w:rFonts w:ascii="ITC Avant Garde" w:eastAsia="Times New Roman" w:hAnsi="ITC Avant Garde"/>
          <w:lang w:eastAsia="es-MX"/>
        </w:rPr>
        <w:lastRenderedPageBreak/>
        <w:t xml:space="preserve">Dicha jurisprudencia es </w:t>
      </w:r>
      <w:r w:rsidRPr="00720822">
        <w:rPr>
          <w:rFonts w:ascii="ITC Avant Garde" w:eastAsia="Times New Roman" w:hAnsi="ITC Avant Garde"/>
          <w:lang w:eastAsia="es-MX"/>
        </w:rPr>
        <w:t>del tenor literal siguiente: </w:t>
      </w:r>
    </w:p>
    <w:p w14:paraId="44082036" w14:textId="77777777" w:rsidR="00E2222D" w:rsidRDefault="00BF29E6" w:rsidP="00907F25">
      <w:pPr>
        <w:pStyle w:val="Textoindependiente"/>
        <w:spacing w:after="240" w:line="360" w:lineRule="auto"/>
        <w:ind w:left="851" w:right="616"/>
        <w:jc w:val="both"/>
        <w:rPr>
          <w:rFonts w:ascii="ITC Avant Garde" w:eastAsia="Times New Roman" w:hAnsi="ITC Avant Garde"/>
          <w:i/>
          <w:sz w:val="20"/>
          <w:szCs w:val="20"/>
          <w:lang w:eastAsia="es-MX"/>
        </w:rPr>
      </w:pPr>
      <w:r w:rsidRPr="008C1A3A">
        <w:rPr>
          <w:rFonts w:ascii="ITC Avant Garde" w:eastAsia="Times New Roman" w:hAnsi="ITC Avant Garde"/>
          <w:i/>
          <w:iCs/>
          <w:sz w:val="20"/>
          <w:szCs w:val="20"/>
          <w:lang w:eastAsia="es-MX"/>
        </w:rPr>
        <w:t>"</w:t>
      </w:r>
      <w:r w:rsidRPr="008C1A3A">
        <w:rPr>
          <w:rFonts w:ascii="ITC Avant Garde" w:eastAsia="Times New Roman" w:hAnsi="ITC Avant Garde"/>
          <w:b/>
          <w:i/>
          <w:iCs/>
          <w:sz w:val="20"/>
          <w:szCs w:val="20"/>
          <w:lang w:eastAsia="es-MX"/>
        </w:rPr>
        <w:t>MULTA EXCESIVA. CONCEPTO DE.</w:t>
      </w:r>
      <w:r w:rsidRPr="008C1A3A">
        <w:rPr>
          <w:rFonts w:ascii="ITC Avant Garde" w:eastAsia="Times New Roman" w:hAnsi="ITC Avant Garde"/>
          <w:i/>
          <w:iCs/>
          <w:sz w:val="20"/>
          <w:szCs w:val="20"/>
          <w:lang w:eastAsia="es-MX"/>
        </w:rPr>
        <w:t xml:space="preserve"> De la acepción gramatical del vocablo ‘excesivo’, así como de las interpretaciones dadas por la doctrina y por la Suprema Corte de Justicia de la Nación, para definir el concepto de multa excesiva, contenido en el artículo 22 constitucional, se pueden obtener los siguientes elementos: </w:t>
      </w:r>
      <w:r w:rsidRPr="008C1A3A">
        <w:rPr>
          <w:rFonts w:ascii="ITC Avant Garde" w:eastAsia="Times New Roman" w:hAnsi="ITC Avant Garde"/>
          <w:b/>
          <w:bCs/>
          <w:i/>
          <w:iCs/>
          <w:sz w:val="20"/>
          <w:szCs w:val="20"/>
          <w:u w:val="single"/>
          <w:lang w:eastAsia="es-MX"/>
        </w:rPr>
        <w:t>a) Una multa es excesiva cuando es desproporcionada a las posibilidades económicas del infractor en relación a la gravedad del ilícito;</w:t>
      </w:r>
      <w:r w:rsidRPr="008C1A3A">
        <w:rPr>
          <w:rFonts w:ascii="ITC Avant Garde" w:eastAsia="Times New Roman" w:hAnsi="ITC Avant Garde"/>
          <w:i/>
          <w:iCs/>
          <w:sz w:val="20"/>
          <w:szCs w:val="20"/>
          <w:lang w:eastAsia="es-MX"/>
        </w:rPr>
        <w:t xml:space="preserve"> b) Cuando se propasa, va más adelante de lo lícito y lo razonable; y </w:t>
      </w:r>
      <w:r w:rsidRPr="008C1A3A">
        <w:rPr>
          <w:rFonts w:ascii="ITC Avant Garde" w:eastAsia="Times New Roman" w:hAnsi="ITC Avant Garde"/>
          <w:b/>
          <w:bCs/>
          <w:i/>
          <w:iCs/>
          <w:sz w:val="20"/>
          <w:szCs w:val="20"/>
          <w:u w:val="single"/>
          <w:lang w:eastAsia="es-MX"/>
        </w:rPr>
        <w:t>c) Una multa puede ser excesiva para unos, moderada para otros y leve para muchos.</w:t>
      </w:r>
      <w:r w:rsidRPr="008C1A3A">
        <w:rPr>
          <w:rFonts w:ascii="ITC Avant Garde" w:eastAsia="Times New Roman" w:hAnsi="ITC Avant Garde"/>
          <w:i/>
          <w:iCs/>
          <w:sz w:val="20"/>
          <w:szCs w:val="20"/>
          <w:lang w:eastAsia="es-MX"/>
        </w:rPr>
        <w:t xml:space="preserve"> Por lo tanto, para que una multa no sea contraria al Texto Constitucional, debe establecerse en la ley que la autoridad facultada para imponerla, tenga posibilidad, en cada caso, de determinar su monto o cuantía, </w:t>
      </w:r>
      <w:r w:rsidRPr="008C1A3A">
        <w:rPr>
          <w:rFonts w:ascii="ITC Avant Garde" w:eastAsia="Times New Roman" w:hAnsi="ITC Avant Garde"/>
          <w:b/>
          <w:bCs/>
          <w:i/>
          <w:iCs/>
          <w:sz w:val="20"/>
          <w:szCs w:val="20"/>
          <w:u w:val="single"/>
          <w:lang w:eastAsia="es-MX"/>
        </w:rPr>
        <w:t>tomando en cuenta la gravedad de la infracción, la capacidad económica del infractor, la reincidencia, en su caso, de éste en la comisión del hecho que la motiva, o cualquier otro elemento del que pueda inferirse la gravedad o levedad del hecho infractor</w:t>
      </w:r>
      <w:r w:rsidRPr="008C1A3A">
        <w:rPr>
          <w:rFonts w:ascii="ITC Avant Garde" w:eastAsia="Times New Roman" w:hAnsi="ITC Avant Garde"/>
          <w:i/>
          <w:iCs/>
          <w:sz w:val="20"/>
          <w:szCs w:val="20"/>
          <w:lang w:eastAsia="es-MX"/>
        </w:rPr>
        <w:t>, para así determinar individualizadamente la multa que corresponda."</w:t>
      </w:r>
    </w:p>
    <w:p w14:paraId="59D12C89" w14:textId="647D7B64" w:rsidR="00E2222D" w:rsidRDefault="00EF2FD1" w:rsidP="00907F25">
      <w:pPr>
        <w:pStyle w:val="Textoindependiente"/>
        <w:tabs>
          <w:tab w:val="left" w:pos="993"/>
        </w:tabs>
        <w:spacing w:after="240" w:line="360" w:lineRule="auto"/>
        <w:jc w:val="both"/>
        <w:rPr>
          <w:rFonts w:ascii="ITC Avant Garde" w:eastAsia="Times New Roman" w:hAnsi="ITC Avant Garde"/>
          <w:bCs/>
          <w:lang w:eastAsia="es-MX"/>
        </w:rPr>
      </w:pPr>
      <w:r w:rsidRPr="00441FDE">
        <w:rPr>
          <w:rFonts w:ascii="ITC Avant Garde" w:hAnsi="ITC Avant Garde"/>
          <w:shd w:val="clear" w:color="auto" w:fill="FFFFFF"/>
        </w:rPr>
        <w:t xml:space="preserve">Finalmente, resulta importante señalar que con la imposición de la sanción a que se contrae el presente expediente, se busca inhibir las conductas contrarias a las leyes y disposiciones administrativas y reglamentarias que regulan la materia, con el fin de garantizar la eficiente prestación de los servicios públicos de interés general de telecomunicaciones y radiodifusión, atendiendo a los objetivos establecidos en la Ley Federal de Telecomunicaciones y Radiodifusión. Por ello se exhorta a la empresa </w:t>
      </w:r>
      <w:r>
        <w:rPr>
          <w:rFonts w:ascii="ITC Avant Garde" w:eastAsia="Times New Roman" w:hAnsi="ITC Avant Garde"/>
          <w:b/>
          <w:bCs/>
          <w:color w:val="000000"/>
          <w:lang w:eastAsia="es-MX"/>
        </w:rPr>
        <w:t>MEGA CABLE</w:t>
      </w:r>
      <w:r w:rsidRPr="00441FDE">
        <w:rPr>
          <w:rFonts w:ascii="ITC Avant Garde" w:hAnsi="ITC Avant Garde"/>
          <w:shd w:val="clear" w:color="auto" w:fill="FFFFFF"/>
        </w:rPr>
        <w:t>,</w:t>
      </w:r>
      <w:r w:rsidRPr="00441FDE">
        <w:rPr>
          <w:rStyle w:val="apple-converted-space"/>
          <w:rFonts w:ascii="ITC Avant Garde" w:hAnsi="ITC Avant Garde"/>
          <w:shd w:val="clear" w:color="auto" w:fill="FFFFFF"/>
        </w:rPr>
        <w:t xml:space="preserve"> </w:t>
      </w:r>
      <w:r w:rsidRPr="00441FDE">
        <w:rPr>
          <w:rFonts w:ascii="ITC Avant Garde" w:hAnsi="ITC Avant Garde"/>
          <w:shd w:val="clear" w:color="auto" w:fill="FFFFFF"/>
        </w:rPr>
        <w:t>para que en lo futuro cumpla debidamente con las obligaciones a que se encuentra sujeta en términos de la normatividad en la materia.</w:t>
      </w:r>
    </w:p>
    <w:p w14:paraId="2239027C" w14:textId="77777777" w:rsidR="00144100" w:rsidRDefault="00EF2FD1" w:rsidP="00907F25">
      <w:pPr>
        <w:pStyle w:val="Textoindependiente"/>
        <w:tabs>
          <w:tab w:val="left" w:pos="993"/>
        </w:tabs>
        <w:spacing w:after="240" w:line="360" w:lineRule="auto"/>
        <w:jc w:val="both"/>
        <w:rPr>
          <w:rFonts w:ascii="ITC Avant Garde" w:hAnsi="ITC Avant Garde"/>
          <w:shd w:val="clear" w:color="auto" w:fill="FFFFFF"/>
        </w:rPr>
        <w:sectPr w:rsidR="00144100" w:rsidSect="00802C6F">
          <w:headerReference w:type="default" r:id="rId48"/>
          <w:pgSz w:w="12240" w:h="15840"/>
          <w:pgMar w:top="2126" w:right="1325" w:bottom="1701" w:left="1701" w:header="709" w:footer="962" w:gutter="0"/>
          <w:cols w:space="708"/>
          <w:docGrid w:linePitch="360"/>
        </w:sectPr>
      </w:pPr>
      <w:r w:rsidRPr="00A26B62">
        <w:rPr>
          <w:rFonts w:ascii="ITC Avant Garde" w:hAnsi="ITC Avant Garde"/>
          <w:shd w:val="clear" w:color="auto" w:fill="FFFFFF"/>
        </w:rPr>
        <w:t xml:space="preserve">En consecuencia, con base en los resultandos y considerandos anteriores, el </w:t>
      </w:r>
      <w:r w:rsidR="00A26B62" w:rsidRPr="00A26B62">
        <w:rPr>
          <w:rFonts w:ascii="ITC Avant Garde" w:hAnsi="ITC Avant Garde"/>
          <w:shd w:val="clear" w:color="auto" w:fill="FFFFFF"/>
        </w:rPr>
        <w:t>P</w:t>
      </w:r>
      <w:r w:rsidRPr="00A26B62">
        <w:rPr>
          <w:rFonts w:ascii="ITC Avant Garde" w:hAnsi="ITC Avant Garde"/>
          <w:shd w:val="clear" w:color="auto" w:fill="FFFFFF"/>
        </w:rPr>
        <w:t>leno del Instituto Federal de Telecomunicaciones:</w:t>
      </w:r>
    </w:p>
    <w:p w14:paraId="44AC610C" w14:textId="4EECAFA5" w:rsidR="00E2222D" w:rsidRPr="0015038E" w:rsidRDefault="003F1EBC" w:rsidP="00907F25">
      <w:pPr>
        <w:pStyle w:val="Ttulo2"/>
        <w:keepLines/>
        <w:spacing w:before="0" w:after="240" w:line="360" w:lineRule="auto"/>
        <w:jc w:val="center"/>
        <w:rPr>
          <w:rFonts w:ascii="ITC Avant Garde" w:eastAsiaTheme="majorEastAsia" w:hAnsi="ITC Avant Garde" w:cstheme="majorBidi"/>
          <w:bCs w:val="0"/>
          <w:i w:val="0"/>
          <w:iCs w:val="0"/>
          <w:color w:val="000000" w:themeColor="text1"/>
          <w:sz w:val="22"/>
          <w:szCs w:val="22"/>
        </w:rPr>
      </w:pPr>
      <w:r w:rsidRPr="0015038E">
        <w:rPr>
          <w:rFonts w:ascii="ITC Avant Garde" w:eastAsiaTheme="majorEastAsia" w:hAnsi="ITC Avant Garde" w:cstheme="majorBidi"/>
          <w:bCs w:val="0"/>
          <w:i w:val="0"/>
          <w:iCs w:val="0"/>
          <w:color w:val="000000" w:themeColor="text1"/>
          <w:sz w:val="22"/>
          <w:szCs w:val="22"/>
        </w:rPr>
        <w:lastRenderedPageBreak/>
        <w:t>RESUELVE</w:t>
      </w:r>
    </w:p>
    <w:p w14:paraId="2B645D2A" w14:textId="77777777" w:rsidR="00E2222D" w:rsidRDefault="00191E90" w:rsidP="00907F25">
      <w:pPr>
        <w:spacing w:after="240" w:line="360" w:lineRule="auto"/>
        <w:jc w:val="both"/>
        <w:rPr>
          <w:rFonts w:ascii="ITC Avant Garde" w:hAnsi="ITC Avant Garde"/>
          <w:color w:val="000000"/>
        </w:rPr>
      </w:pPr>
      <w:r w:rsidRPr="00B215CD">
        <w:rPr>
          <w:rFonts w:ascii="ITC Avant Garde" w:eastAsia="Times New Roman" w:hAnsi="ITC Avant Garde"/>
          <w:b/>
          <w:bCs/>
          <w:color w:val="000000"/>
          <w:lang w:eastAsia="es-MX"/>
        </w:rPr>
        <w:t>PRIMER</w:t>
      </w:r>
      <w:r w:rsidR="003F1EBC" w:rsidRPr="00B215CD">
        <w:rPr>
          <w:rFonts w:ascii="ITC Avant Garde" w:eastAsia="Times New Roman" w:hAnsi="ITC Avant Garde"/>
          <w:b/>
          <w:bCs/>
          <w:color w:val="000000"/>
          <w:lang w:eastAsia="es-MX"/>
        </w:rPr>
        <w:t>O.</w:t>
      </w:r>
      <w:r w:rsidR="003F1EBC" w:rsidRPr="00B215CD">
        <w:rPr>
          <w:rFonts w:ascii="ITC Avant Garde" w:eastAsia="Times New Roman" w:hAnsi="ITC Avant Garde"/>
          <w:bCs/>
          <w:color w:val="000000"/>
          <w:lang w:eastAsia="es-MX"/>
        </w:rPr>
        <w:t xml:space="preserve"> Conforme a lo expuesto en la </w:t>
      </w:r>
      <w:r w:rsidR="00A26B62">
        <w:rPr>
          <w:rFonts w:ascii="ITC Avant Garde" w:eastAsia="Times New Roman" w:hAnsi="ITC Avant Garde"/>
          <w:bCs/>
          <w:color w:val="000000"/>
          <w:lang w:eastAsia="es-MX"/>
        </w:rPr>
        <w:t>parte considerativa de la presente Resolución, quedó acreditado</w:t>
      </w:r>
      <w:r w:rsidR="003F1EBC" w:rsidRPr="00B215CD">
        <w:rPr>
          <w:rFonts w:ascii="ITC Avant Garde" w:eastAsia="Times New Roman" w:hAnsi="ITC Avant Garde"/>
          <w:color w:val="000000"/>
          <w:lang w:eastAsia="es-MX"/>
        </w:rPr>
        <w:t xml:space="preserve"> que</w:t>
      </w:r>
      <w:r w:rsidR="003F1EBC" w:rsidRPr="00B215CD">
        <w:rPr>
          <w:rFonts w:ascii="ITC Avant Garde" w:eastAsia="Times New Roman" w:hAnsi="ITC Avant Garde"/>
          <w:b/>
          <w:bCs/>
          <w:color w:val="000000"/>
          <w:lang w:eastAsia="es-MX"/>
        </w:rPr>
        <w:t xml:space="preserve"> MEGA CABLE</w:t>
      </w:r>
      <w:r w:rsidR="003F1EBC" w:rsidRPr="00B215CD">
        <w:rPr>
          <w:rFonts w:ascii="ITC Avant Garde" w:hAnsi="ITC Avant Garde"/>
          <w:b/>
          <w:color w:val="000000"/>
        </w:rPr>
        <w:t xml:space="preserve">, S.A. DE C.V., </w:t>
      </w:r>
      <w:r w:rsidR="003F1EBC" w:rsidRPr="00B215CD">
        <w:rPr>
          <w:rFonts w:ascii="ITC Avant Garde" w:eastAsia="Times New Roman" w:hAnsi="ITC Avant Garde"/>
          <w:bCs/>
          <w:color w:val="000000"/>
          <w:lang w:eastAsia="es-MX"/>
        </w:rPr>
        <w:t xml:space="preserve">incumplió lo establecido en el </w:t>
      </w:r>
      <w:r w:rsidR="00E576A6">
        <w:rPr>
          <w:rFonts w:ascii="ITC Avant Garde" w:hAnsi="ITC Avant Garde"/>
          <w:b/>
        </w:rPr>
        <w:t>Artículo 12</w:t>
      </w:r>
      <w:r w:rsidR="00E576A6">
        <w:rPr>
          <w:rFonts w:ascii="ITC Avant Garde" w:hAnsi="ITC Avant Garde"/>
        </w:rPr>
        <w:t xml:space="preserve"> de los </w:t>
      </w:r>
      <w:r w:rsidR="00E576A6">
        <w:rPr>
          <w:rFonts w:ascii="ITC Avant Garde" w:hAnsi="ITC Avant Garde"/>
          <w:b/>
        </w:rPr>
        <w:t xml:space="preserve">LINEAMIENTOS, </w:t>
      </w:r>
      <w:r w:rsidR="00E576A6">
        <w:rPr>
          <w:rFonts w:ascii="ITC Avant Garde" w:hAnsi="ITC Avant Garde"/>
        </w:rPr>
        <w:t xml:space="preserve">en </w:t>
      </w:r>
      <w:r w:rsidR="00D06A74">
        <w:rPr>
          <w:rFonts w:ascii="ITC Avant Garde" w:hAnsi="ITC Avant Garde"/>
        </w:rPr>
        <w:t xml:space="preserve">relación con </w:t>
      </w:r>
      <w:r w:rsidR="00E576A6">
        <w:rPr>
          <w:rFonts w:ascii="ITC Avant Garde" w:hAnsi="ITC Avant Garde"/>
        </w:rPr>
        <w:t xml:space="preserve">el </w:t>
      </w:r>
      <w:r w:rsidR="00E576A6">
        <w:rPr>
          <w:rFonts w:ascii="ITC Avant Garde" w:hAnsi="ITC Avant Garde"/>
          <w:b/>
        </w:rPr>
        <w:t xml:space="preserve">ACUERDO MODIFICATORIO; </w:t>
      </w:r>
      <w:r w:rsidR="00E576A6">
        <w:rPr>
          <w:rFonts w:ascii="ITC Avant Garde" w:hAnsi="ITC Avant Garde"/>
        </w:rPr>
        <w:t xml:space="preserve">el </w:t>
      </w:r>
      <w:r w:rsidR="00E576A6">
        <w:rPr>
          <w:rFonts w:ascii="ITC Avant Garde" w:hAnsi="ITC Avant Garde"/>
          <w:b/>
        </w:rPr>
        <w:t xml:space="preserve">LISTADO </w:t>
      </w:r>
      <w:r w:rsidR="00E576A6">
        <w:rPr>
          <w:rFonts w:ascii="ITC Avant Garde" w:hAnsi="ITC Avant Garde"/>
        </w:rPr>
        <w:t xml:space="preserve">y sus correspondientes </w:t>
      </w:r>
      <w:r w:rsidR="00E576A6">
        <w:rPr>
          <w:rFonts w:ascii="ITC Avant Garde" w:hAnsi="ITC Avant Garde"/>
          <w:b/>
        </w:rPr>
        <w:t>ACTUALIZACIONES</w:t>
      </w:r>
      <w:r w:rsidR="00984EA2">
        <w:rPr>
          <w:rFonts w:ascii="ITC Avant Garde" w:hAnsi="ITC Avant Garde"/>
        </w:rPr>
        <w:t xml:space="preserve">, </w:t>
      </w:r>
      <w:r w:rsidR="00C42315">
        <w:rPr>
          <w:rFonts w:ascii="ITC Avant Garde" w:hAnsi="ITC Avant Garde"/>
        </w:rPr>
        <w:t xml:space="preserve">toda vez que </w:t>
      </w:r>
      <w:r w:rsidR="00C74103">
        <w:rPr>
          <w:rFonts w:ascii="ITC Avant Garde" w:hAnsi="ITC Avant Garde"/>
        </w:rPr>
        <w:t xml:space="preserve">al </w:t>
      </w:r>
      <w:r w:rsidR="009E3783">
        <w:rPr>
          <w:rFonts w:ascii="ITC Avant Garde" w:hAnsi="ITC Avant Garde"/>
        </w:rPr>
        <w:t xml:space="preserve">momento en que se llevó a cabo la visita de verificación, </w:t>
      </w:r>
      <w:r w:rsidR="00C42315">
        <w:rPr>
          <w:rFonts w:ascii="ITC Avant Garde" w:hAnsi="ITC Avant Garde"/>
        </w:rPr>
        <w:t xml:space="preserve">dicha concesionaria no retransmitía el canal multiprogramado </w:t>
      </w:r>
      <w:r w:rsidR="00C42315" w:rsidRPr="006A2C5A">
        <w:rPr>
          <w:rFonts w:ascii="ITC Avant Garde" w:hAnsi="ITC Avant Garde"/>
          <w:b/>
        </w:rPr>
        <w:t>11.2 Once Niños</w:t>
      </w:r>
      <w:r w:rsidR="00C42315">
        <w:rPr>
          <w:rFonts w:ascii="ITC Avant Garde" w:hAnsi="ITC Avant Garde"/>
        </w:rPr>
        <w:t xml:space="preserve"> del Instituto Politécnico Nacional en la población de Santiago de Querétaro.</w:t>
      </w:r>
    </w:p>
    <w:p w14:paraId="54105CBD" w14:textId="3BADBC0C" w:rsidR="00E2222D" w:rsidRDefault="003F1EBC" w:rsidP="00907F25">
      <w:pPr>
        <w:spacing w:after="240" w:line="360" w:lineRule="auto"/>
        <w:jc w:val="both"/>
        <w:rPr>
          <w:rFonts w:ascii="ITC Avant Garde" w:hAnsi="ITC Avant Garde"/>
          <w:color w:val="000000"/>
        </w:rPr>
      </w:pPr>
      <w:r w:rsidRPr="00B215CD">
        <w:rPr>
          <w:rFonts w:ascii="ITC Avant Garde" w:eastAsia="Times New Roman" w:hAnsi="ITC Avant Garde"/>
          <w:b/>
          <w:color w:val="000000"/>
          <w:lang w:eastAsia="es-MX"/>
        </w:rPr>
        <w:t>SEGUNDO.</w:t>
      </w:r>
      <w:r w:rsidRPr="00B215CD">
        <w:rPr>
          <w:rFonts w:ascii="ITC Avant Garde" w:eastAsia="Times New Roman" w:hAnsi="ITC Avant Garde"/>
          <w:color w:val="000000"/>
          <w:lang w:eastAsia="es-MX"/>
        </w:rPr>
        <w:t xml:space="preserve"> De conformidad con lo señalado en los Considerandos </w:t>
      </w:r>
      <w:r w:rsidRPr="00B215CD">
        <w:rPr>
          <w:rFonts w:ascii="ITC Avant Garde" w:eastAsia="Times New Roman" w:hAnsi="ITC Avant Garde"/>
          <w:b/>
          <w:color w:val="000000"/>
          <w:lang w:eastAsia="es-MX"/>
        </w:rPr>
        <w:t>CUARTO, QUINTO</w:t>
      </w:r>
      <w:r w:rsidR="00FD1CA5">
        <w:rPr>
          <w:rFonts w:ascii="ITC Avant Garde" w:eastAsia="Times New Roman" w:hAnsi="ITC Avant Garde"/>
          <w:b/>
          <w:color w:val="000000"/>
          <w:lang w:eastAsia="es-MX"/>
        </w:rPr>
        <w:t>,</w:t>
      </w:r>
      <w:r w:rsidRPr="00B215CD">
        <w:rPr>
          <w:rFonts w:ascii="ITC Avant Garde" w:eastAsia="Times New Roman" w:hAnsi="ITC Avant Garde"/>
          <w:b/>
          <w:color w:val="000000"/>
          <w:lang w:eastAsia="es-MX"/>
        </w:rPr>
        <w:t xml:space="preserve"> SEXTO</w:t>
      </w:r>
      <w:r w:rsidR="00FD1CA5">
        <w:rPr>
          <w:rFonts w:ascii="ITC Avant Garde" w:eastAsia="Times New Roman" w:hAnsi="ITC Avant Garde"/>
          <w:b/>
          <w:color w:val="000000"/>
          <w:lang w:eastAsia="es-MX"/>
        </w:rPr>
        <w:t>, SÉPTIMO y OCTAVO</w:t>
      </w:r>
      <w:r w:rsidRPr="00B215CD">
        <w:rPr>
          <w:rFonts w:ascii="ITC Avant Garde" w:eastAsia="Times New Roman" w:hAnsi="ITC Avant Garde"/>
          <w:b/>
          <w:color w:val="000000"/>
          <w:lang w:eastAsia="es-MX"/>
        </w:rPr>
        <w:t xml:space="preserve"> </w:t>
      </w:r>
      <w:r w:rsidRPr="00B215CD">
        <w:rPr>
          <w:rFonts w:ascii="ITC Avant Garde" w:eastAsia="Times New Roman" w:hAnsi="ITC Avant Garde"/>
          <w:color w:val="000000"/>
          <w:lang w:eastAsia="es-MX"/>
        </w:rPr>
        <w:t xml:space="preserve">de la presente Resolución y con fundamento en el artículo </w:t>
      </w:r>
      <w:r w:rsidRPr="00B215CD">
        <w:rPr>
          <w:rFonts w:ascii="ITC Avant Garde" w:eastAsia="Times New Roman" w:hAnsi="ITC Avant Garde"/>
          <w:bCs/>
          <w:color w:val="000000"/>
          <w:lang w:eastAsia="es-MX"/>
        </w:rPr>
        <w:t xml:space="preserve">298, inciso B, fracción IV de la </w:t>
      </w:r>
      <w:r w:rsidRPr="00B215CD">
        <w:rPr>
          <w:rFonts w:ascii="ITC Avant Garde" w:eastAsia="Times New Roman" w:hAnsi="ITC Avant Garde"/>
          <w:b/>
          <w:bCs/>
          <w:color w:val="000000"/>
          <w:lang w:eastAsia="es-MX"/>
        </w:rPr>
        <w:t>Ley Federal de Telecomunicaciones y Radiodifusión</w:t>
      </w:r>
      <w:r w:rsidRPr="00B215CD">
        <w:rPr>
          <w:rFonts w:ascii="ITC Avant Garde" w:eastAsia="Times New Roman" w:hAnsi="ITC Avant Garde"/>
          <w:color w:val="000000"/>
          <w:lang w:eastAsia="es-MX"/>
        </w:rPr>
        <w:t xml:space="preserve">, </w:t>
      </w:r>
      <w:r w:rsidR="00EF2FD1">
        <w:rPr>
          <w:rFonts w:ascii="ITC Avant Garde" w:eastAsia="Times New Roman" w:hAnsi="ITC Avant Garde"/>
          <w:color w:val="000000"/>
          <w:lang w:eastAsia="es-MX"/>
        </w:rPr>
        <w:t xml:space="preserve">en relación con el Inciso A) del mismo precepto legal por lo que hace al monto mínimo de la posible sanción, </w:t>
      </w:r>
      <w:r w:rsidRPr="00B215CD">
        <w:rPr>
          <w:rFonts w:ascii="ITC Avant Garde" w:eastAsia="Times New Roman" w:hAnsi="ITC Avant Garde"/>
          <w:color w:val="000000"/>
          <w:lang w:eastAsia="es-MX"/>
        </w:rPr>
        <w:t>se impone a</w:t>
      </w:r>
      <w:r w:rsidRPr="00B215CD">
        <w:rPr>
          <w:rFonts w:ascii="ITC Avant Garde" w:eastAsia="Times New Roman" w:hAnsi="ITC Avant Garde"/>
          <w:b/>
          <w:bCs/>
          <w:color w:val="000000"/>
          <w:lang w:eastAsia="es-MX"/>
        </w:rPr>
        <w:t xml:space="preserve"> MEGA CABLE</w:t>
      </w:r>
      <w:r w:rsidR="00FD1CA5">
        <w:rPr>
          <w:rFonts w:ascii="ITC Avant Garde" w:eastAsia="Times New Roman" w:hAnsi="ITC Avant Garde"/>
          <w:b/>
          <w:bCs/>
          <w:color w:val="000000"/>
          <w:lang w:eastAsia="es-MX"/>
        </w:rPr>
        <w:t>,</w:t>
      </w:r>
      <w:r w:rsidRPr="00B215CD">
        <w:rPr>
          <w:rFonts w:ascii="ITC Avant Garde" w:hAnsi="ITC Avant Garde"/>
          <w:b/>
          <w:color w:val="000000"/>
        </w:rPr>
        <w:t xml:space="preserve"> S.A. DE C.V., </w:t>
      </w:r>
      <w:r w:rsidRPr="00B215CD">
        <w:rPr>
          <w:rFonts w:ascii="ITC Avant Garde" w:hAnsi="ITC Avant Garde"/>
          <w:color w:val="000000"/>
        </w:rPr>
        <w:t>una multa</w:t>
      </w:r>
      <w:r w:rsidR="000477A4" w:rsidRPr="00B215CD">
        <w:rPr>
          <w:rFonts w:ascii="ITC Avant Garde" w:hAnsi="ITC Avant Garde"/>
          <w:color w:val="000000"/>
        </w:rPr>
        <w:t xml:space="preserve"> </w:t>
      </w:r>
      <w:r w:rsidRPr="00B215CD">
        <w:rPr>
          <w:rFonts w:ascii="ITC Avant Garde" w:hAnsi="ITC Avant Garde"/>
          <w:color w:val="000000"/>
        </w:rPr>
        <w:t xml:space="preserve">por </w:t>
      </w:r>
      <w:r w:rsidR="00EF2FD1">
        <w:rPr>
          <w:rFonts w:ascii="ITC Avant Garde" w:hAnsi="ITC Avant Garde"/>
          <w:color w:val="000000"/>
        </w:rPr>
        <w:t xml:space="preserve">el </w:t>
      </w:r>
      <w:r w:rsidR="00AC392B">
        <w:rPr>
          <w:rFonts w:ascii="ITC Avant Garde" w:hAnsi="ITC Avant Garde"/>
          <w:b/>
          <w:bCs/>
          <w:color w:val="0000FF"/>
        </w:rPr>
        <w:t xml:space="preserve">“CONFIDENCIAL POR LEY” </w:t>
      </w:r>
      <w:r w:rsidR="00EF2FD1">
        <w:rPr>
          <w:rFonts w:ascii="ITC Avant Garde" w:hAnsi="ITC Avant Garde"/>
          <w:color w:val="000000"/>
        </w:rPr>
        <w:t xml:space="preserve">% de sus ingresos acumulables en el ejercicio dos mil catorce que asciende a </w:t>
      </w:r>
      <w:r w:rsidRPr="00B215CD">
        <w:rPr>
          <w:rFonts w:ascii="ITC Avant Garde" w:eastAsia="Times New Roman" w:hAnsi="ITC Avant Garde"/>
          <w:color w:val="000000"/>
          <w:lang w:eastAsia="es-MX"/>
        </w:rPr>
        <w:t>la cantidad de</w:t>
      </w:r>
      <w:r w:rsidR="00A83E66">
        <w:rPr>
          <w:rFonts w:ascii="ITC Avant Garde" w:eastAsia="Times New Roman" w:hAnsi="ITC Avant Garde"/>
          <w:color w:val="000000"/>
          <w:lang w:eastAsia="es-MX"/>
        </w:rPr>
        <w:t xml:space="preserve"> </w:t>
      </w:r>
      <w:r w:rsidR="00EF2FD1" w:rsidRPr="00EF2FD1">
        <w:rPr>
          <w:rFonts w:ascii="ITC Avant Garde" w:eastAsia="Times New Roman" w:hAnsi="ITC Avant Garde"/>
          <w:b/>
          <w:bCs/>
          <w:color w:val="000000"/>
          <w:u w:val="single"/>
          <w:lang w:eastAsia="es-MX"/>
        </w:rPr>
        <w:t>$2,423,598.16 (Dos millones cuatrocientos veintitrés mil quinientos noventa y ocho pesos 16/100 M.N.)</w:t>
      </w:r>
      <w:r w:rsidR="000477A4">
        <w:rPr>
          <w:rFonts w:ascii="ITC Avant Garde" w:eastAsia="Times New Roman" w:hAnsi="ITC Avant Garde"/>
          <w:bCs/>
          <w:color w:val="000000"/>
          <w:lang w:eastAsia="es-MX"/>
        </w:rPr>
        <w:t>.</w:t>
      </w:r>
    </w:p>
    <w:p w14:paraId="4FD1279E" w14:textId="77777777" w:rsidR="00E2222D" w:rsidRDefault="003F1EBC" w:rsidP="00907F25">
      <w:pPr>
        <w:tabs>
          <w:tab w:val="left" w:pos="993"/>
        </w:tabs>
        <w:spacing w:after="240" w:line="360" w:lineRule="auto"/>
        <w:jc w:val="both"/>
        <w:rPr>
          <w:rFonts w:ascii="ITC Avant Garde" w:eastAsia="Times New Roman" w:hAnsi="ITC Avant Garde"/>
          <w:color w:val="000000"/>
          <w:lang w:eastAsia="es-MX"/>
        </w:rPr>
      </w:pPr>
      <w:r w:rsidRPr="00B215CD">
        <w:rPr>
          <w:rFonts w:ascii="ITC Avant Garde" w:eastAsia="Times New Roman" w:hAnsi="ITC Avant Garde"/>
          <w:b/>
          <w:color w:val="000000"/>
          <w:lang w:eastAsia="es-MX"/>
        </w:rPr>
        <w:t>TERCERO.</w:t>
      </w:r>
      <w:r w:rsidRPr="00B215CD">
        <w:rPr>
          <w:rFonts w:ascii="ITC Avant Garde" w:eastAsia="Times New Roman" w:hAnsi="ITC Avant Garde"/>
          <w:b/>
          <w:bCs/>
          <w:color w:val="000000"/>
          <w:lang w:eastAsia="es-MX"/>
        </w:rPr>
        <w:t xml:space="preserve"> </w:t>
      </w:r>
      <w:r w:rsidR="00191E90" w:rsidRPr="00B215CD">
        <w:rPr>
          <w:rFonts w:ascii="ITC Avant Garde" w:eastAsia="Times New Roman" w:hAnsi="ITC Avant Garde"/>
          <w:b/>
          <w:bCs/>
          <w:color w:val="000000"/>
          <w:lang w:eastAsia="es-MX"/>
        </w:rPr>
        <w:t>MEGA CABLE</w:t>
      </w:r>
      <w:r w:rsidRPr="00B215CD">
        <w:rPr>
          <w:rFonts w:ascii="ITC Avant Garde" w:hAnsi="ITC Avant Garde"/>
          <w:b/>
          <w:color w:val="000000"/>
        </w:rPr>
        <w:t>, S.A. DE C.V.,</w:t>
      </w:r>
      <w:r w:rsidRPr="00B215CD">
        <w:rPr>
          <w:rFonts w:ascii="ITC Avant Garde" w:hAnsi="ITC Avant Garde"/>
          <w:color w:val="000000"/>
        </w:rPr>
        <w:t xml:space="preserve"> </w:t>
      </w:r>
      <w:r w:rsidRPr="00B215CD">
        <w:rPr>
          <w:rFonts w:ascii="ITC Avant Garde" w:eastAsia="Times New Roman" w:hAnsi="ITC Avant Garde"/>
          <w:color w:val="000000"/>
          <w:lang w:eastAsia="es-MX"/>
        </w:rPr>
        <w:t xml:space="preserve">deberá cubrir ante la Oficina del Servicio de Administración Tributaria que por razón de su domicilio fiscal le corresponda, el importe de la multa impuesta dentro del plazo de 30 días siguientes a aquél en que haya surtido efectos la notificación de la presente Resolución, en términos del artículo 65 del </w:t>
      </w:r>
      <w:r w:rsidRPr="00B215CD">
        <w:rPr>
          <w:rFonts w:ascii="ITC Avant Garde" w:eastAsia="Times New Roman" w:hAnsi="ITC Avant Garde"/>
          <w:b/>
          <w:color w:val="000000"/>
          <w:lang w:eastAsia="es-MX"/>
        </w:rPr>
        <w:t>Código Fiscal de la Federación</w:t>
      </w:r>
      <w:r w:rsidRPr="00B215CD">
        <w:rPr>
          <w:rFonts w:ascii="ITC Avant Garde" w:eastAsia="Times New Roman" w:hAnsi="ITC Avant Garde"/>
          <w:color w:val="000000"/>
          <w:lang w:eastAsia="es-MX"/>
        </w:rPr>
        <w:t>.</w:t>
      </w:r>
    </w:p>
    <w:p w14:paraId="12C6500F" w14:textId="77777777" w:rsidR="00E2222D" w:rsidRDefault="003F1EBC" w:rsidP="00907F25">
      <w:pPr>
        <w:tabs>
          <w:tab w:val="left" w:pos="993"/>
        </w:tabs>
        <w:spacing w:after="240" w:line="360" w:lineRule="auto"/>
        <w:jc w:val="both"/>
        <w:rPr>
          <w:rFonts w:ascii="ITC Avant Garde" w:eastAsia="Times New Roman" w:hAnsi="ITC Avant Garde"/>
          <w:color w:val="000000"/>
          <w:lang w:eastAsia="es-MX"/>
        </w:rPr>
      </w:pPr>
      <w:r w:rsidRPr="00B215CD">
        <w:rPr>
          <w:rFonts w:ascii="ITC Avant Garde" w:eastAsia="Times New Roman" w:hAnsi="ITC Avant Garde"/>
          <w:b/>
          <w:color w:val="000000"/>
          <w:lang w:eastAsia="es-MX"/>
        </w:rPr>
        <w:t>CUARTO.</w:t>
      </w:r>
      <w:r w:rsidRPr="00B215CD">
        <w:rPr>
          <w:rFonts w:ascii="ITC Avant Garde" w:hAnsi="ITC Avant Garde"/>
          <w:b/>
          <w:color w:val="000000"/>
        </w:rPr>
        <w:t xml:space="preserve"> </w:t>
      </w:r>
      <w:r w:rsidRPr="00B215CD">
        <w:rPr>
          <w:rFonts w:ascii="ITC Avant Garde" w:eastAsia="Times New Roman" w:hAnsi="ITC Avant Garde"/>
          <w:color w:val="000000"/>
          <w:lang w:eastAsia="es-MX"/>
        </w:rPr>
        <w:t xml:space="preserve">Gírese oficio a la autoridad exactora, a fin de que si la multa no es cubierta dentro del término de ley, con fundamento en el artículo 145 del </w:t>
      </w:r>
      <w:r w:rsidRPr="00B215CD">
        <w:rPr>
          <w:rFonts w:ascii="ITC Avant Garde" w:eastAsia="Times New Roman" w:hAnsi="ITC Avant Garde"/>
          <w:b/>
          <w:color w:val="000000"/>
          <w:lang w:eastAsia="es-MX"/>
        </w:rPr>
        <w:t>Código Fiscal de la Federación</w:t>
      </w:r>
      <w:r w:rsidRPr="00B215CD">
        <w:rPr>
          <w:rFonts w:ascii="ITC Avant Garde" w:eastAsia="Times New Roman" w:hAnsi="ITC Avant Garde"/>
          <w:color w:val="000000"/>
          <w:lang w:eastAsia="es-MX"/>
        </w:rPr>
        <w:t>, proceda a hacer efectivo el cobro de la misma.</w:t>
      </w:r>
    </w:p>
    <w:p w14:paraId="1D557A04" w14:textId="77777777" w:rsidR="00144100" w:rsidRDefault="003F1EBC" w:rsidP="00907F25">
      <w:pPr>
        <w:tabs>
          <w:tab w:val="left" w:pos="993"/>
        </w:tabs>
        <w:spacing w:after="240" w:line="360" w:lineRule="auto"/>
        <w:jc w:val="both"/>
        <w:rPr>
          <w:rFonts w:ascii="ITC Avant Garde" w:eastAsia="Times New Roman" w:hAnsi="ITC Avant Garde"/>
          <w:color w:val="000000"/>
          <w:lang w:eastAsia="es-MX"/>
        </w:rPr>
        <w:sectPr w:rsidR="00144100" w:rsidSect="00802C6F">
          <w:headerReference w:type="default" r:id="rId49"/>
          <w:pgSz w:w="12240" w:h="15840"/>
          <w:pgMar w:top="2126" w:right="1325" w:bottom="1701" w:left="1701" w:header="709" w:footer="962" w:gutter="0"/>
          <w:cols w:space="708"/>
          <w:docGrid w:linePitch="360"/>
        </w:sectPr>
      </w:pPr>
      <w:r w:rsidRPr="00B215CD">
        <w:rPr>
          <w:rFonts w:ascii="ITC Avant Garde" w:eastAsia="Times New Roman" w:hAnsi="ITC Avant Garde"/>
          <w:b/>
          <w:color w:val="000000"/>
          <w:lang w:eastAsia="es-MX"/>
        </w:rPr>
        <w:t>QUINTO.</w:t>
      </w:r>
      <w:r w:rsidRPr="00B215CD">
        <w:rPr>
          <w:rFonts w:ascii="ITC Avant Garde" w:hAnsi="ITC Avant Garde"/>
          <w:b/>
          <w:color w:val="000000"/>
        </w:rPr>
        <w:t xml:space="preserve"> </w:t>
      </w:r>
      <w:r w:rsidRPr="00B215CD">
        <w:rPr>
          <w:rFonts w:ascii="ITC Avant Garde" w:eastAsia="Times New Roman" w:hAnsi="ITC Avant Garde"/>
          <w:color w:val="000000"/>
          <w:lang w:eastAsia="es-MX"/>
        </w:rPr>
        <w:t xml:space="preserve">Con fundamento en el artículo 35, fracción I de la </w:t>
      </w:r>
      <w:r w:rsidRPr="00B215CD">
        <w:rPr>
          <w:rFonts w:ascii="ITC Avant Garde" w:eastAsia="Times New Roman" w:hAnsi="ITC Avant Garde"/>
          <w:b/>
          <w:color w:val="000000"/>
          <w:lang w:eastAsia="es-MX"/>
        </w:rPr>
        <w:t>Ley Federal de Procedimiento Administrativo</w:t>
      </w:r>
      <w:r w:rsidRPr="00B215CD">
        <w:rPr>
          <w:rFonts w:ascii="ITC Avant Garde" w:eastAsia="Times New Roman" w:hAnsi="ITC Avant Garde"/>
          <w:color w:val="000000"/>
          <w:lang w:eastAsia="es-MX"/>
        </w:rPr>
        <w:t xml:space="preserve">, se ordena que la presente Resolución se notifique </w:t>
      </w:r>
    </w:p>
    <w:p w14:paraId="7DA29787" w14:textId="4A5E43A2" w:rsidR="00E2222D" w:rsidRDefault="003F1EBC" w:rsidP="00907F25">
      <w:pPr>
        <w:tabs>
          <w:tab w:val="left" w:pos="993"/>
        </w:tabs>
        <w:spacing w:after="240" w:line="360" w:lineRule="auto"/>
        <w:jc w:val="both"/>
        <w:rPr>
          <w:rFonts w:ascii="ITC Avant Garde" w:eastAsia="Times New Roman" w:hAnsi="ITC Avant Garde"/>
          <w:b/>
          <w:color w:val="000000"/>
          <w:lang w:eastAsia="es-MX"/>
        </w:rPr>
      </w:pPr>
      <w:r w:rsidRPr="00B215CD">
        <w:rPr>
          <w:rFonts w:ascii="ITC Avant Garde" w:eastAsia="Times New Roman" w:hAnsi="ITC Avant Garde"/>
          <w:color w:val="000000"/>
          <w:lang w:eastAsia="es-MX"/>
        </w:rPr>
        <w:lastRenderedPageBreak/>
        <w:t>personalmente a</w:t>
      </w:r>
      <w:r w:rsidRPr="00B215CD">
        <w:rPr>
          <w:rFonts w:ascii="ITC Avant Garde" w:eastAsia="Times New Roman" w:hAnsi="ITC Avant Garde"/>
          <w:b/>
          <w:bCs/>
          <w:color w:val="000000"/>
          <w:lang w:eastAsia="es-MX"/>
        </w:rPr>
        <w:t xml:space="preserve"> </w:t>
      </w:r>
      <w:r w:rsidR="00191E90" w:rsidRPr="00B215CD">
        <w:rPr>
          <w:rFonts w:ascii="ITC Avant Garde" w:eastAsia="Times New Roman" w:hAnsi="ITC Avant Garde"/>
          <w:b/>
          <w:bCs/>
          <w:color w:val="000000"/>
          <w:lang w:eastAsia="es-MX"/>
        </w:rPr>
        <w:t>MEGA CABLE</w:t>
      </w:r>
      <w:r w:rsidRPr="00B215CD">
        <w:rPr>
          <w:rFonts w:ascii="ITC Avant Garde" w:hAnsi="ITC Avant Garde"/>
          <w:b/>
          <w:color w:val="000000"/>
        </w:rPr>
        <w:t xml:space="preserve"> S.A. DE C.V., </w:t>
      </w:r>
      <w:r w:rsidRPr="00B215CD">
        <w:rPr>
          <w:rFonts w:ascii="ITC Avant Garde" w:eastAsia="Times New Roman" w:hAnsi="ITC Avant Garde"/>
          <w:color w:val="000000"/>
          <w:lang w:eastAsia="es-MX"/>
        </w:rPr>
        <w:t>en el domicilio precisado en el proemio de la presente Resolución.</w:t>
      </w:r>
    </w:p>
    <w:p w14:paraId="38CCA624" w14:textId="77777777" w:rsidR="00E2222D" w:rsidRDefault="003F1EBC" w:rsidP="00907F25">
      <w:pPr>
        <w:tabs>
          <w:tab w:val="left" w:pos="993"/>
        </w:tabs>
        <w:spacing w:after="240" w:line="360" w:lineRule="auto"/>
        <w:jc w:val="both"/>
        <w:rPr>
          <w:rFonts w:ascii="ITC Avant Garde" w:eastAsia="Times New Roman" w:hAnsi="ITC Avant Garde"/>
          <w:color w:val="000000"/>
          <w:lang w:eastAsia="es-MX"/>
        </w:rPr>
      </w:pPr>
      <w:r w:rsidRPr="00B215CD">
        <w:rPr>
          <w:rFonts w:ascii="ITC Avant Garde" w:eastAsia="Times New Roman" w:hAnsi="ITC Avant Garde"/>
          <w:b/>
          <w:color w:val="000000"/>
          <w:lang w:eastAsia="es-MX"/>
        </w:rPr>
        <w:t>SEXTO</w:t>
      </w:r>
      <w:r w:rsidRPr="00B215CD">
        <w:rPr>
          <w:rFonts w:ascii="ITC Avant Garde" w:eastAsia="Times New Roman" w:hAnsi="ITC Avant Garde"/>
          <w:color w:val="000000"/>
          <w:lang w:eastAsia="es-MX"/>
        </w:rPr>
        <w:t xml:space="preserve">. En términos del artículo 3, fracción XIV, de la </w:t>
      </w:r>
      <w:r w:rsidRPr="00B215CD">
        <w:rPr>
          <w:rFonts w:ascii="ITC Avant Garde" w:eastAsia="Times New Roman" w:hAnsi="ITC Avant Garde"/>
          <w:b/>
          <w:color w:val="000000"/>
          <w:lang w:eastAsia="es-MX"/>
        </w:rPr>
        <w:t>Ley Federal del Procedimiento Administrativo</w:t>
      </w:r>
      <w:r w:rsidRPr="00B215CD">
        <w:rPr>
          <w:rFonts w:ascii="ITC Avant Garde" w:eastAsia="Times New Roman" w:hAnsi="ITC Avant Garde"/>
          <w:color w:val="000000"/>
          <w:lang w:eastAsia="es-MX"/>
        </w:rPr>
        <w:t>, se informa a</w:t>
      </w:r>
      <w:r w:rsidRPr="00B215CD">
        <w:rPr>
          <w:rFonts w:ascii="ITC Avant Garde" w:eastAsia="Times New Roman" w:hAnsi="ITC Avant Garde"/>
          <w:b/>
          <w:bCs/>
          <w:color w:val="000000"/>
          <w:lang w:eastAsia="es-MX"/>
        </w:rPr>
        <w:t xml:space="preserve"> </w:t>
      </w:r>
      <w:r w:rsidR="00191E90" w:rsidRPr="00B215CD">
        <w:rPr>
          <w:rFonts w:ascii="ITC Avant Garde" w:eastAsia="Times New Roman" w:hAnsi="ITC Avant Garde"/>
          <w:b/>
          <w:bCs/>
          <w:color w:val="000000"/>
          <w:lang w:eastAsia="es-MX"/>
        </w:rPr>
        <w:t>MEGA CABLE</w:t>
      </w:r>
      <w:r w:rsidRPr="00B215CD">
        <w:rPr>
          <w:rFonts w:ascii="ITC Avant Garde" w:hAnsi="ITC Avant Garde"/>
          <w:b/>
          <w:color w:val="000000"/>
        </w:rPr>
        <w:t xml:space="preserve">, S.A. DE C.V., </w:t>
      </w:r>
      <w:r w:rsidRPr="00B215CD">
        <w:rPr>
          <w:rFonts w:ascii="ITC Avant Garde" w:eastAsia="Times New Roman" w:hAnsi="ITC Avant Garde"/>
          <w:bCs/>
          <w:color w:val="000000"/>
          <w:lang w:eastAsia="es-MX"/>
        </w:rPr>
        <w:t>que podrá consultar el expediente en que se actúa en las oficinas de la Unidad de Cumplimiento</w:t>
      </w:r>
      <w:r w:rsidRPr="00B215CD">
        <w:rPr>
          <w:rFonts w:ascii="ITC Avant Garde" w:eastAsia="Times New Roman" w:hAnsi="ITC Avant Garde"/>
          <w:color w:val="000000"/>
          <w:lang w:eastAsia="es-MX"/>
        </w:rPr>
        <w:t xml:space="preserve"> de este Instituto Federal de Telecomunicaciones, con domicilio en Avenida Insurgentes Sur número 838, Cuarto Piso, Colonia Del Valle, Delegación Benito Juárez, Código Postal 03100, Ciudad de México (edificio alterno a la sede de este Instituto), dentro del siguiente horario: de lunes a jueves de las 9:00 a las 18:30 horas</w:t>
      </w:r>
      <w:r w:rsidRPr="00B215CD">
        <w:rPr>
          <w:rFonts w:ascii="ITC Avant Garde" w:hAnsi="ITC Avant Garde"/>
          <w:color w:val="000000"/>
        </w:rPr>
        <w:t xml:space="preserve"> y los viernes de 9:00 a 15:00 horas.</w:t>
      </w:r>
    </w:p>
    <w:p w14:paraId="2B5B71EC" w14:textId="77777777" w:rsidR="00E2222D" w:rsidRDefault="003F1EBC" w:rsidP="00907F25">
      <w:pPr>
        <w:tabs>
          <w:tab w:val="left" w:pos="993"/>
        </w:tabs>
        <w:spacing w:after="240" w:line="360" w:lineRule="auto"/>
        <w:jc w:val="both"/>
        <w:rPr>
          <w:rFonts w:ascii="ITC Avant Garde" w:eastAsia="Times New Roman" w:hAnsi="ITC Avant Garde"/>
          <w:color w:val="000000"/>
          <w:lang w:eastAsia="es-MX"/>
        </w:rPr>
      </w:pPr>
      <w:r w:rsidRPr="00B215CD">
        <w:rPr>
          <w:rFonts w:ascii="ITC Avant Garde" w:eastAsia="Times New Roman" w:hAnsi="ITC Avant Garde"/>
          <w:b/>
          <w:color w:val="000000"/>
          <w:lang w:eastAsia="es-MX"/>
        </w:rPr>
        <w:t>SÉPTIMO.</w:t>
      </w:r>
      <w:r w:rsidRPr="00B215CD">
        <w:rPr>
          <w:rFonts w:ascii="ITC Avant Garde" w:hAnsi="ITC Avant Garde"/>
          <w:b/>
          <w:color w:val="000000"/>
        </w:rPr>
        <w:t xml:space="preserve"> </w:t>
      </w:r>
      <w:r w:rsidRPr="00B215CD">
        <w:rPr>
          <w:rFonts w:ascii="ITC Avant Garde" w:eastAsia="Times New Roman" w:hAnsi="ITC Avant Garde"/>
          <w:bCs/>
          <w:color w:val="000000"/>
          <w:lang w:eastAsia="es-MX"/>
        </w:rPr>
        <w:t xml:space="preserve">En cumplimiento a lo dispuesto en los artículos 3, fracción  XV y 39 de la </w:t>
      </w:r>
      <w:r w:rsidRPr="00B215CD">
        <w:rPr>
          <w:rFonts w:ascii="ITC Avant Garde" w:eastAsia="Times New Roman" w:hAnsi="ITC Avant Garde"/>
          <w:b/>
          <w:bCs/>
          <w:color w:val="000000"/>
          <w:lang w:eastAsia="es-MX"/>
        </w:rPr>
        <w:t>Ley Federal de Procedimiento Administrativo</w:t>
      </w:r>
      <w:r w:rsidRPr="00B215CD">
        <w:rPr>
          <w:rFonts w:ascii="ITC Avant Garde" w:eastAsia="Times New Roman" w:hAnsi="ITC Avant Garde"/>
          <w:bCs/>
          <w:color w:val="000000"/>
          <w:lang w:eastAsia="es-MX"/>
        </w:rPr>
        <w:t>, se hace del conocimiento de</w:t>
      </w:r>
      <w:r w:rsidRPr="00B215CD">
        <w:rPr>
          <w:rFonts w:ascii="ITC Avant Garde" w:eastAsia="Times New Roman" w:hAnsi="ITC Avant Garde"/>
          <w:b/>
          <w:bCs/>
          <w:color w:val="000000"/>
          <w:lang w:eastAsia="es-MX"/>
        </w:rPr>
        <w:t xml:space="preserve"> </w:t>
      </w:r>
      <w:r w:rsidR="00191E90" w:rsidRPr="00B215CD">
        <w:rPr>
          <w:rFonts w:ascii="ITC Avant Garde" w:eastAsia="Times New Roman" w:hAnsi="ITC Avant Garde"/>
          <w:b/>
          <w:bCs/>
          <w:color w:val="000000"/>
          <w:lang w:eastAsia="es-MX"/>
        </w:rPr>
        <w:t>MEGA CABLE</w:t>
      </w:r>
      <w:r w:rsidRPr="00B215CD">
        <w:rPr>
          <w:rFonts w:ascii="ITC Avant Garde" w:hAnsi="ITC Avant Garde"/>
          <w:b/>
          <w:color w:val="000000"/>
        </w:rPr>
        <w:t xml:space="preserve">, S.A. DE C.V., </w:t>
      </w:r>
      <w:r w:rsidRPr="00B215CD">
        <w:rPr>
          <w:rFonts w:ascii="ITC Avant Garde" w:eastAsia="Times New Roman" w:hAnsi="ITC Avant Garde"/>
          <w:bCs/>
          <w:color w:val="000000"/>
          <w:lang w:eastAsia="es-MX"/>
        </w:rPr>
        <w:t xml:space="preserve">que la presente Resolución constituye un acto administrativo definitivo y por lo tanto, de conformidad con lo dispuesto en el artículo 28 de la </w:t>
      </w:r>
      <w:r w:rsidRPr="00B215CD">
        <w:rPr>
          <w:rFonts w:ascii="ITC Avant Garde" w:eastAsia="Times New Roman" w:hAnsi="ITC Avant Garde"/>
          <w:b/>
          <w:bCs/>
          <w:color w:val="000000"/>
          <w:lang w:eastAsia="es-MX"/>
        </w:rPr>
        <w:t>Constitución Política de los Estados Unidos Mexicanos</w:t>
      </w:r>
      <w:r w:rsidRPr="00B215CD">
        <w:rPr>
          <w:rFonts w:ascii="ITC Avant Garde" w:eastAsia="Times New Roman" w:hAnsi="ITC Avant Garde"/>
          <w:bCs/>
          <w:color w:val="000000"/>
          <w:lang w:eastAsia="es-MX"/>
        </w:rPr>
        <w:t xml:space="preserve">, procede interponer ante los </w:t>
      </w:r>
      <w:r w:rsidR="00E00534">
        <w:rPr>
          <w:rFonts w:ascii="ITC Avant Garde" w:eastAsia="Times New Roman" w:hAnsi="ITC Avant Garde"/>
          <w:bCs/>
          <w:color w:val="000000"/>
          <w:lang w:eastAsia="es-MX"/>
        </w:rPr>
        <w:t>J</w:t>
      </w:r>
      <w:r w:rsidRPr="00B215CD">
        <w:rPr>
          <w:rFonts w:ascii="ITC Avant Garde" w:eastAsia="Times New Roman" w:hAnsi="ITC Avant Garde"/>
          <w:bCs/>
          <w:color w:val="000000"/>
          <w:lang w:eastAsia="es-MX"/>
        </w:rPr>
        <w:t xml:space="preserve">uzgados de </w:t>
      </w:r>
      <w:r w:rsidR="00E00534">
        <w:rPr>
          <w:rFonts w:ascii="ITC Avant Garde" w:eastAsia="Times New Roman" w:hAnsi="ITC Avant Garde"/>
          <w:bCs/>
          <w:color w:val="000000"/>
          <w:lang w:eastAsia="es-MX"/>
        </w:rPr>
        <w:t>D</w:t>
      </w:r>
      <w:r w:rsidRPr="00B215CD">
        <w:rPr>
          <w:rFonts w:ascii="ITC Avant Garde" w:eastAsia="Times New Roman" w:hAnsi="ITC Avant Garde"/>
          <w:bCs/>
          <w:color w:val="000000"/>
          <w:lang w:eastAsia="es-MX"/>
        </w:rPr>
        <w:t xml:space="preserve">istrito </w:t>
      </w:r>
      <w:r w:rsidR="00E00534">
        <w:rPr>
          <w:rFonts w:ascii="ITC Avant Garde" w:eastAsia="Times New Roman" w:hAnsi="ITC Avant Garde"/>
          <w:bCs/>
          <w:color w:val="000000"/>
          <w:lang w:eastAsia="es-MX"/>
        </w:rPr>
        <w:t>E</w:t>
      </w:r>
      <w:r w:rsidRPr="00B215CD">
        <w:rPr>
          <w:rFonts w:ascii="ITC Avant Garde" w:eastAsia="Times New Roman" w:hAnsi="ITC Avant Garde"/>
          <w:bCs/>
          <w:color w:val="000000"/>
          <w:lang w:eastAsia="es-MX"/>
        </w:rPr>
        <w:t xml:space="preserve">specializados en </w:t>
      </w:r>
      <w:r w:rsidR="00E00534">
        <w:rPr>
          <w:rFonts w:ascii="ITC Avant Garde" w:eastAsia="Times New Roman" w:hAnsi="ITC Avant Garde"/>
          <w:bCs/>
          <w:color w:val="000000"/>
          <w:lang w:eastAsia="es-MX"/>
        </w:rPr>
        <w:t>M</w:t>
      </w:r>
      <w:r w:rsidRPr="00B215CD">
        <w:rPr>
          <w:rFonts w:ascii="ITC Avant Garde" w:eastAsia="Times New Roman" w:hAnsi="ITC Avant Garde"/>
          <w:bCs/>
          <w:color w:val="000000"/>
          <w:lang w:eastAsia="es-MX"/>
        </w:rPr>
        <w:t xml:space="preserve">ateria de </w:t>
      </w:r>
      <w:r w:rsidR="00E00534">
        <w:rPr>
          <w:rFonts w:ascii="ITC Avant Garde" w:eastAsia="Times New Roman" w:hAnsi="ITC Avant Garde"/>
          <w:bCs/>
          <w:color w:val="000000"/>
          <w:lang w:eastAsia="es-MX"/>
        </w:rPr>
        <w:t>C</w:t>
      </w:r>
      <w:r w:rsidRPr="00B215CD">
        <w:rPr>
          <w:rFonts w:ascii="ITC Avant Garde" w:eastAsia="Times New Roman" w:hAnsi="ITC Avant Garde"/>
          <w:bCs/>
          <w:color w:val="000000"/>
          <w:lang w:eastAsia="es-MX"/>
        </w:rPr>
        <w:t xml:space="preserve">ompetencia </w:t>
      </w:r>
      <w:r w:rsidR="00E00534">
        <w:rPr>
          <w:rFonts w:ascii="ITC Avant Garde" w:eastAsia="Times New Roman" w:hAnsi="ITC Avant Garde"/>
          <w:bCs/>
          <w:color w:val="000000"/>
          <w:lang w:eastAsia="es-MX"/>
        </w:rPr>
        <w:t>E</w:t>
      </w:r>
      <w:r w:rsidRPr="00B215CD">
        <w:rPr>
          <w:rFonts w:ascii="ITC Avant Garde" w:eastAsia="Times New Roman" w:hAnsi="ITC Avant Garde"/>
          <w:bCs/>
          <w:color w:val="000000"/>
          <w:lang w:eastAsia="es-MX"/>
        </w:rPr>
        <w:t xml:space="preserve">conómica, </w:t>
      </w:r>
      <w:r w:rsidR="00E00534">
        <w:rPr>
          <w:rFonts w:ascii="ITC Avant Garde" w:eastAsia="Times New Roman" w:hAnsi="ITC Avant Garde"/>
          <w:bCs/>
          <w:color w:val="000000"/>
          <w:lang w:eastAsia="es-MX"/>
        </w:rPr>
        <w:t>R</w:t>
      </w:r>
      <w:r w:rsidRPr="00B215CD">
        <w:rPr>
          <w:rFonts w:ascii="ITC Avant Garde" w:eastAsia="Times New Roman" w:hAnsi="ITC Avant Garde"/>
          <w:bCs/>
          <w:color w:val="000000"/>
          <w:lang w:eastAsia="es-MX"/>
        </w:rPr>
        <w:t xml:space="preserve">adiodifusión y </w:t>
      </w:r>
      <w:r w:rsidR="00E00534">
        <w:rPr>
          <w:rFonts w:ascii="ITC Avant Garde" w:eastAsia="Times New Roman" w:hAnsi="ITC Avant Garde"/>
          <w:bCs/>
          <w:color w:val="000000"/>
          <w:lang w:eastAsia="es-MX"/>
        </w:rPr>
        <w:t>T</w:t>
      </w:r>
      <w:r w:rsidRPr="00B215CD">
        <w:rPr>
          <w:rFonts w:ascii="ITC Avant Garde" w:eastAsia="Times New Roman" w:hAnsi="ITC Avant Garde"/>
          <w:bCs/>
          <w:color w:val="000000"/>
          <w:lang w:eastAsia="es-MX"/>
        </w:rPr>
        <w:t xml:space="preserve">elecomunicaciones, con residencia en la Ciudad de México y jurisdicción territorial en toda la República, el juicio de amparo indirecto dentro del plazo de quince días hábiles contados a partir de que surta efectos la notificación de la presente resolución, en términos del artículo 17 de la Ley de Amparo, Reglamentaria de los artículos 103 y 107 de la </w:t>
      </w:r>
      <w:r w:rsidRPr="00B215CD">
        <w:rPr>
          <w:rFonts w:ascii="ITC Avant Garde" w:eastAsia="Times New Roman" w:hAnsi="ITC Avant Garde"/>
          <w:b/>
          <w:bCs/>
          <w:color w:val="000000"/>
          <w:lang w:eastAsia="es-MX"/>
        </w:rPr>
        <w:t>Constitución Política de los Estados Unidos Mexicanos</w:t>
      </w:r>
      <w:r w:rsidRPr="00B215CD">
        <w:rPr>
          <w:rFonts w:ascii="ITC Avant Garde" w:eastAsia="Times New Roman" w:hAnsi="ITC Avant Garde"/>
          <w:bCs/>
          <w:color w:val="000000"/>
          <w:lang w:eastAsia="es-MX"/>
        </w:rPr>
        <w:t>.</w:t>
      </w:r>
    </w:p>
    <w:p w14:paraId="7BCDDDD4" w14:textId="77777777" w:rsidR="00E2222D" w:rsidRDefault="003F1EBC" w:rsidP="00907F25">
      <w:pPr>
        <w:tabs>
          <w:tab w:val="left" w:pos="993"/>
        </w:tabs>
        <w:spacing w:after="240" w:line="360" w:lineRule="auto"/>
        <w:jc w:val="both"/>
        <w:rPr>
          <w:rFonts w:ascii="ITC Avant Garde" w:eastAsia="Times New Roman" w:hAnsi="ITC Avant Garde"/>
          <w:color w:val="000000"/>
          <w:lang w:eastAsia="es-MX"/>
        </w:rPr>
      </w:pPr>
      <w:r w:rsidRPr="00B215CD">
        <w:rPr>
          <w:rFonts w:ascii="ITC Avant Garde" w:eastAsia="Times New Roman" w:hAnsi="ITC Avant Garde"/>
          <w:b/>
          <w:color w:val="000000"/>
          <w:lang w:eastAsia="es-MX"/>
        </w:rPr>
        <w:t>OCTAVO</w:t>
      </w:r>
      <w:r w:rsidRPr="00B215CD">
        <w:rPr>
          <w:rFonts w:ascii="ITC Avant Garde" w:hAnsi="ITC Avant Garde"/>
          <w:b/>
          <w:color w:val="000000"/>
        </w:rPr>
        <w:t>.</w:t>
      </w:r>
      <w:r w:rsidRPr="00B215CD">
        <w:rPr>
          <w:rFonts w:ascii="ITC Avant Garde" w:eastAsia="Times New Roman" w:hAnsi="ITC Avant Garde"/>
          <w:color w:val="000000"/>
          <w:lang w:eastAsia="es-MX"/>
        </w:rPr>
        <w:t xml:space="preserve"> 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w:t>
      </w:r>
      <w:r w:rsidR="00E00534">
        <w:rPr>
          <w:rFonts w:ascii="ITC Avant Garde" w:eastAsia="Times New Roman" w:hAnsi="ITC Avant Garde"/>
          <w:color w:val="000000"/>
          <w:lang w:eastAsia="es-MX"/>
        </w:rPr>
        <w:t>Concesiones</w:t>
      </w:r>
      <w:r w:rsidRPr="00B215CD">
        <w:rPr>
          <w:rFonts w:ascii="ITC Avant Garde" w:eastAsia="Times New Roman" w:hAnsi="ITC Avant Garde"/>
          <w:color w:val="000000"/>
          <w:lang w:eastAsia="es-MX"/>
        </w:rPr>
        <w:t>, para todos los efectos a que haya lugar.</w:t>
      </w:r>
    </w:p>
    <w:p w14:paraId="30712DFA" w14:textId="77777777" w:rsidR="00E2222D" w:rsidRDefault="003F1EBC" w:rsidP="00907F25">
      <w:pPr>
        <w:tabs>
          <w:tab w:val="left" w:pos="993"/>
        </w:tabs>
        <w:spacing w:after="240" w:line="360" w:lineRule="auto"/>
        <w:jc w:val="both"/>
        <w:rPr>
          <w:rFonts w:ascii="ITC Avant Garde" w:eastAsia="Times New Roman" w:hAnsi="ITC Avant Garde"/>
          <w:bCs/>
          <w:color w:val="000000"/>
          <w:lang w:eastAsia="es-MX"/>
        </w:rPr>
      </w:pPr>
      <w:r w:rsidRPr="00B215CD">
        <w:rPr>
          <w:rFonts w:ascii="ITC Avant Garde" w:eastAsia="Times New Roman" w:hAnsi="ITC Avant Garde"/>
          <w:b/>
          <w:color w:val="000000"/>
          <w:lang w:eastAsia="es-MX"/>
        </w:rPr>
        <w:lastRenderedPageBreak/>
        <w:t>NOVENO.</w:t>
      </w:r>
      <w:r w:rsidRPr="00B215CD">
        <w:rPr>
          <w:rFonts w:ascii="ITC Avant Garde" w:eastAsia="Times New Roman" w:hAnsi="ITC Avant Garde"/>
          <w:color w:val="000000"/>
          <w:lang w:eastAsia="es-MX"/>
        </w:rPr>
        <w:t xml:space="preserve"> </w:t>
      </w:r>
      <w:r w:rsidRPr="00B215CD">
        <w:rPr>
          <w:rFonts w:ascii="ITC Avant Garde" w:eastAsia="Times New Roman" w:hAnsi="ITC Avant Garde"/>
          <w:bCs/>
          <w:color w:val="000000"/>
          <w:lang w:eastAsia="es-MX"/>
        </w:rPr>
        <w:t>En su oportunidad archívese el expediente como asunto total y definitivamente concluido.</w:t>
      </w:r>
    </w:p>
    <w:p w14:paraId="477B80E9" w14:textId="77777777" w:rsidR="00E2222D" w:rsidRDefault="000477A4" w:rsidP="00907F25">
      <w:pPr>
        <w:tabs>
          <w:tab w:val="left" w:pos="993"/>
        </w:tabs>
        <w:spacing w:after="240" w:line="360" w:lineRule="auto"/>
        <w:jc w:val="both"/>
        <w:rPr>
          <w:rFonts w:ascii="ITC Avant Garde" w:eastAsia="Times New Roman" w:hAnsi="ITC Avant Garde"/>
          <w:bCs/>
          <w:lang w:eastAsia="es-MX"/>
        </w:rPr>
      </w:pPr>
      <w:r w:rsidRPr="00787FA1">
        <w:rPr>
          <w:rFonts w:ascii="ITC Avant Garde" w:eastAsia="Times New Roman" w:hAnsi="ITC Avant Garde"/>
          <w:bCs/>
          <w:lang w:eastAsia="es-MX"/>
        </w:rPr>
        <w:t>Así lo resolvió el Pleno del Instituto Federal de Telecomunicaciones, con fundamento en los artículos señalados en los Considerativos Primero y Segundo de la presente Resolución.</w:t>
      </w:r>
    </w:p>
    <w:p w14:paraId="6ACC093D" w14:textId="17491C16" w:rsidR="00BA0EC5" w:rsidRPr="00BA0EC5" w:rsidRDefault="00E2222D" w:rsidP="00907F25">
      <w:pPr>
        <w:spacing w:after="240" w:line="360" w:lineRule="auto"/>
        <w:jc w:val="both"/>
        <w:rPr>
          <w:sz w:val="13"/>
          <w:szCs w:val="13"/>
        </w:rPr>
      </w:pPr>
      <w:r>
        <w:rPr>
          <w:rFonts w:ascii="ITC Avant Garde" w:hAnsi="ITC Avant Garde"/>
          <w:sz w:val="13"/>
          <w:szCs w:val="13"/>
          <w:lang w:eastAsia="es-MX"/>
        </w:rPr>
        <w:t>L</w:t>
      </w:r>
      <w:r w:rsidR="00BA0EC5" w:rsidRPr="00BA0EC5">
        <w:rPr>
          <w:rFonts w:ascii="ITC Avant Garde" w:hAnsi="ITC Avant Garde"/>
          <w:sz w:val="13"/>
          <w:szCs w:val="13"/>
          <w:lang w:eastAsia="es-MX"/>
        </w:rPr>
        <w:t xml:space="preserve">a presente Resolución fue aprobada por el Pleno del Instituto Federal de Telecomunicaciones en su XVII Sesión Ordinaria celebrada el 9 de mayo de 2018, </w:t>
      </w:r>
      <w:r w:rsidR="00BA0EC5" w:rsidRPr="00BA0EC5">
        <w:rPr>
          <w:rFonts w:ascii="ITC Avant Garde" w:hAnsi="ITC Avant Garde"/>
          <w:bCs/>
          <w:sz w:val="13"/>
          <w:szCs w:val="13"/>
          <w:lang w:eastAsia="es-MX"/>
        </w:rPr>
        <w:t>en lo general por</w:t>
      </w:r>
      <w:r w:rsidR="00BA0EC5" w:rsidRPr="00BA0EC5">
        <w:rPr>
          <w:rFonts w:ascii="ITC Avant Garde" w:hAnsi="ITC Avant Garde"/>
          <w:sz w:val="13"/>
          <w:szCs w:val="13"/>
          <w:lang w:eastAsia="es-MX"/>
        </w:rPr>
        <w:t xml:space="preserve"> </w:t>
      </w:r>
      <w:r w:rsidR="00BA0EC5" w:rsidRPr="00BA0EC5">
        <w:rPr>
          <w:rFonts w:ascii="ITC Avant Garde" w:hAnsi="ITC Avant Garde"/>
          <w:bCs/>
          <w:sz w:val="13"/>
          <w:szCs w:val="13"/>
          <w:lang w:eastAsia="es-MX"/>
        </w:rPr>
        <w:t>unanimidad</w:t>
      </w:r>
      <w:r w:rsidR="00BA0EC5" w:rsidRPr="00BA0EC5">
        <w:rPr>
          <w:rFonts w:ascii="ITC Avant Garde" w:hAnsi="ITC Avant Garde"/>
          <w:sz w:val="13"/>
          <w:szCs w:val="13"/>
          <w:lang w:eastAsia="es-MX"/>
        </w:rPr>
        <w:t xml:space="preserve"> de votos de los Comisionados Gabriel Oswaldo Contreras Saldívar, María Elena Estavillo Flores, Mario Germán Fromow Rangel, Adolfo Cuevas Teja, Javier Juárez Mojica, Arturo Robles Rovalo y Sóstenes Díaz González.</w:t>
      </w:r>
    </w:p>
    <w:p w14:paraId="0764155A" w14:textId="541A2EB4" w:rsidR="00BA0EC5" w:rsidRPr="00BA0EC5" w:rsidRDefault="00BA0EC5" w:rsidP="00907F25">
      <w:pPr>
        <w:spacing w:after="240" w:line="360" w:lineRule="auto"/>
        <w:jc w:val="both"/>
        <w:rPr>
          <w:sz w:val="13"/>
          <w:szCs w:val="13"/>
        </w:rPr>
      </w:pPr>
      <w:r w:rsidRPr="00BA0EC5">
        <w:rPr>
          <w:rFonts w:ascii="ITC Avant Garde" w:hAnsi="ITC Avant Garde"/>
          <w:sz w:val="13"/>
          <w:szCs w:val="13"/>
          <w:lang w:eastAsia="es-MX"/>
        </w:rPr>
        <w:t>En lo particular, la Comisionada María Elena Estavillo Flores y el Comisionado Javier Juárez Mojica manifiestan voto en contra del Resolutivo Segundo y su parte considerativa.</w:t>
      </w:r>
      <w:r w:rsidRPr="00BA0EC5">
        <w:rPr>
          <w:color w:val="1F497D"/>
          <w:sz w:val="13"/>
          <w:szCs w:val="13"/>
          <w:lang w:eastAsia="es-MX"/>
        </w:rPr>
        <w:t> </w:t>
      </w:r>
      <w:r w:rsidRPr="00BA0EC5">
        <w:rPr>
          <w:rFonts w:ascii="ITC Avant Garde" w:hAnsi="ITC Avant Garde"/>
          <w:sz w:val="13"/>
          <w:szCs w:val="13"/>
          <w:lang w:eastAsia="es-MX"/>
        </w:rPr>
        <w:t> </w:t>
      </w:r>
    </w:p>
    <w:p w14:paraId="7E7E2CE2" w14:textId="5922C7DE" w:rsidR="002A4F0C" w:rsidRPr="00787FA1" w:rsidRDefault="00BA0EC5" w:rsidP="00907F25">
      <w:pPr>
        <w:spacing w:after="240" w:line="360" w:lineRule="auto"/>
        <w:jc w:val="both"/>
        <w:rPr>
          <w:rFonts w:ascii="ITC Avant Garde" w:eastAsia="Times New Roman" w:hAnsi="ITC Avant Garde"/>
          <w:bCs/>
          <w:color w:val="000000"/>
          <w:lang w:eastAsia="es-MX"/>
        </w:rPr>
      </w:pPr>
      <w:r w:rsidRPr="00BA0EC5">
        <w:rPr>
          <w:rFonts w:ascii="ITC Avant Garde" w:hAnsi="ITC Avant Garde"/>
          <w:sz w:val="13"/>
          <w:szCs w:val="13"/>
          <w:lang w:eastAsia="es-MX"/>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P/IFT/090518/352.</w:t>
      </w:r>
    </w:p>
    <w:sectPr w:rsidR="002A4F0C" w:rsidRPr="00787FA1" w:rsidSect="00802C6F">
      <w:headerReference w:type="default" r:id="rId50"/>
      <w:pgSz w:w="12240" w:h="15840"/>
      <w:pgMar w:top="2126" w:right="1325" w:bottom="1701" w:left="1701" w:header="709" w:footer="9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B60E3" w14:textId="77777777" w:rsidR="00C44A98" w:rsidRDefault="00C44A98" w:rsidP="003B7118">
      <w:pPr>
        <w:spacing w:after="0" w:line="240" w:lineRule="auto"/>
      </w:pPr>
      <w:r>
        <w:separator/>
      </w:r>
    </w:p>
  </w:endnote>
  <w:endnote w:type="continuationSeparator" w:id="0">
    <w:p w14:paraId="787A5774" w14:textId="77777777" w:rsidR="00C44A98" w:rsidRDefault="00C44A98" w:rsidP="003B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2739" w14:textId="10296E4B" w:rsidR="00E12243" w:rsidRDefault="00E12243" w:rsidP="00532AC5">
    <w:pPr>
      <w:pStyle w:val="Piedepgina"/>
      <w:jc w:val="center"/>
    </w:pPr>
    <w:r w:rsidRPr="004A5114">
      <w:rPr>
        <w:rFonts w:ascii="ITC Avant Garde" w:eastAsia="Times New Roman" w:hAnsi="ITC Avant Garde"/>
        <w:b/>
        <w:bCs/>
        <w:color w:val="000000"/>
        <w:lang w:eastAsia="es-MX"/>
      </w:rPr>
      <w:t xml:space="preserve">Página </w:t>
    </w:r>
    <w:r w:rsidRPr="004A5114">
      <w:rPr>
        <w:rFonts w:ascii="ITC Avant Garde" w:eastAsia="Times New Roman" w:hAnsi="ITC Avant Garde"/>
        <w:b/>
        <w:bCs/>
        <w:color w:val="000000"/>
        <w:lang w:eastAsia="es-MX"/>
      </w:rPr>
      <w:fldChar w:fldCharType="begin"/>
    </w:r>
    <w:r>
      <w:rPr>
        <w:rFonts w:ascii="ITC Avant Garde" w:eastAsia="Times New Roman" w:hAnsi="ITC Avant Garde"/>
        <w:b/>
        <w:bCs/>
        <w:color w:val="000000"/>
        <w:lang w:eastAsia="es-MX"/>
      </w:rPr>
      <w:instrText>PAGE</w:instrText>
    </w:r>
    <w:r w:rsidRPr="004A5114">
      <w:rPr>
        <w:rFonts w:ascii="ITC Avant Garde" w:eastAsia="Times New Roman" w:hAnsi="ITC Avant Garde"/>
        <w:b/>
        <w:bCs/>
        <w:color w:val="000000"/>
        <w:lang w:eastAsia="es-MX"/>
      </w:rPr>
      <w:fldChar w:fldCharType="separate"/>
    </w:r>
    <w:r w:rsidR="001E0C4E">
      <w:rPr>
        <w:rFonts w:ascii="ITC Avant Garde" w:eastAsia="Times New Roman" w:hAnsi="ITC Avant Garde"/>
        <w:b/>
        <w:bCs/>
        <w:noProof/>
        <w:color w:val="000000"/>
        <w:lang w:eastAsia="es-MX"/>
      </w:rPr>
      <w:t>2</w:t>
    </w:r>
    <w:r w:rsidRPr="004A5114">
      <w:rPr>
        <w:rFonts w:ascii="ITC Avant Garde" w:eastAsia="Times New Roman" w:hAnsi="ITC Avant Garde"/>
        <w:b/>
        <w:bCs/>
        <w:color w:val="000000"/>
        <w:lang w:eastAsia="es-MX"/>
      </w:rPr>
      <w:fldChar w:fldCharType="end"/>
    </w:r>
    <w:r w:rsidRPr="004A5114">
      <w:rPr>
        <w:rFonts w:ascii="ITC Avant Garde" w:eastAsia="Times New Roman" w:hAnsi="ITC Avant Garde"/>
        <w:b/>
        <w:bCs/>
        <w:color w:val="000000"/>
        <w:lang w:eastAsia="es-MX"/>
      </w:rPr>
      <w:t xml:space="preserve"> de </w:t>
    </w:r>
    <w:r w:rsidRPr="004A5114">
      <w:rPr>
        <w:rFonts w:ascii="ITC Avant Garde" w:eastAsia="Times New Roman" w:hAnsi="ITC Avant Garde"/>
        <w:b/>
        <w:bCs/>
        <w:color w:val="000000"/>
        <w:lang w:eastAsia="es-MX"/>
      </w:rPr>
      <w:fldChar w:fldCharType="begin"/>
    </w:r>
    <w:r>
      <w:rPr>
        <w:rFonts w:ascii="ITC Avant Garde" w:eastAsia="Times New Roman" w:hAnsi="ITC Avant Garde"/>
        <w:b/>
        <w:bCs/>
        <w:color w:val="000000"/>
        <w:lang w:eastAsia="es-MX"/>
      </w:rPr>
      <w:instrText>NUMPAGES</w:instrText>
    </w:r>
    <w:r w:rsidRPr="004A5114">
      <w:rPr>
        <w:rFonts w:ascii="ITC Avant Garde" w:eastAsia="Times New Roman" w:hAnsi="ITC Avant Garde"/>
        <w:b/>
        <w:bCs/>
        <w:color w:val="000000"/>
        <w:lang w:eastAsia="es-MX"/>
      </w:rPr>
      <w:fldChar w:fldCharType="separate"/>
    </w:r>
    <w:r w:rsidR="001E0C4E">
      <w:rPr>
        <w:rFonts w:ascii="ITC Avant Garde" w:eastAsia="Times New Roman" w:hAnsi="ITC Avant Garde"/>
        <w:b/>
        <w:bCs/>
        <w:noProof/>
        <w:color w:val="000000"/>
        <w:lang w:eastAsia="es-MX"/>
      </w:rPr>
      <w:t>173</w:t>
    </w:r>
    <w:r w:rsidRPr="004A5114">
      <w:rPr>
        <w:rFonts w:ascii="ITC Avant Garde" w:eastAsia="Times New Roman" w:hAnsi="ITC Avant Garde"/>
        <w:b/>
        <w:bCs/>
        <w:color w:val="000000"/>
        <w:lang w:eastAsia="es-MX"/>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D3351" w14:textId="77777777" w:rsidR="00C44A98" w:rsidRDefault="00C44A98" w:rsidP="003B7118">
      <w:pPr>
        <w:spacing w:after="0" w:line="240" w:lineRule="auto"/>
      </w:pPr>
      <w:r>
        <w:separator/>
      </w:r>
    </w:p>
  </w:footnote>
  <w:footnote w:type="continuationSeparator" w:id="0">
    <w:p w14:paraId="3225D834" w14:textId="77777777" w:rsidR="00C44A98" w:rsidRDefault="00C44A98" w:rsidP="003B7118">
      <w:pPr>
        <w:spacing w:after="0" w:line="240" w:lineRule="auto"/>
      </w:pPr>
      <w:r>
        <w:continuationSeparator/>
      </w:r>
    </w:p>
  </w:footnote>
  <w:footnote w:id="1">
    <w:p w14:paraId="0F75DB43" w14:textId="77777777" w:rsidR="00E12243" w:rsidRPr="003E77AE" w:rsidRDefault="00E12243" w:rsidP="00E85899">
      <w:pPr>
        <w:pStyle w:val="Textonotapie"/>
        <w:spacing w:after="0" w:line="240" w:lineRule="auto"/>
        <w:jc w:val="both"/>
        <w:rPr>
          <w:rFonts w:ascii="ITC Avant Garde" w:hAnsi="ITC Avant Garde"/>
          <w:sz w:val="16"/>
          <w:szCs w:val="16"/>
        </w:rPr>
      </w:pPr>
      <w:r w:rsidRPr="003E77AE">
        <w:rPr>
          <w:rStyle w:val="Refdenotaalpie"/>
          <w:rFonts w:ascii="ITC Avant Garde" w:hAnsi="ITC Avant Garde"/>
          <w:sz w:val="16"/>
          <w:szCs w:val="16"/>
        </w:rPr>
        <w:footnoteRef/>
      </w:r>
      <w:r w:rsidRPr="003E77AE">
        <w:rPr>
          <w:rFonts w:ascii="ITC Avant Garde" w:hAnsi="ITC Avant Garde"/>
          <w:sz w:val="16"/>
          <w:szCs w:val="16"/>
        </w:rPr>
        <w:t xml:space="preserve"> </w:t>
      </w:r>
      <w:r w:rsidRPr="003E77AE">
        <w:rPr>
          <w:rFonts w:ascii="ITC Avant Garde" w:hAnsi="ITC Avant Garde"/>
          <w:b/>
          <w:sz w:val="16"/>
          <w:szCs w:val="16"/>
        </w:rPr>
        <w:t>ACUERDO</w:t>
      </w:r>
      <w:r w:rsidRPr="003E77AE">
        <w:rPr>
          <w:rFonts w:ascii="ITC Avant Garde" w:hAnsi="ITC Avant Garde"/>
          <w:sz w:val="16"/>
          <w:szCs w:val="16"/>
        </w:rPr>
        <w:t xml:space="preserve"> mediante el cual el Pleno del Instituto Federal de Telecomunicaciones emite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(en adelante “DOF”), el </w:t>
      </w:r>
      <w:r>
        <w:rPr>
          <w:rFonts w:ascii="ITC Avant Garde" w:hAnsi="ITC Avant Garde"/>
          <w:sz w:val="16"/>
          <w:szCs w:val="16"/>
        </w:rPr>
        <w:t>27</w:t>
      </w:r>
      <w:r w:rsidRPr="003E77AE">
        <w:rPr>
          <w:rFonts w:ascii="ITC Avant Garde" w:hAnsi="ITC Avant Garde"/>
          <w:sz w:val="16"/>
          <w:szCs w:val="16"/>
        </w:rPr>
        <w:t xml:space="preserve"> de febrero de </w:t>
      </w:r>
      <w:r>
        <w:rPr>
          <w:rFonts w:ascii="ITC Avant Garde" w:hAnsi="ITC Avant Garde"/>
          <w:sz w:val="16"/>
          <w:szCs w:val="16"/>
        </w:rPr>
        <w:t>2014</w:t>
      </w:r>
      <w:r w:rsidRPr="003E77AE">
        <w:rPr>
          <w:rFonts w:ascii="ITC Avant Garde" w:hAnsi="ITC Avant Garde"/>
          <w:sz w:val="16"/>
          <w:szCs w:val="16"/>
        </w:rPr>
        <w:t>.</w:t>
      </w:r>
    </w:p>
  </w:footnote>
  <w:footnote w:id="2">
    <w:p w14:paraId="3769658B" w14:textId="77777777" w:rsidR="00E12243" w:rsidRPr="003E77AE" w:rsidRDefault="00E12243" w:rsidP="00E85899">
      <w:pPr>
        <w:pStyle w:val="Textonotapie"/>
        <w:spacing w:after="0" w:line="240" w:lineRule="auto"/>
        <w:jc w:val="both"/>
        <w:rPr>
          <w:rFonts w:ascii="ITC Avant Garde" w:hAnsi="ITC Avant Garde"/>
          <w:sz w:val="16"/>
          <w:szCs w:val="16"/>
        </w:rPr>
      </w:pPr>
      <w:r w:rsidRPr="003E77AE">
        <w:rPr>
          <w:rStyle w:val="Refdenotaalpie"/>
          <w:rFonts w:ascii="ITC Avant Garde" w:hAnsi="ITC Avant Garde"/>
          <w:sz w:val="16"/>
          <w:szCs w:val="16"/>
        </w:rPr>
        <w:footnoteRef/>
      </w:r>
      <w:r w:rsidRPr="003E77AE">
        <w:rPr>
          <w:rFonts w:ascii="ITC Avant Garde" w:hAnsi="ITC Avant Garde"/>
          <w:sz w:val="16"/>
          <w:szCs w:val="16"/>
        </w:rPr>
        <w:t xml:space="preserve"> ACUERDO por el que el Pleno del Instituto Federal de Telecomunicaciones </w:t>
      </w:r>
      <w:r w:rsidRPr="003E77AE">
        <w:rPr>
          <w:rFonts w:ascii="ITC Avant Garde" w:hAnsi="ITC Avant Garde"/>
          <w:b/>
          <w:sz w:val="16"/>
          <w:szCs w:val="16"/>
        </w:rPr>
        <w:t>MODIFICA</w:t>
      </w:r>
      <w:r w:rsidRPr="003E77AE">
        <w:rPr>
          <w:rFonts w:ascii="ITC Avant Garde" w:hAnsi="ITC Avant Garde"/>
          <w:sz w:val="16"/>
          <w:szCs w:val="16"/>
        </w:rPr>
        <w:t xml:space="preserve"> los Lineamientos generales en relación con lo dispuesto por la fracción I del artículo octavo transitorio del Decreto por el que se reforman y adicionan diversas disposiciones de los artículos 6°, 7°, 27, 28, 73, 78, 94 y 105 de la Constitución Política de los Estados Unidos Mexicanos, en materia de Telecomunicaciones”, publicado en el DOF el </w:t>
      </w:r>
      <w:r>
        <w:rPr>
          <w:rFonts w:ascii="ITC Avant Garde" w:hAnsi="ITC Avant Garde"/>
          <w:sz w:val="16"/>
          <w:szCs w:val="16"/>
        </w:rPr>
        <w:t xml:space="preserve">6 </w:t>
      </w:r>
      <w:r w:rsidRPr="003E77AE">
        <w:rPr>
          <w:rFonts w:ascii="ITC Avant Garde" w:hAnsi="ITC Avant Garde"/>
          <w:sz w:val="16"/>
          <w:szCs w:val="16"/>
        </w:rPr>
        <w:t xml:space="preserve">de febrero de </w:t>
      </w:r>
      <w:r>
        <w:rPr>
          <w:rFonts w:ascii="ITC Avant Garde" w:hAnsi="ITC Avant Garde"/>
          <w:sz w:val="16"/>
          <w:szCs w:val="16"/>
        </w:rPr>
        <w:t>2015</w:t>
      </w:r>
      <w:r w:rsidRPr="003E77AE">
        <w:rPr>
          <w:rFonts w:ascii="ITC Avant Garde" w:hAnsi="ITC Avant Garde"/>
          <w:sz w:val="16"/>
          <w:szCs w:val="16"/>
        </w:rPr>
        <w:t>.</w:t>
      </w:r>
    </w:p>
  </w:footnote>
  <w:footnote w:id="3">
    <w:p w14:paraId="616954EB" w14:textId="77777777" w:rsidR="00E12243" w:rsidRPr="003E77AE" w:rsidRDefault="00E12243" w:rsidP="00E85899">
      <w:pPr>
        <w:pStyle w:val="Textonotapie"/>
        <w:spacing w:after="0" w:line="240" w:lineRule="auto"/>
        <w:jc w:val="both"/>
        <w:rPr>
          <w:rFonts w:ascii="ITC Avant Garde" w:hAnsi="ITC Avant Garde"/>
          <w:sz w:val="16"/>
          <w:szCs w:val="16"/>
        </w:rPr>
      </w:pPr>
      <w:r w:rsidRPr="003E77AE">
        <w:rPr>
          <w:rStyle w:val="Refdenotaalpie"/>
          <w:rFonts w:ascii="ITC Avant Garde" w:hAnsi="ITC Avant Garde"/>
          <w:sz w:val="16"/>
          <w:szCs w:val="16"/>
        </w:rPr>
        <w:footnoteRef/>
      </w:r>
      <w:r w:rsidRPr="003E77AE">
        <w:rPr>
          <w:rFonts w:ascii="ITC Avant Garde" w:hAnsi="ITC Avant Garde"/>
          <w:sz w:val="16"/>
          <w:szCs w:val="16"/>
        </w:rPr>
        <w:t xml:space="preserve"> </w:t>
      </w:r>
      <w:r w:rsidRPr="003E77AE">
        <w:rPr>
          <w:rFonts w:ascii="ITC Avant Garde" w:hAnsi="ITC Avant Garde"/>
          <w:b/>
          <w:sz w:val="16"/>
          <w:szCs w:val="16"/>
        </w:rPr>
        <w:t>LISTADO</w:t>
      </w:r>
      <w:r w:rsidRPr="003E77AE">
        <w:rPr>
          <w:rFonts w:ascii="ITC Avant Garde" w:hAnsi="ITC Avant Garde"/>
          <w:sz w:val="16"/>
          <w:szCs w:val="16"/>
        </w:rPr>
        <w:t xml:space="preserve">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reforman y adicionan diversas disposiciones de los artículos 6°, 7°, 27, 28, 73, 78, 94 y 105 de la Constitución Política de los Estados Unidos Mexicanos, en Materia de Telecomunicaciones, publicado el </w:t>
      </w:r>
      <w:r>
        <w:rPr>
          <w:rFonts w:ascii="ITC Avant Garde" w:hAnsi="ITC Avant Garde"/>
          <w:sz w:val="16"/>
          <w:szCs w:val="16"/>
        </w:rPr>
        <w:t>27</w:t>
      </w:r>
      <w:r w:rsidRPr="003E77AE">
        <w:rPr>
          <w:rFonts w:ascii="ITC Avant Garde" w:hAnsi="ITC Avant Garde"/>
          <w:sz w:val="16"/>
          <w:szCs w:val="16"/>
        </w:rPr>
        <w:t xml:space="preserve"> de febrero de </w:t>
      </w:r>
      <w:r>
        <w:rPr>
          <w:rFonts w:ascii="ITC Avant Garde" w:hAnsi="ITC Avant Garde"/>
          <w:sz w:val="16"/>
          <w:szCs w:val="16"/>
        </w:rPr>
        <w:t>2014</w:t>
      </w:r>
      <w:r w:rsidRPr="003E77AE">
        <w:rPr>
          <w:rFonts w:ascii="ITC Avant Garde" w:hAnsi="ITC Avant Garde"/>
          <w:sz w:val="16"/>
          <w:szCs w:val="16"/>
        </w:rPr>
        <w:t xml:space="preserve">”, publicado en el DOF el </w:t>
      </w:r>
      <w:r>
        <w:rPr>
          <w:rFonts w:ascii="ITC Avant Garde" w:hAnsi="ITC Avant Garde"/>
          <w:sz w:val="16"/>
          <w:szCs w:val="16"/>
        </w:rPr>
        <w:t>6</w:t>
      </w:r>
      <w:r w:rsidRPr="003E77AE">
        <w:rPr>
          <w:rFonts w:ascii="ITC Avant Garde" w:hAnsi="ITC Avant Garde"/>
          <w:sz w:val="16"/>
          <w:szCs w:val="16"/>
        </w:rPr>
        <w:t xml:space="preserve"> de mayo de </w:t>
      </w:r>
      <w:r>
        <w:rPr>
          <w:rFonts w:ascii="ITC Avant Garde" w:hAnsi="ITC Avant Garde"/>
          <w:sz w:val="16"/>
          <w:szCs w:val="16"/>
        </w:rPr>
        <w:t>2014</w:t>
      </w:r>
    </w:p>
  </w:footnote>
  <w:footnote w:id="4">
    <w:p w14:paraId="20EBA9E4" w14:textId="77777777" w:rsidR="00E12243" w:rsidRDefault="00E12243" w:rsidP="00E85899">
      <w:pPr>
        <w:pStyle w:val="Textonotapie"/>
        <w:spacing w:after="0" w:line="240" w:lineRule="auto"/>
        <w:jc w:val="both"/>
      </w:pPr>
      <w:r w:rsidRPr="003E77AE">
        <w:rPr>
          <w:rStyle w:val="Refdenotaalpie"/>
          <w:rFonts w:ascii="ITC Avant Garde" w:hAnsi="ITC Avant Garde"/>
          <w:sz w:val="16"/>
          <w:szCs w:val="16"/>
        </w:rPr>
        <w:footnoteRef/>
      </w:r>
      <w:r w:rsidRPr="003E77AE">
        <w:rPr>
          <w:rFonts w:ascii="ITC Avant Garde" w:hAnsi="ITC Avant Garde"/>
          <w:sz w:val="16"/>
          <w:szCs w:val="16"/>
        </w:rPr>
        <w:t xml:space="preserve"> </w:t>
      </w:r>
      <w:r w:rsidRPr="003E77AE">
        <w:rPr>
          <w:rFonts w:ascii="ITC Avant Garde" w:hAnsi="ITC Avant Garde"/>
          <w:b/>
          <w:sz w:val="16"/>
          <w:szCs w:val="16"/>
        </w:rPr>
        <w:t>ACTUALIZACIÓN</w:t>
      </w:r>
      <w:r w:rsidRPr="003E77AE">
        <w:rPr>
          <w:rFonts w:ascii="ITC Avant Garde" w:hAnsi="ITC Avant Garde"/>
          <w:sz w:val="16"/>
          <w:szCs w:val="16"/>
        </w:rPr>
        <w:t xml:space="preserve"> del Listado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reforman y adicionan diversas disposiciones de los artículos 6°, 7°, 27, 28, 73, 78, 94 y 105 de la Constitución Política de los Estados Unidos Mexicanos, en Materia de Telecomunicaciones, publicado el 27 de febrero de 2014”</w:t>
      </w:r>
      <w:r>
        <w:rPr>
          <w:rFonts w:ascii="ITC Avant Garde" w:hAnsi="ITC Avant Garde"/>
          <w:sz w:val="16"/>
          <w:szCs w:val="16"/>
        </w:rPr>
        <w:t>,</w:t>
      </w:r>
      <w:r w:rsidRPr="003E77AE">
        <w:rPr>
          <w:rFonts w:ascii="ITC Avant Garde" w:hAnsi="ITC Avant Garde"/>
          <w:sz w:val="16"/>
          <w:szCs w:val="16"/>
        </w:rPr>
        <w:t xml:space="preserve"> con fechas de publicación en el DOF de </w:t>
      </w:r>
      <w:r>
        <w:rPr>
          <w:rFonts w:ascii="ITC Avant Garde" w:hAnsi="ITC Avant Garde"/>
          <w:sz w:val="16"/>
          <w:szCs w:val="16"/>
        </w:rPr>
        <w:t>21</w:t>
      </w:r>
      <w:r w:rsidRPr="003E77AE">
        <w:rPr>
          <w:rFonts w:ascii="ITC Avant Garde" w:hAnsi="ITC Avant Garde"/>
          <w:sz w:val="16"/>
          <w:szCs w:val="16"/>
        </w:rPr>
        <w:t xml:space="preserve"> de octubre de </w:t>
      </w:r>
      <w:r>
        <w:rPr>
          <w:rFonts w:ascii="ITC Avant Garde" w:hAnsi="ITC Avant Garde"/>
          <w:sz w:val="16"/>
          <w:szCs w:val="16"/>
        </w:rPr>
        <w:t>2014</w:t>
      </w:r>
      <w:r w:rsidRPr="003E77AE">
        <w:rPr>
          <w:rFonts w:ascii="ITC Avant Garde" w:hAnsi="ITC Avant Garde"/>
          <w:sz w:val="16"/>
          <w:szCs w:val="16"/>
        </w:rPr>
        <w:t xml:space="preserve"> y </w:t>
      </w:r>
      <w:r>
        <w:rPr>
          <w:rFonts w:ascii="ITC Avant Garde" w:hAnsi="ITC Avant Garde"/>
          <w:sz w:val="16"/>
          <w:szCs w:val="16"/>
        </w:rPr>
        <w:t>20</w:t>
      </w:r>
      <w:r w:rsidRPr="003E77AE">
        <w:rPr>
          <w:rFonts w:ascii="ITC Avant Garde" w:hAnsi="ITC Avant Garde"/>
          <w:sz w:val="16"/>
          <w:szCs w:val="16"/>
        </w:rPr>
        <w:t xml:space="preserve"> de noviembre de </w:t>
      </w:r>
      <w:r>
        <w:rPr>
          <w:rFonts w:ascii="ITC Avant Garde" w:hAnsi="ITC Avant Garde"/>
          <w:sz w:val="16"/>
          <w:szCs w:val="16"/>
        </w:rPr>
        <w:t>2015</w:t>
      </w:r>
      <w:r w:rsidRPr="003E77AE">
        <w:rPr>
          <w:rFonts w:ascii="ITC Avant Garde" w:hAnsi="ITC Avant Garde"/>
          <w:sz w:val="16"/>
          <w:szCs w:val="16"/>
        </w:rPr>
        <w:t>.</w:t>
      </w:r>
    </w:p>
  </w:footnote>
  <w:footnote w:id="5">
    <w:p w14:paraId="51D7808A" w14:textId="77777777" w:rsidR="00E12243" w:rsidRPr="00250345" w:rsidRDefault="00E12243" w:rsidP="00310D70">
      <w:pPr>
        <w:pStyle w:val="Textonotapie"/>
        <w:spacing w:after="0" w:line="240" w:lineRule="auto"/>
        <w:rPr>
          <w:rFonts w:ascii="ITC Avant Garde" w:hAnsi="ITC Avant Garde"/>
          <w:sz w:val="16"/>
          <w:szCs w:val="18"/>
        </w:rPr>
      </w:pPr>
      <w:r w:rsidRPr="00250345">
        <w:rPr>
          <w:rStyle w:val="Refdenotaalpie"/>
          <w:rFonts w:ascii="ITC Avant Garde" w:hAnsi="ITC Avant Garde"/>
          <w:sz w:val="16"/>
          <w:szCs w:val="18"/>
        </w:rPr>
        <w:footnoteRef/>
      </w:r>
      <w:r w:rsidRPr="00250345">
        <w:rPr>
          <w:rFonts w:ascii="ITC Avant Garde" w:hAnsi="ITC Avant Garde"/>
          <w:sz w:val="16"/>
          <w:szCs w:val="18"/>
        </w:rPr>
        <w:t xml:space="preserve"> Se resaltan con negritas y subrayado las modificaciones y adiciones.</w:t>
      </w:r>
    </w:p>
  </w:footnote>
  <w:footnote w:id="6">
    <w:p w14:paraId="57B02103" w14:textId="7721166B" w:rsidR="00E12243" w:rsidRPr="006A4C95" w:rsidRDefault="00E12243" w:rsidP="006A4C95">
      <w:pPr>
        <w:pStyle w:val="Textonotapie"/>
        <w:spacing w:after="0" w:line="240" w:lineRule="auto"/>
        <w:jc w:val="both"/>
        <w:rPr>
          <w:rFonts w:ascii="ITC Avant Garde" w:hAnsi="ITC Avant Garde"/>
          <w:sz w:val="16"/>
        </w:rPr>
      </w:pPr>
      <w:r w:rsidRPr="006A4C95">
        <w:rPr>
          <w:rStyle w:val="Refdenotaalpie"/>
          <w:rFonts w:ascii="ITC Avant Garde" w:hAnsi="ITC Avant Garde"/>
          <w:sz w:val="16"/>
        </w:rPr>
        <w:footnoteRef/>
      </w:r>
      <w:r w:rsidRPr="006A4C95">
        <w:rPr>
          <w:rFonts w:ascii="ITC Avant Garde" w:hAnsi="ITC Avant Garde"/>
          <w:sz w:val="16"/>
        </w:rPr>
        <w:t xml:space="preserve"> Respecto del porcentaje mínimo a que se refiere este precepto legal, en el presente asunto se tomará en cuenta lo resuelto en el amparo en revisión 210/2017 y al momento de resolver se acudirá al porcentaje mínimo del 0.01%.</w:t>
      </w:r>
    </w:p>
  </w:footnote>
  <w:footnote w:id="7">
    <w:p w14:paraId="536B063F" w14:textId="77777777" w:rsidR="00E12243" w:rsidRPr="00F32E58" w:rsidRDefault="00E12243" w:rsidP="00310D70">
      <w:pPr>
        <w:pStyle w:val="Textonotapie"/>
        <w:spacing w:after="0" w:line="240" w:lineRule="auto"/>
        <w:ind w:right="-850"/>
        <w:jc w:val="both"/>
        <w:rPr>
          <w:rFonts w:ascii="ITC Avant Garde" w:hAnsi="ITC Avant Garde"/>
          <w:sz w:val="16"/>
          <w:szCs w:val="18"/>
        </w:rPr>
      </w:pPr>
      <w:r w:rsidRPr="00F32E58">
        <w:rPr>
          <w:rStyle w:val="Refdenotaalpie"/>
          <w:rFonts w:ascii="ITC Avant Garde" w:hAnsi="ITC Avant Garde"/>
          <w:sz w:val="16"/>
          <w:szCs w:val="18"/>
        </w:rPr>
        <w:footnoteRef/>
      </w:r>
      <w:r w:rsidRPr="00F32E58">
        <w:rPr>
          <w:rFonts w:ascii="ITC Avant Garde" w:hAnsi="ITC Avant Garde"/>
          <w:sz w:val="16"/>
          <w:szCs w:val="18"/>
        </w:rPr>
        <w:t xml:space="preserve"> </w:t>
      </w:r>
      <w:r w:rsidRPr="00E12243">
        <w:rPr>
          <w:rFonts w:ascii="ITC Avant Garde" w:hAnsi="ITC Avant Garde"/>
          <w:sz w:val="14"/>
          <w:szCs w:val="14"/>
        </w:rPr>
        <w:t>Dichos principios tienen su fundamento en los artículos 14 y 16 de la Constitución Política de los Estados Unidos Mexicanos, los cuales establecen la garantía de debido proceso.</w:t>
      </w:r>
    </w:p>
  </w:footnote>
  <w:footnote w:id="8">
    <w:p w14:paraId="4BDB901A" w14:textId="77777777" w:rsidR="00E12243" w:rsidRPr="00310D70" w:rsidRDefault="00E12243" w:rsidP="00310D70">
      <w:pPr>
        <w:pStyle w:val="Textonotapie"/>
        <w:spacing w:after="0" w:line="240" w:lineRule="auto"/>
        <w:jc w:val="both"/>
        <w:rPr>
          <w:rFonts w:ascii="ITC Avant Garde" w:hAnsi="ITC Avant Garde"/>
          <w:sz w:val="18"/>
          <w:szCs w:val="18"/>
        </w:rPr>
      </w:pPr>
      <w:r w:rsidRPr="00310D70">
        <w:rPr>
          <w:rStyle w:val="Refdenotaalpie"/>
          <w:rFonts w:ascii="ITC Avant Garde" w:hAnsi="ITC Avant Garde"/>
          <w:b/>
          <w:sz w:val="18"/>
          <w:szCs w:val="18"/>
        </w:rPr>
        <w:footnoteRef/>
      </w:r>
      <w:r w:rsidRPr="00310D70">
        <w:rPr>
          <w:rFonts w:ascii="ITC Avant Garde" w:hAnsi="ITC Avant Garde"/>
          <w:b/>
          <w:sz w:val="18"/>
          <w:szCs w:val="18"/>
        </w:rPr>
        <w:t xml:space="preserve"> </w:t>
      </w:r>
      <w:r w:rsidRPr="00310D70">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AC187" w14:textId="77777777" w:rsidR="00E12243" w:rsidRDefault="00C44A98">
    <w:pPr>
      <w:pStyle w:val="Encabezado"/>
    </w:pPr>
    <w:r>
      <w:rPr>
        <w:noProof/>
        <w:lang w:eastAsia="es-MX"/>
      </w:rPr>
      <w:pict w14:anchorId="4E9ED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01"/>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3841E" w14:textId="382677DF" w:rsidR="0083511C" w:rsidRPr="0083511C" w:rsidRDefault="0083511C" w:rsidP="0083511C">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C3DB" w14:textId="77777777" w:rsidR="0083511C" w:rsidRPr="00F06985" w:rsidRDefault="0083511C" w:rsidP="0083511C">
    <w:pPr>
      <w:jc w:val="both"/>
      <w:rPr>
        <w:rFonts w:cs="Calibri"/>
        <w:sz w:val="16"/>
        <w:szCs w:val="16"/>
      </w:rPr>
    </w:pPr>
    <w:r w:rsidRPr="00F06985">
      <w:rPr>
        <w:rFonts w:cs="Calibri"/>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57045" w14:textId="0A469BC9" w:rsidR="0083511C" w:rsidRPr="0083511C" w:rsidRDefault="0083511C" w:rsidP="0083511C">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CB82E" w14:textId="5E7F3875" w:rsidR="0083511C" w:rsidRPr="00F06985" w:rsidRDefault="0083511C" w:rsidP="0083511C">
    <w:pPr>
      <w:jc w:val="both"/>
      <w:rPr>
        <w:rFonts w:cs="Calibri"/>
        <w:sz w:val="16"/>
        <w:szCs w:val="16"/>
      </w:rPr>
    </w:pPr>
    <w:r w:rsidRPr="00F06985">
      <w:rPr>
        <w:rFonts w:cs="Calibri"/>
        <w:sz w:val="16"/>
        <w:szCs w:val="16"/>
      </w:rPr>
      <w:t xml:space="preserve">De conformidad con los artículos 23 y 116, de la Ley General de Transparencia y Acceso a la Información Pública; 113, fracción </w:t>
    </w:r>
    <w:r w:rsidR="006B40FE">
      <w:rPr>
        <w:rFonts w:cs="Calibri"/>
        <w:sz w:val="16"/>
        <w:szCs w:val="16"/>
      </w:rPr>
      <w:t>I</w:t>
    </w:r>
    <w:r w:rsidRPr="00F06985">
      <w:rPr>
        <w:rFonts w:cs="Calibri"/>
        <w:sz w:val="16"/>
        <w:szCs w:val="16"/>
      </w:rPr>
      <w:t xml:space="preserve">I, de la Ley Federal de Transparencia y Acceso a la Información Pública; y 47, primer párrafo, de la Ley Federal de Telecomunicaciones y Radiodifusión; así como los lineamientos Trigésimo Octavo fracción </w:t>
    </w:r>
    <w:r w:rsidR="006B40FE">
      <w:rPr>
        <w:rFonts w:cs="Calibri"/>
        <w:sz w:val="16"/>
        <w:szCs w:val="16"/>
      </w:rPr>
      <w:t>II</w:t>
    </w:r>
    <w:r w:rsidRPr="00F06985">
      <w:rPr>
        <w:rFonts w:cs="Calibri"/>
        <w:sz w:val="16"/>
        <w:szCs w:val="16"/>
      </w:rPr>
      <w:t>I,</w:t>
    </w:r>
    <w:r w:rsidR="006B40FE">
      <w:rPr>
        <w:rFonts w:cs="Calibri"/>
        <w:sz w:val="16"/>
        <w:szCs w:val="16"/>
      </w:rPr>
      <w:t xml:space="preserve"> Cuadragésimo Quinto</w:t>
    </w:r>
    <w:r w:rsidRPr="00F06985">
      <w:rPr>
        <w:rFonts w:cs="Calibri"/>
        <w:sz w:val="16"/>
        <w:szCs w:val="16"/>
      </w:rPr>
      <w:t xml:space="preserve">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0BEED" w14:textId="7549E384" w:rsidR="0083511C" w:rsidRPr="0083511C" w:rsidRDefault="0083511C" w:rsidP="0083511C">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5BA23" w14:textId="77777777" w:rsidR="006B40FE" w:rsidRPr="00F06985" w:rsidRDefault="006B40FE" w:rsidP="006B40FE">
    <w:pPr>
      <w:jc w:val="both"/>
      <w:rPr>
        <w:rFonts w:cs="Calibri"/>
        <w:sz w:val="16"/>
        <w:szCs w:val="16"/>
      </w:rPr>
    </w:pPr>
    <w:r w:rsidRPr="00F06985">
      <w:rPr>
        <w:rFonts w:cs="Calibri"/>
        <w:sz w:val="16"/>
        <w:szCs w:val="16"/>
      </w:rPr>
      <w:t xml:space="preserve">De conformidad con los artículos 23 y 116, de la Ley General de Transparencia y Acceso a la Información Pública; 113, fracción </w:t>
    </w:r>
    <w:r>
      <w:rPr>
        <w:rFonts w:cs="Calibri"/>
        <w:sz w:val="16"/>
        <w:szCs w:val="16"/>
      </w:rPr>
      <w:t>I</w:t>
    </w:r>
    <w:r w:rsidRPr="00F06985">
      <w:rPr>
        <w:rFonts w:cs="Calibri"/>
        <w:sz w:val="16"/>
        <w:szCs w:val="16"/>
      </w:rPr>
      <w:t xml:space="preserve">I, de la Ley Federal de Transparencia y Acceso a la Información Pública; y 47, primer párrafo, de la Ley Federal de Telecomunicaciones y Radiodifusión; así como los lineamientos Trigésimo Octavo fracción </w:t>
    </w:r>
    <w:r>
      <w:rPr>
        <w:rFonts w:cs="Calibri"/>
        <w:sz w:val="16"/>
        <w:szCs w:val="16"/>
      </w:rPr>
      <w:t>II</w:t>
    </w:r>
    <w:r w:rsidRPr="00F06985">
      <w:rPr>
        <w:rFonts w:cs="Calibri"/>
        <w:sz w:val="16"/>
        <w:szCs w:val="16"/>
      </w:rPr>
      <w:t>I,</w:t>
    </w:r>
    <w:r>
      <w:rPr>
        <w:rFonts w:cs="Calibri"/>
        <w:sz w:val="16"/>
        <w:szCs w:val="16"/>
      </w:rPr>
      <w:t xml:space="preserve"> Cuadragésimo Quinto</w:t>
    </w:r>
    <w:r w:rsidRPr="00F06985">
      <w:rPr>
        <w:rFonts w:cs="Calibri"/>
        <w:sz w:val="16"/>
        <w:szCs w:val="16"/>
      </w:rPr>
      <w:t xml:space="preserve">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42CE0" w14:textId="51EFECDC" w:rsidR="00144100" w:rsidRPr="00144100" w:rsidRDefault="00144100" w:rsidP="00144100">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062D3" w14:textId="77777777" w:rsidR="006B40FE" w:rsidRPr="00F06985" w:rsidRDefault="006B40FE" w:rsidP="006B40FE">
    <w:pPr>
      <w:jc w:val="both"/>
      <w:rPr>
        <w:rFonts w:cs="Calibri"/>
        <w:sz w:val="16"/>
        <w:szCs w:val="16"/>
      </w:rPr>
    </w:pPr>
    <w:r w:rsidRPr="00F06985">
      <w:rPr>
        <w:rFonts w:cs="Calibri"/>
        <w:sz w:val="16"/>
        <w:szCs w:val="16"/>
      </w:rPr>
      <w:t xml:space="preserve">De conformidad con los artículos 23 y 116, de la Ley General de Transparencia y Acceso a la Información Pública; 113, fracción </w:t>
    </w:r>
    <w:r>
      <w:rPr>
        <w:rFonts w:cs="Calibri"/>
        <w:sz w:val="16"/>
        <w:szCs w:val="16"/>
      </w:rPr>
      <w:t>I</w:t>
    </w:r>
    <w:r w:rsidRPr="00F06985">
      <w:rPr>
        <w:rFonts w:cs="Calibri"/>
        <w:sz w:val="16"/>
        <w:szCs w:val="16"/>
      </w:rPr>
      <w:t xml:space="preserve">I, de la Ley Federal de Transparencia y Acceso a la Información Pública; y 47, primer párrafo, de la Ley Federal de Telecomunicaciones y Radiodifusión; así como los lineamientos Trigésimo Octavo fracción </w:t>
    </w:r>
    <w:r>
      <w:rPr>
        <w:rFonts w:cs="Calibri"/>
        <w:sz w:val="16"/>
        <w:szCs w:val="16"/>
      </w:rPr>
      <w:t>II</w:t>
    </w:r>
    <w:r w:rsidRPr="00F06985">
      <w:rPr>
        <w:rFonts w:cs="Calibri"/>
        <w:sz w:val="16"/>
        <w:szCs w:val="16"/>
      </w:rPr>
      <w:t>I,</w:t>
    </w:r>
    <w:r>
      <w:rPr>
        <w:rFonts w:cs="Calibri"/>
        <w:sz w:val="16"/>
        <w:szCs w:val="16"/>
      </w:rPr>
      <w:t xml:space="preserve"> Cuadragésimo Quinto</w:t>
    </w:r>
    <w:r w:rsidRPr="00F06985">
      <w:rPr>
        <w:rFonts w:cs="Calibri"/>
        <w:sz w:val="16"/>
        <w:szCs w:val="16"/>
      </w:rPr>
      <w:t xml:space="preserve">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6BFD0" w14:textId="1B86141D" w:rsidR="00144100" w:rsidRPr="00144100" w:rsidRDefault="00144100" w:rsidP="001441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7D762" w14:textId="77777777" w:rsidR="00E12243" w:rsidRDefault="00C44A98">
    <w:pPr>
      <w:pStyle w:val="Encabezado"/>
    </w:pPr>
    <w:r>
      <w:rPr>
        <w:noProof/>
        <w:lang w:eastAsia="es-MX"/>
      </w:rPr>
      <w:pict w14:anchorId="3E440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3EF99" w14:textId="77777777" w:rsidR="00E12243" w:rsidRPr="00F06985" w:rsidRDefault="00E12243" w:rsidP="00E12243">
    <w:pPr>
      <w:jc w:val="both"/>
      <w:rPr>
        <w:rFonts w:cs="Calibri"/>
        <w:sz w:val="16"/>
        <w:szCs w:val="16"/>
      </w:rPr>
    </w:pPr>
    <w:r w:rsidRPr="00F06985">
      <w:rPr>
        <w:rFonts w:cs="Calibri"/>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AF314" w14:textId="3B7C5A5D" w:rsidR="00E12243" w:rsidRPr="00E12243" w:rsidRDefault="00E12243" w:rsidP="00E12243">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C3598" w14:textId="77777777" w:rsidR="00E12243" w:rsidRPr="00F06985" w:rsidRDefault="00E12243" w:rsidP="00E12243">
    <w:pPr>
      <w:jc w:val="both"/>
      <w:rPr>
        <w:rFonts w:cs="Calibri"/>
        <w:sz w:val="16"/>
        <w:szCs w:val="16"/>
      </w:rPr>
    </w:pPr>
    <w:r w:rsidRPr="00F06985">
      <w:rPr>
        <w:rFonts w:cs="Calibri"/>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24F3D" w14:textId="273BE8CD" w:rsidR="00E12243" w:rsidRPr="00E12243" w:rsidRDefault="00E12243" w:rsidP="00E12243">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F2E5F" w14:textId="77777777" w:rsidR="00E12243" w:rsidRPr="00F06985" w:rsidRDefault="00E12243" w:rsidP="00E12243">
    <w:pPr>
      <w:jc w:val="both"/>
      <w:rPr>
        <w:rFonts w:cs="Calibri"/>
        <w:sz w:val="16"/>
        <w:szCs w:val="16"/>
      </w:rPr>
    </w:pPr>
    <w:r w:rsidRPr="00F06985">
      <w:rPr>
        <w:rFonts w:cs="Calibri"/>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62769" w14:textId="48A149C9" w:rsidR="00E12243" w:rsidRPr="00E12243" w:rsidRDefault="00E12243" w:rsidP="00E12243">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B0C00" w14:textId="77777777" w:rsidR="0083511C" w:rsidRPr="00F06985" w:rsidRDefault="0083511C" w:rsidP="0083511C">
    <w:pPr>
      <w:jc w:val="both"/>
      <w:rPr>
        <w:rFonts w:cs="Calibri"/>
        <w:sz w:val="16"/>
        <w:szCs w:val="16"/>
      </w:rPr>
    </w:pPr>
    <w:r w:rsidRPr="00F06985">
      <w:rPr>
        <w:rFonts w:cs="Calibri"/>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25A5BC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666F7B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8105E7"/>
    <w:multiLevelType w:val="hybridMultilevel"/>
    <w:tmpl w:val="E4120B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2DC5FBF"/>
    <w:multiLevelType w:val="hybridMultilevel"/>
    <w:tmpl w:val="5FEC4164"/>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06621668"/>
    <w:multiLevelType w:val="hybridMultilevel"/>
    <w:tmpl w:val="873ED9F6"/>
    <w:lvl w:ilvl="0" w:tplc="080A0001">
      <w:start w:val="1"/>
      <w:numFmt w:val="bullet"/>
      <w:lvlText w:val=""/>
      <w:lvlJc w:val="left"/>
      <w:pPr>
        <w:ind w:left="941" w:hanging="360"/>
      </w:pPr>
      <w:rPr>
        <w:rFonts w:ascii="Symbol" w:hAnsi="Symbol" w:hint="default"/>
      </w:rPr>
    </w:lvl>
    <w:lvl w:ilvl="1" w:tplc="080A0003" w:tentative="1">
      <w:start w:val="1"/>
      <w:numFmt w:val="bullet"/>
      <w:lvlText w:val="o"/>
      <w:lvlJc w:val="left"/>
      <w:pPr>
        <w:ind w:left="1661" w:hanging="360"/>
      </w:pPr>
      <w:rPr>
        <w:rFonts w:ascii="Courier New" w:hAnsi="Courier New" w:cs="Courier New" w:hint="default"/>
      </w:rPr>
    </w:lvl>
    <w:lvl w:ilvl="2" w:tplc="080A0005" w:tentative="1">
      <w:start w:val="1"/>
      <w:numFmt w:val="bullet"/>
      <w:lvlText w:val=""/>
      <w:lvlJc w:val="left"/>
      <w:pPr>
        <w:ind w:left="2381" w:hanging="360"/>
      </w:pPr>
      <w:rPr>
        <w:rFonts w:ascii="Wingdings" w:hAnsi="Wingdings" w:hint="default"/>
      </w:rPr>
    </w:lvl>
    <w:lvl w:ilvl="3" w:tplc="080A0001" w:tentative="1">
      <w:start w:val="1"/>
      <w:numFmt w:val="bullet"/>
      <w:lvlText w:val=""/>
      <w:lvlJc w:val="left"/>
      <w:pPr>
        <w:ind w:left="3101" w:hanging="360"/>
      </w:pPr>
      <w:rPr>
        <w:rFonts w:ascii="Symbol" w:hAnsi="Symbol" w:hint="default"/>
      </w:rPr>
    </w:lvl>
    <w:lvl w:ilvl="4" w:tplc="080A0003" w:tentative="1">
      <w:start w:val="1"/>
      <w:numFmt w:val="bullet"/>
      <w:lvlText w:val="o"/>
      <w:lvlJc w:val="left"/>
      <w:pPr>
        <w:ind w:left="3821" w:hanging="360"/>
      </w:pPr>
      <w:rPr>
        <w:rFonts w:ascii="Courier New" w:hAnsi="Courier New" w:cs="Courier New" w:hint="default"/>
      </w:rPr>
    </w:lvl>
    <w:lvl w:ilvl="5" w:tplc="080A0005" w:tentative="1">
      <w:start w:val="1"/>
      <w:numFmt w:val="bullet"/>
      <w:lvlText w:val=""/>
      <w:lvlJc w:val="left"/>
      <w:pPr>
        <w:ind w:left="4541" w:hanging="360"/>
      </w:pPr>
      <w:rPr>
        <w:rFonts w:ascii="Wingdings" w:hAnsi="Wingdings" w:hint="default"/>
      </w:rPr>
    </w:lvl>
    <w:lvl w:ilvl="6" w:tplc="080A0001" w:tentative="1">
      <w:start w:val="1"/>
      <w:numFmt w:val="bullet"/>
      <w:lvlText w:val=""/>
      <w:lvlJc w:val="left"/>
      <w:pPr>
        <w:ind w:left="5261" w:hanging="360"/>
      </w:pPr>
      <w:rPr>
        <w:rFonts w:ascii="Symbol" w:hAnsi="Symbol" w:hint="default"/>
      </w:rPr>
    </w:lvl>
    <w:lvl w:ilvl="7" w:tplc="080A0003" w:tentative="1">
      <w:start w:val="1"/>
      <w:numFmt w:val="bullet"/>
      <w:lvlText w:val="o"/>
      <w:lvlJc w:val="left"/>
      <w:pPr>
        <w:ind w:left="5981" w:hanging="360"/>
      </w:pPr>
      <w:rPr>
        <w:rFonts w:ascii="Courier New" w:hAnsi="Courier New" w:cs="Courier New" w:hint="default"/>
      </w:rPr>
    </w:lvl>
    <w:lvl w:ilvl="8" w:tplc="080A0005" w:tentative="1">
      <w:start w:val="1"/>
      <w:numFmt w:val="bullet"/>
      <w:lvlText w:val=""/>
      <w:lvlJc w:val="left"/>
      <w:pPr>
        <w:ind w:left="6701" w:hanging="360"/>
      </w:pPr>
      <w:rPr>
        <w:rFonts w:ascii="Wingdings" w:hAnsi="Wingdings" w:hint="default"/>
      </w:rPr>
    </w:lvl>
  </w:abstractNum>
  <w:abstractNum w:abstractNumId="5" w15:restartNumberingAfterBreak="0">
    <w:nsid w:val="08497FBD"/>
    <w:multiLevelType w:val="hybridMultilevel"/>
    <w:tmpl w:val="20D8472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9065167"/>
    <w:multiLevelType w:val="hybridMultilevel"/>
    <w:tmpl w:val="63DC4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240A2F"/>
    <w:multiLevelType w:val="hybridMultilevel"/>
    <w:tmpl w:val="CD4096D0"/>
    <w:lvl w:ilvl="0" w:tplc="DFC08B08">
      <w:start w:val="1"/>
      <w:numFmt w:val="bullet"/>
      <w:lvlText w:val=""/>
      <w:lvlJc w:val="left"/>
      <w:pPr>
        <w:ind w:left="1287"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0CC350EB"/>
    <w:multiLevelType w:val="hybridMultilevel"/>
    <w:tmpl w:val="BEBE27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4B78F1"/>
    <w:multiLevelType w:val="hybridMultilevel"/>
    <w:tmpl w:val="7A42CAA8"/>
    <w:lvl w:ilvl="0" w:tplc="2D22F390">
      <w:start w:val="2"/>
      <w:numFmt w:val="upperLetter"/>
      <w:lvlText w:val="%1."/>
      <w:lvlJc w:val="left"/>
      <w:pPr>
        <w:ind w:left="720" w:hanging="360"/>
      </w:pPr>
      <w:rPr>
        <w:b/>
      </w:rPr>
    </w:lvl>
    <w:lvl w:ilvl="1" w:tplc="080A0019">
      <w:start w:val="1"/>
      <w:numFmt w:val="lowerLetter"/>
      <w:lvlText w:val="%2."/>
      <w:lvlJc w:val="left"/>
      <w:pPr>
        <w:ind w:left="1440" w:hanging="360"/>
      </w:pPr>
    </w:lvl>
    <w:lvl w:ilvl="2" w:tplc="0610CBBE">
      <w:start w:val="1"/>
      <w:numFmt w:val="upperLetter"/>
      <w:lvlText w:val="%3)"/>
      <w:lvlJc w:val="left"/>
      <w:pPr>
        <w:ind w:left="2340" w:hanging="360"/>
      </w:pPr>
      <w:rPr>
        <w:b/>
      </w:rPr>
    </w:lvl>
    <w:lvl w:ilvl="3" w:tplc="515CAABE">
      <w:start w:val="1"/>
      <w:numFmt w:val="lowerLetter"/>
      <w:lvlText w:val="%4)"/>
      <w:lvlJc w:val="left"/>
      <w:pPr>
        <w:ind w:left="2880"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1254C13"/>
    <w:multiLevelType w:val="multilevel"/>
    <w:tmpl w:val="9950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8C038F"/>
    <w:multiLevelType w:val="hybridMultilevel"/>
    <w:tmpl w:val="9A3EC2F4"/>
    <w:lvl w:ilvl="0" w:tplc="EEB6515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221EA"/>
    <w:multiLevelType w:val="hybridMultilevel"/>
    <w:tmpl w:val="F3AE1D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600A43"/>
    <w:multiLevelType w:val="hybridMultilevel"/>
    <w:tmpl w:val="467C60A2"/>
    <w:lvl w:ilvl="0" w:tplc="E138A0BE">
      <w:start w:val="1"/>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36D2155"/>
    <w:multiLevelType w:val="hybridMultilevel"/>
    <w:tmpl w:val="FBAA6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DD73D5"/>
    <w:multiLevelType w:val="hybridMultilevel"/>
    <w:tmpl w:val="162CDBA8"/>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3CA828B8"/>
    <w:multiLevelType w:val="hybridMultilevel"/>
    <w:tmpl w:val="AFE20274"/>
    <w:lvl w:ilvl="0" w:tplc="E510169C">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9" w15:restartNumberingAfterBreak="0">
    <w:nsid w:val="3CE85E0E"/>
    <w:multiLevelType w:val="hybridMultilevel"/>
    <w:tmpl w:val="FE42F1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AD514F"/>
    <w:multiLevelType w:val="hybridMultilevel"/>
    <w:tmpl w:val="120A53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3E7C4C2B"/>
    <w:multiLevelType w:val="hybridMultilevel"/>
    <w:tmpl w:val="B3728E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3E0FC8"/>
    <w:multiLevelType w:val="hybridMultilevel"/>
    <w:tmpl w:val="5D921416"/>
    <w:lvl w:ilvl="0" w:tplc="07D6164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47BD6CE5"/>
    <w:multiLevelType w:val="hybridMultilevel"/>
    <w:tmpl w:val="9622FA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C03E3E"/>
    <w:multiLevelType w:val="hybridMultilevel"/>
    <w:tmpl w:val="519AFAA6"/>
    <w:lvl w:ilvl="0" w:tplc="482E5982">
      <w:start w:val="1"/>
      <w:numFmt w:val="upperRoman"/>
      <w:lvlText w:val="%1."/>
      <w:lvlJc w:val="right"/>
      <w:pPr>
        <w:ind w:left="720" w:hanging="360"/>
      </w:pPr>
      <w:rPr>
        <w:rFonts w:ascii="ITC Avant Garde" w:hAnsi="ITC Avant Garde"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605337"/>
    <w:multiLevelType w:val="hybridMultilevel"/>
    <w:tmpl w:val="3CE0C38C"/>
    <w:lvl w:ilvl="0" w:tplc="8B5E060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CB75E45"/>
    <w:multiLevelType w:val="hybridMultilevel"/>
    <w:tmpl w:val="1DCA244C"/>
    <w:lvl w:ilvl="0" w:tplc="E1A2B980">
      <w:start w:val="1"/>
      <w:numFmt w:val="upperRoman"/>
      <w:lvlText w:val="%1."/>
      <w:lvlJc w:val="left"/>
      <w:pPr>
        <w:ind w:left="1080" w:hanging="720"/>
      </w:pPr>
      <w:rPr>
        <w:rFonts w:cs="Arial"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637075"/>
    <w:multiLevelType w:val="hybridMultilevel"/>
    <w:tmpl w:val="8BD861A2"/>
    <w:lvl w:ilvl="0" w:tplc="EEB6515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6B4CFA"/>
    <w:multiLevelType w:val="hybridMultilevel"/>
    <w:tmpl w:val="BF3E57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AB2830"/>
    <w:multiLevelType w:val="hybridMultilevel"/>
    <w:tmpl w:val="88988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C309D2"/>
    <w:multiLevelType w:val="hybridMultilevel"/>
    <w:tmpl w:val="9A3EC2F4"/>
    <w:lvl w:ilvl="0" w:tplc="EEB6515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542899"/>
    <w:multiLevelType w:val="hybridMultilevel"/>
    <w:tmpl w:val="769A8D7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FE33A7"/>
    <w:multiLevelType w:val="hybridMultilevel"/>
    <w:tmpl w:val="30F8133A"/>
    <w:lvl w:ilvl="0" w:tplc="F3080324">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5D4447B9"/>
    <w:multiLevelType w:val="hybridMultilevel"/>
    <w:tmpl w:val="519AFAA6"/>
    <w:lvl w:ilvl="0" w:tplc="482E5982">
      <w:start w:val="1"/>
      <w:numFmt w:val="upperRoman"/>
      <w:lvlText w:val="%1."/>
      <w:lvlJc w:val="right"/>
      <w:pPr>
        <w:ind w:left="720" w:hanging="360"/>
      </w:pPr>
      <w:rPr>
        <w:rFonts w:ascii="ITC Avant Garde" w:hAnsi="ITC Avant Garde"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984008"/>
    <w:multiLevelType w:val="hybridMultilevel"/>
    <w:tmpl w:val="686C5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916032"/>
    <w:multiLevelType w:val="hybridMultilevel"/>
    <w:tmpl w:val="DEFE47D0"/>
    <w:lvl w:ilvl="0" w:tplc="73EE0756">
      <w:start w:val="2"/>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C8565ED"/>
    <w:multiLevelType w:val="hybridMultilevel"/>
    <w:tmpl w:val="12048C9C"/>
    <w:lvl w:ilvl="0" w:tplc="B11ABB4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8" w15:restartNumberingAfterBreak="0">
    <w:nsid w:val="6E6B57C2"/>
    <w:multiLevelType w:val="hybridMultilevel"/>
    <w:tmpl w:val="DF2882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3867E7"/>
    <w:multiLevelType w:val="hybridMultilevel"/>
    <w:tmpl w:val="8708A8C8"/>
    <w:lvl w:ilvl="0" w:tplc="080A0009">
      <w:start w:val="1"/>
      <w:numFmt w:val="bullet"/>
      <w:lvlText w:val=""/>
      <w:lvlJc w:val="left"/>
      <w:pPr>
        <w:ind w:left="1287" w:hanging="360"/>
      </w:pPr>
      <w:rPr>
        <w:rFonts w:ascii="Wingdings" w:hAnsi="Wingdings"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0" w15:restartNumberingAfterBreak="0">
    <w:nsid w:val="750814C4"/>
    <w:multiLevelType w:val="hybridMultilevel"/>
    <w:tmpl w:val="02B410E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F74A8F"/>
    <w:multiLevelType w:val="hybridMultilevel"/>
    <w:tmpl w:val="950C7318"/>
    <w:lvl w:ilvl="0" w:tplc="CC64968A">
      <w:start w:val="1"/>
      <w:numFmt w:val="lowerRoman"/>
      <w:lvlText w:val="%1)"/>
      <w:lvlJc w:val="left"/>
      <w:pPr>
        <w:ind w:left="6598" w:hanging="360"/>
      </w:pPr>
      <w:rPr>
        <w:b/>
      </w:r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42" w15:restartNumberingAfterBreak="0">
    <w:nsid w:val="7A8B6D51"/>
    <w:multiLevelType w:val="hybridMultilevel"/>
    <w:tmpl w:val="1BCA6A54"/>
    <w:lvl w:ilvl="0" w:tplc="914CA338">
      <w:start w:val="1"/>
      <w:numFmt w:val="upp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C7D24C1"/>
    <w:multiLevelType w:val="hybridMultilevel"/>
    <w:tmpl w:val="91A861FA"/>
    <w:lvl w:ilvl="0" w:tplc="6232A464">
      <w:start w:val="6"/>
      <w:numFmt w:val="upperRoman"/>
      <w:lvlText w:val="%1."/>
      <w:lvlJc w:val="right"/>
      <w:pPr>
        <w:ind w:left="720" w:hanging="360"/>
      </w:pPr>
      <w:rPr>
        <w:rFonts w:ascii="ITC Avant Garde" w:hAnsi="ITC Avant Garde"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514BC1"/>
    <w:multiLevelType w:val="hybridMultilevel"/>
    <w:tmpl w:val="E654C254"/>
    <w:lvl w:ilvl="0" w:tplc="60DE9062">
      <w:start w:val="1"/>
      <w:numFmt w:val="upperRoman"/>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29"/>
  </w:num>
  <w:num w:numId="5">
    <w:abstractNumId w:val="16"/>
  </w:num>
  <w:num w:numId="6">
    <w:abstractNumId w:val="19"/>
  </w:num>
  <w:num w:numId="7">
    <w:abstractNumId w:val="23"/>
  </w:num>
  <w:num w:numId="8">
    <w:abstractNumId w:val="15"/>
  </w:num>
  <w:num w:numId="9">
    <w:abstractNumId w:val="6"/>
  </w:num>
  <w:num w:numId="10">
    <w:abstractNumId w:val="10"/>
  </w:num>
  <w:num w:numId="11">
    <w:abstractNumId w:val="44"/>
  </w:num>
  <w:num w:numId="12">
    <w:abstractNumId w:val="32"/>
  </w:num>
  <w:num w:numId="13">
    <w:abstractNumId w:val="17"/>
  </w:num>
  <w:num w:numId="14">
    <w:abstractNumId w:val="30"/>
  </w:num>
  <w:num w:numId="15">
    <w:abstractNumId w:val="24"/>
  </w:num>
  <w:num w:numId="16">
    <w:abstractNumId w:val="40"/>
  </w:num>
  <w:num w:numId="17">
    <w:abstractNumId w:val="18"/>
  </w:num>
  <w:num w:numId="18">
    <w:abstractNumId w:val="34"/>
  </w:num>
  <w:num w:numId="19">
    <w:abstractNumId w:val="26"/>
  </w:num>
  <w:num w:numId="20">
    <w:abstractNumId w:val="37"/>
  </w:num>
  <w:num w:numId="21">
    <w:abstractNumId w:val="2"/>
  </w:num>
  <w:num w:numId="22">
    <w:abstractNumId w:val="28"/>
  </w:num>
  <w:num w:numId="23">
    <w:abstractNumId w:val="7"/>
  </w:num>
  <w:num w:numId="24">
    <w:abstractNumId w:val="39"/>
  </w:num>
  <w:num w:numId="25">
    <w:abstractNumId w:val="20"/>
  </w:num>
  <w:num w:numId="26">
    <w:abstractNumId w:val="21"/>
  </w:num>
  <w:num w:numId="2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4"/>
  </w:num>
  <w:num w:numId="30">
    <w:abstractNumId w:val="27"/>
  </w:num>
  <w:num w:numId="31">
    <w:abstractNumId w:val="13"/>
  </w:num>
  <w:num w:numId="32">
    <w:abstractNumId w:val="31"/>
  </w:num>
  <w:num w:numId="33">
    <w:abstractNumId w:val="25"/>
  </w:num>
  <w:num w:numId="34">
    <w:abstractNumId w:val="35"/>
  </w:num>
  <w:num w:numId="35">
    <w:abstractNumId w:val="12"/>
  </w:num>
  <w:num w:numId="36">
    <w:abstractNumId w:val="11"/>
  </w:num>
  <w:num w:numId="37">
    <w:abstractNumId w:val="14"/>
  </w:num>
  <w:num w:numId="38">
    <w:abstractNumId w:val="36"/>
  </w:num>
  <w:num w:numId="39">
    <w:abstractNumId w:val="42"/>
  </w:num>
  <w:num w:numId="40">
    <w:abstractNumId w:val="3"/>
  </w:num>
  <w:num w:numId="41">
    <w:abstractNumId w:val="43"/>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38"/>
  </w:num>
  <w:num w:numId="45">
    <w:abstractNumId w:val="22"/>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118"/>
    <w:rsid w:val="000001FF"/>
    <w:rsid w:val="000010D4"/>
    <w:rsid w:val="00001297"/>
    <w:rsid w:val="00003158"/>
    <w:rsid w:val="000034AE"/>
    <w:rsid w:val="0000530B"/>
    <w:rsid w:val="00005785"/>
    <w:rsid w:val="0000582D"/>
    <w:rsid w:val="000058FF"/>
    <w:rsid w:val="00005D37"/>
    <w:rsid w:val="000136AE"/>
    <w:rsid w:val="00013899"/>
    <w:rsid w:val="000139F3"/>
    <w:rsid w:val="000147EA"/>
    <w:rsid w:val="000152E7"/>
    <w:rsid w:val="0001604D"/>
    <w:rsid w:val="00016BC0"/>
    <w:rsid w:val="00017C04"/>
    <w:rsid w:val="00020A37"/>
    <w:rsid w:val="00022111"/>
    <w:rsid w:val="000228AB"/>
    <w:rsid w:val="00022A0F"/>
    <w:rsid w:val="0002306D"/>
    <w:rsid w:val="000251EB"/>
    <w:rsid w:val="0002738F"/>
    <w:rsid w:val="000306CD"/>
    <w:rsid w:val="000340B8"/>
    <w:rsid w:val="00034986"/>
    <w:rsid w:val="00035B6D"/>
    <w:rsid w:val="00036728"/>
    <w:rsid w:val="00037952"/>
    <w:rsid w:val="00037BAC"/>
    <w:rsid w:val="00040394"/>
    <w:rsid w:val="00040F61"/>
    <w:rsid w:val="00042418"/>
    <w:rsid w:val="000436D1"/>
    <w:rsid w:val="00043F5D"/>
    <w:rsid w:val="0004504B"/>
    <w:rsid w:val="00045301"/>
    <w:rsid w:val="00045C01"/>
    <w:rsid w:val="00046C26"/>
    <w:rsid w:val="000477A4"/>
    <w:rsid w:val="0005019A"/>
    <w:rsid w:val="00051341"/>
    <w:rsid w:val="000515A0"/>
    <w:rsid w:val="000544FE"/>
    <w:rsid w:val="00054A96"/>
    <w:rsid w:val="00054A97"/>
    <w:rsid w:val="000551ED"/>
    <w:rsid w:val="00055889"/>
    <w:rsid w:val="00055FA8"/>
    <w:rsid w:val="00056238"/>
    <w:rsid w:val="00056F3E"/>
    <w:rsid w:val="000573B9"/>
    <w:rsid w:val="00057B5E"/>
    <w:rsid w:val="00060CD0"/>
    <w:rsid w:val="00062E28"/>
    <w:rsid w:val="00063A84"/>
    <w:rsid w:val="00065E9A"/>
    <w:rsid w:val="00066A1A"/>
    <w:rsid w:val="000679C5"/>
    <w:rsid w:val="000715E7"/>
    <w:rsid w:val="000727FE"/>
    <w:rsid w:val="00077810"/>
    <w:rsid w:val="00077A65"/>
    <w:rsid w:val="00077F77"/>
    <w:rsid w:val="00080518"/>
    <w:rsid w:val="00081268"/>
    <w:rsid w:val="00082CA9"/>
    <w:rsid w:val="00083547"/>
    <w:rsid w:val="00083837"/>
    <w:rsid w:val="00083E14"/>
    <w:rsid w:val="0008485F"/>
    <w:rsid w:val="00084BB9"/>
    <w:rsid w:val="00085E56"/>
    <w:rsid w:val="000866B4"/>
    <w:rsid w:val="00086E2A"/>
    <w:rsid w:val="00086E3D"/>
    <w:rsid w:val="00087F54"/>
    <w:rsid w:val="000905E3"/>
    <w:rsid w:val="00090E9D"/>
    <w:rsid w:val="000913B1"/>
    <w:rsid w:val="00092BC5"/>
    <w:rsid w:val="00093962"/>
    <w:rsid w:val="00093D80"/>
    <w:rsid w:val="00095051"/>
    <w:rsid w:val="000951ED"/>
    <w:rsid w:val="0009593F"/>
    <w:rsid w:val="00096368"/>
    <w:rsid w:val="000974B6"/>
    <w:rsid w:val="000A103D"/>
    <w:rsid w:val="000A18FC"/>
    <w:rsid w:val="000A2651"/>
    <w:rsid w:val="000A301E"/>
    <w:rsid w:val="000A356E"/>
    <w:rsid w:val="000A5977"/>
    <w:rsid w:val="000A66A7"/>
    <w:rsid w:val="000A7D52"/>
    <w:rsid w:val="000B07AC"/>
    <w:rsid w:val="000B3FE5"/>
    <w:rsid w:val="000B5D17"/>
    <w:rsid w:val="000B6373"/>
    <w:rsid w:val="000B7304"/>
    <w:rsid w:val="000C2138"/>
    <w:rsid w:val="000C38A7"/>
    <w:rsid w:val="000C44C7"/>
    <w:rsid w:val="000C57D2"/>
    <w:rsid w:val="000C6E2A"/>
    <w:rsid w:val="000C74F8"/>
    <w:rsid w:val="000D0AA6"/>
    <w:rsid w:val="000D2AFB"/>
    <w:rsid w:val="000D42F0"/>
    <w:rsid w:val="000D494B"/>
    <w:rsid w:val="000D4ECE"/>
    <w:rsid w:val="000D56A5"/>
    <w:rsid w:val="000D6C69"/>
    <w:rsid w:val="000D797F"/>
    <w:rsid w:val="000E0014"/>
    <w:rsid w:val="000E3011"/>
    <w:rsid w:val="000E3755"/>
    <w:rsid w:val="000E3A2D"/>
    <w:rsid w:val="000E433C"/>
    <w:rsid w:val="000E4DB3"/>
    <w:rsid w:val="000E4E55"/>
    <w:rsid w:val="000E64FC"/>
    <w:rsid w:val="000E7276"/>
    <w:rsid w:val="000F18B4"/>
    <w:rsid w:val="000F2B27"/>
    <w:rsid w:val="000F2DC3"/>
    <w:rsid w:val="000F3561"/>
    <w:rsid w:val="000F358F"/>
    <w:rsid w:val="000F37C3"/>
    <w:rsid w:val="000F3E7D"/>
    <w:rsid w:val="000F465A"/>
    <w:rsid w:val="000F53DE"/>
    <w:rsid w:val="000F5935"/>
    <w:rsid w:val="000F7CE5"/>
    <w:rsid w:val="00102128"/>
    <w:rsid w:val="001023FA"/>
    <w:rsid w:val="00102751"/>
    <w:rsid w:val="00102997"/>
    <w:rsid w:val="001030DF"/>
    <w:rsid w:val="00103164"/>
    <w:rsid w:val="0010387C"/>
    <w:rsid w:val="00104304"/>
    <w:rsid w:val="00104A76"/>
    <w:rsid w:val="001105FF"/>
    <w:rsid w:val="00110ACE"/>
    <w:rsid w:val="00111AE0"/>
    <w:rsid w:val="00112204"/>
    <w:rsid w:val="0011296F"/>
    <w:rsid w:val="00112FA9"/>
    <w:rsid w:val="001130EB"/>
    <w:rsid w:val="0012163F"/>
    <w:rsid w:val="00121ECE"/>
    <w:rsid w:val="00123829"/>
    <w:rsid w:val="00123C33"/>
    <w:rsid w:val="001246AB"/>
    <w:rsid w:val="00124B63"/>
    <w:rsid w:val="001256E5"/>
    <w:rsid w:val="00127246"/>
    <w:rsid w:val="00127433"/>
    <w:rsid w:val="00131A7D"/>
    <w:rsid w:val="00131A7E"/>
    <w:rsid w:val="001331D3"/>
    <w:rsid w:val="00133F22"/>
    <w:rsid w:val="0013420E"/>
    <w:rsid w:val="00135140"/>
    <w:rsid w:val="00135ABA"/>
    <w:rsid w:val="0013793E"/>
    <w:rsid w:val="001407A1"/>
    <w:rsid w:val="001418B5"/>
    <w:rsid w:val="0014299A"/>
    <w:rsid w:val="00142C11"/>
    <w:rsid w:val="00143257"/>
    <w:rsid w:val="0014352B"/>
    <w:rsid w:val="00144100"/>
    <w:rsid w:val="00144D61"/>
    <w:rsid w:val="0014578D"/>
    <w:rsid w:val="00146564"/>
    <w:rsid w:val="00147B1B"/>
    <w:rsid w:val="0015038E"/>
    <w:rsid w:val="001528D9"/>
    <w:rsid w:val="0015537D"/>
    <w:rsid w:val="00157182"/>
    <w:rsid w:val="0015757B"/>
    <w:rsid w:val="00157917"/>
    <w:rsid w:val="00157F45"/>
    <w:rsid w:val="00160CCE"/>
    <w:rsid w:val="001636D6"/>
    <w:rsid w:val="00165727"/>
    <w:rsid w:val="00167165"/>
    <w:rsid w:val="00167821"/>
    <w:rsid w:val="00167AAB"/>
    <w:rsid w:val="001704C9"/>
    <w:rsid w:val="00171411"/>
    <w:rsid w:val="0017177E"/>
    <w:rsid w:val="0017182D"/>
    <w:rsid w:val="001753E2"/>
    <w:rsid w:val="00175527"/>
    <w:rsid w:val="00177CFE"/>
    <w:rsid w:val="00180B06"/>
    <w:rsid w:val="001817C9"/>
    <w:rsid w:val="001819EC"/>
    <w:rsid w:val="001831DF"/>
    <w:rsid w:val="001847F8"/>
    <w:rsid w:val="00185F16"/>
    <w:rsid w:val="00190AF2"/>
    <w:rsid w:val="00191E90"/>
    <w:rsid w:val="001943A7"/>
    <w:rsid w:val="00194D51"/>
    <w:rsid w:val="00194D9B"/>
    <w:rsid w:val="001952D4"/>
    <w:rsid w:val="00195ADB"/>
    <w:rsid w:val="00195C0E"/>
    <w:rsid w:val="00195D24"/>
    <w:rsid w:val="001966BD"/>
    <w:rsid w:val="001969E7"/>
    <w:rsid w:val="0019713A"/>
    <w:rsid w:val="001976EC"/>
    <w:rsid w:val="001A127C"/>
    <w:rsid w:val="001A1853"/>
    <w:rsid w:val="001A1902"/>
    <w:rsid w:val="001A1FBB"/>
    <w:rsid w:val="001A4810"/>
    <w:rsid w:val="001A4E60"/>
    <w:rsid w:val="001A5923"/>
    <w:rsid w:val="001A7D4D"/>
    <w:rsid w:val="001B0CA8"/>
    <w:rsid w:val="001B1D1E"/>
    <w:rsid w:val="001B3B91"/>
    <w:rsid w:val="001B3D12"/>
    <w:rsid w:val="001B3EFF"/>
    <w:rsid w:val="001B4614"/>
    <w:rsid w:val="001B7842"/>
    <w:rsid w:val="001B7AC9"/>
    <w:rsid w:val="001C14A5"/>
    <w:rsid w:val="001C1999"/>
    <w:rsid w:val="001C1D27"/>
    <w:rsid w:val="001C2294"/>
    <w:rsid w:val="001C2DC6"/>
    <w:rsid w:val="001C37C2"/>
    <w:rsid w:val="001C3C3C"/>
    <w:rsid w:val="001C3D5F"/>
    <w:rsid w:val="001C3F55"/>
    <w:rsid w:val="001C4493"/>
    <w:rsid w:val="001C4745"/>
    <w:rsid w:val="001C61D2"/>
    <w:rsid w:val="001D1AA2"/>
    <w:rsid w:val="001D22E0"/>
    <w:rsid w:val="001D4287"/>
    <w:rsid w:val="001D5511"/>
    <w:rsid w:val="001D5ACA"/>
    <w:rsid w:val="001D6882"/>
    <w:rsid w:val="001D75F6"/>
    <w:rsid w:val="001D7961"/>
    <w:rsid w:val="001E0C4E"/>
    <w:rsid w:val="001E197B"/>
    <w:rsid w:val="001E1CA6"/>
    <w:rsid w:val="001E2336"/>
    <w:rsid w:val="001E24AA"/>
    <w:rsid w:val="001E2B63"/>
    <w:rsid w:val="001E2C7C"/>
    <w:rsid w:val="001E2DE4"/>
    <w:rsid w:val="001E3358"/>
    <w:rsid w:val="001E3D56"/>
    <w:rsid w:val="001E49D0"/>
    <w:rsid w:val="001E599C"/>
    <w:rsid w:val="001E7A63"/>
    <w:rsid w:val="001E7C84"/>
    <w:rsid w:val="001F2D59"/>
    <w:rsid w:val="001F2EA2"/>
    <w:rsid w:val="001F3174"/>
    <w:rsid w:val="001F3A9E"/>
    <w:rsid w:val="001F4601"/>
    <w:rsid w:val="001F50BC"/>
    <w:rsid w:val="001F53B0"/>
    <w:rsid w:val="001F5B87"/>
    <w:rsid w:val="001F6127"/>
    <w:rsid w:val="001F6362"/>
    <w:rsid w:val="001F63FB"/>
    <w:rsid w:val="001F6D39"/>
    <w:rsid w:val="00203D59"/>
    <w:rsid w:val="00207369"/>
    <w:rsid w:val="0020796D"/>
    <w:rsid w:val="00211004"/>
    <w:rsid w:val="00212657"/>
    <w:rsid w:val="0021498E"/>
    <w:rsid w:val="00215045"/>
    <w:rsid w:val="002155DF"/>
    <w:rsid w:val="00215DF9"/>
    <w:rsid w:val="002179DA"/>
    <w:rsid w:val="002200FF"/>
    <w:rsid w:val="002202E1"/>
    <w:rsid w:val="00221C2F"/>
    <w:rsid w:val="00221DA7"/>
    <w:rsid w:val="00222A99"/>
    <w:rsid w:val="00223040"/>
    <w:rsid w:val="002243E0"/>
    <w:rsid w:val="00225B4F"/>
    <w:rsid w:val="002267EF"/>
    <w:rsid w:val="002271BF"/>
    <w:rsid w:val="00227AD0"/>
    <w:rsid w:val="00230B0E"/>
    <w:rsid w:val="00231E84"/>
    <w:rsid w:val="00232CD6"/>
    <w:rsid w:val="00235BB7"/>
    <w:rsid w:val="00240207"/>
    <w:rsid w:val="0024165A"/>
    <w:rsid w:val="00241B93"/>
    <w:rsid w:val="002431FF"/>
    <w:rsid w:val="00243A91"/>
    <w:rsid w:val="00245AED"/>
    <w:rsid w:val="00246AD0"/>
    <w:rsid w:val="00247945"/>
    <w:rsid w:val="00250345"/>
    <w:rsid w:val="00251E22"/>
    <w:rsid w:val="0025239F"/>
    <w:rsid w:val="00252E84"/>
    <w:rsid w:val="00253F19"/>
    <w:rsid w:val="00254703"/>
    <w:rsid w:val="0025688A"/>
    <w:rsid w:val="0026182A"/>
    <w:rsid w:val="002621C2"/>
    <w:rsid w:val="00263490"/>
    <w:rsid w:val="002634DE"/>
    <w:rsid w:val="002638D3"/>
    <w:rsid w:val="00266D78"/>
    <w:rsid w:val="00267156"/>
    <w:rsid w:val="0026765B"/>
    <w:rsid w:val="00270967"/>
    <w:rsid w:val="00271DBA"/>
    <w:rsid w:val="0027317A"/>
    <w:rsid w:val="002741E0"/>
    <w:rsid w:val="0027645E"/>
    <w:rsid w:val="00276B0C"/>
    <w:rsid w:val="00277669"/>
    <w:rsid w:val="00281133"/>
    <w:rsid w:val="002813F7"/>
    <w:rsid w:val="00282A04"/>
    <w:rsid w:val="00282AC9"/>
    <w:rsid w:val="00284411"/>
    <w:rsid w:val="00284ADE"/>
    <w:rsid w:val="002867A6"/>
    <w:rsid w:val="00286E72"/>
    <w:rsid w:val="00287E12"/>
    <w:rsid w:val="0029006A"/>
    <w:rsid w:val="002921DA"/>
    <w:rsid w:val="002929F7"/>
    <w:rsid w:val="00293B70"/>
    <w:rsid w:val="0029425E"/>
    <w:rsid w:val="0029439B"/>
    <w:rsid w:val="002979BD"/>
    <w:rsid w:val="002A0239"/>
    <w:rsid w:val="002A2207"/>
    <w:rsid w:val="002A4F0C"/>
    <w:rsid w:val="002A4FB7"/>
    <w:rsid w:val="002A5523"/>
    <w:rsid w:val="002A614C"/>
    <w:rsid w:val="002A6580"/>
    <w:rsid w:val="002A6696"/>
    <w:rsid w:val="002B185A"/>
    <w:rsid w:val="002B223D"/>
    <w:rsid w:val="002B240D"/>
    <w:rsid w:val="002B2E95"/>
    <w:rsid w:val="002B3B9E"/>
    <w:rsid w:val="002B4DF1"/>
    <w:rsid w:val="002B5563"/>
    <w:rsid w:val="002B69C3"/>
    <w:rsid w:val="002C3660"/>
    <w:rsid w:val="002C4E4F"/>
    <w:rsid w:val="002C4EC8"/>
    <w:rsid w:val="002D217B"/>
    <w:rsid w:val="002D2246"/>
    <w:rsid w:val="002D3132"/>
    <w:rsid w:val="002D4033"/>
    <w:rsid w:val="002D42A0"/>
    <w:rsid w:val="002D525C"/>
    <w:rsid w:val="002D5E54"/>
    <w:rsid w:val="002D600C"/>
    <w:rsid w:val="002D7A7C"/>
    <w:rsid w:val="002E04DF"/>
    <w:rsid w:val="002E0DB0"/>
    <w:rsid w:val="002E10E1"/>
    <w:rsid w:val="002E15CD"/>
    <w:rsid w:val="002E2E20"/>
    <w:rsid w:val="002E2E8C"/>
    <w:rsid w:val="002E3763"/>
    <w:rsid w:val="002E40BD"/>
    <w:rsid w:val="002E5BB1"/>
    <w:rsid w:val="002E6796"/>
    <w:rsid w:val="002E694F"/>
    <w:rsid w:val="002E74EC"/>
    <w:rsid w:val="002F38DC"/>
    <w:rsid w:val="002F6369"/>
    <w:rsid w:val="002F7637"/>
    <w:rsid w:val="0030196F"/>
    <w:rsid w:val="00304318"/>
    <w:rsid w:val="00304649"/>
    <w:rsid w:val="00305146"/>
    <w:rsid w:val="0030617F"/>
    <w:rsid w:val="00306BFA"/>
    <w:rsid w:val="00306D05"/>
    <w:rsid w:val="0031009C"/>
    <w:rsid w:val="003103FD"/>
    <w:rsid w:val="00310D66"/>
    <w:rsid w:val="00310D70"/>
    <w:rsid w:val="00311C56"/>
    <w:rsid w:val="003143B3"/>
    <w:rsid w:val="003144C3"/>
    <w:rsid w:val="00316C61"/>
    <w:rsid w:val="003204CE"/>
    <w:rsid w:val="003218DA"/>
    <w:rsid w:val="0032191B"/>
    <w:rsid w:val="003225F4"/>
    <w:rsid w:val="00323725"/>
    <w:rsid w:val="00323A86"/>
    <w:rsid w:val="0032403C"/>
    <w:rsid w:val="00325952"/>
    <w:rsid w:val="0032677E"/>
    <w:rsid w:val="00326D77"/>
    <w:rsid w:val="003270C9"/>
    <w:rsid w:val="003311D1"/>
    <w:rsid w:val="00333C62"/>
    <w:rsid w:val="00337CEC"/>
    <w:rsid w:val="00337FF7"/>
    <w:rsid w:val="003406D4"/>
    <w:rsid w:val="00340DA4"/>
    <w:rsid w:val="00344B93"/>
    <w:rsid w:val="00345B47"/>
    <w:rsid w:val="003466C7"/>
    <w:rsid w:val="00347490"/>
    <w:rsid w:val="00352FAF"/>
    <w:rsid w:val="0035326E"/>
    <w:rsid w:val="00354A84"/>
    <w:rsid w:val="00354C27"/>
    <w:rsid w:val="003607C2"/>
    <w:rsid w:val="00364411"/>
    <w:rsid w:val="00364745"/>
    <w:rsid w:val="003651AC"/>
    <w:rsid w:val="00365ABD"/>
    <w:rsid w:val="00371D8D"/>
    <w:rsid w:val="00373C17"/>
    <w:rsid w:val="0037530F"/>
    <w:rsid w:val="00377025"/>
    <w:rsid w:val="00377A0F"/>
    <w:rsid w:val="0038051F"/>
    <w:rsid w:val="003830CB"/>
    <w:rsid w:val="00383CCB"/>
    <w:rsid w:val="0038425B"/>
    <w:rsid w:val="00385721"/>
    <w:rsid w:val="00385BDA"/>
    <w:rsid w:val="00386290"/>
    <w:rsid w:val="00386B3F"/>
    <w:rsid w:val="003874F5"/>
    <w:rsid w:val="0039083A"/>
    <w:rsid w:val="003911EB"/>
    <w:rsid w:val="00392BE9"/>
    <w:rsid w:val="003937E7"/>
    <w:rsid w:val="00394475"/>
    <w:rsid w:val="003947AE"/>
    <w:rsid w:val="00394803"/>
    <w:rsid w:val="003952BC"/>
    <w:rsid w:val="003952F4"/>
    <w:rsid w:val="003A1273"/>
    <w:rsid w:val="003A21E1"/>
    <w:rsid w:val="003A2773"/>
    <w:rsid w:val="003A2780"/>
    <w:rsid w:val="003A34B9"/>
    <w:rsid w:val="003A361C"/>
    <w:rsid w:val="003A5DDB"/>
    <w:rsid w:val="003B0802"/>
    <w:rsid w:val="003B0B44"/>
    <w:rsid w:val="003B2695"/>
    <w:rsid w:val="003B3196"/>
    <w:rsid w:val="003B3BF1"/>
    <w:rsid w:val="003B3CEA"/>
    <w:rsid w:val="003B4782"/>
    <w:rsid w:val="003B59D5"/>
    <w:rsid w:val="003B7118"/>
    <w:rsid w:val="003B74E6"/>
    <w:rsid w:val="003C0C55"/>
    <w:rsid w:val="003C1C95"/>
    <w:rsid w:val="003C1EBB"/>
    <w:rsid w:val="003C280B"/>
    <w:rsid w:val="003C4912"/>
    <w:rsid w:val="003C4DE4"/>
    <w:rsid w:val="003C6207"/>
    <w:rsid w:val="003C76AB"/>
    <w:rsid w:val="003D27F0"/>
    <w:rsid w:val="003D2A23"/>
    <w:rsid w:val="003D3931"/>
    <w:rsid w:val="003D52C1"/>
    <w:rsid w:val="003D6BBA"/>
    <w:rsid w:val="003D6CDA"/>
    <w:rsid w:val="003E09D9"/>
    <w:rsid w:val="003E0EA8"/>
    <w:rsid w:val="003E26F5"/>
    <w:rsid w:val="003E2A67"/>
    <w:rsid w:val="003E2F5C"/>
    <w:rsid w:val="003E4218"/>
    <w:rsid w:val="003E457F"/>
    <w:rsid w:val="003E5D36"/>
    <w:rsid w:val="003E5DD6"/>
    <w:rsid w:val="003E6F23"/>
    <w:rsid w:val="003E7AE1"/>
    <w:rsid w:val="003F0281"/>
    <w:rsid w:val="003F0A57"/>
    <w:rsid w:val="003F0A96"/>
    <w:rsid w:val="003F0EE0"/>
    <w:rsid w:val="003F1669"/>
    <w:rsid w:val="003F1EBC"/>
    <w:rsid w:val="003F42EE"/>
    <w:rsid w:val="003F4A57"/>
    <w:rsid w:val="003F543C"/>
    <w:rsid w:val="003F766D"/>
    <w:rsid w:val="003F770C"/>
    <w:rsid w:val="003F77FB"/>
    <w:rsid w:val="00400628"/>
    <w:rsid w:val="00401A67"/>
    <w:rsid w:val="00402629"/>
    <w:rsid w:val="004053C0"/>
    <w:rsid w:val="00405F1E"/>
    <w:rsid w:val="00406B0D"/>
    <w:rsid w:val="00407812"/>
    <w:rsid w:val="00410AB8"/>
    <w:rsid w:val="004123B8"/>
    <w:rsid w:val="00412BA3"/>
    <w:rsid w:val="00412D76"/>
    <w:rsid w:val="004141B2"/>
    <w:rsid w:val="00414775"/>
    <w:rsid w:val="004151CF"/>
    <w:rsid w:val="00415FEE"/>
    <w:rsid w:val="00416ED3"/>
    <w:rsid w:val="0041723E"/>
    <w:rsid w:val="0042092E"/>
    <w:rsid w:val="00421F08"/>
    <w:rsid w:val="0042437F"/>
    <w:rsid w:val="00425739"/>
    <w:rsid w:val="00427440"/>
    <w:rsid w:val="00427A84"/>
    <w:rsid w:val="00431BB3"/>
    <w:rsid w:val="00431DB8"/>
    <w:rsid w:val="00431E00"/>
    <w:rsid w:val="00437F29"/>
    <w:rsid w:val="004419A8"/>
    <w:rsid w:val="00442056"/>
    <w:rsid w:val="00443670"/>
    <w:rsid w:val="004437FB"/>
    <w:rsid w:val="00444890"/>
    <w:rsid w:val="004451D7"/>
    <w:rsid w:val="00445BDA"/>
    <w:rsid w:val="00446349"/>
    <w:rsid w:val="00452848"/>
    <w:rsid w:val="00454AA9"/>
    <w:rsid w:val="00454FD8"/>
    <w:rsid w:val="00455DC8"/>
    <w:rsid w:val="004602A5"/>
    <w:rsid w:val="0046130D"/>
    <w:rsid w:val="00461CF6"/>
    <w:rsid w:val="0046254A"/>
    <w:rsid w:val="00462C30"/>
    <w:rsid w:val="00462E95"/>
    <w:rsid w:val="00464851"/>
    <w:rsid w:val="004649DE"/>
    <w:rsid w:val="00464D1D"/>
    <w:rsid w:val="004658B9"/>
    <w:rsid w:val="004661E5"/>
    <w:rsid w:val="00466E1E"/>
    <w:rsid w:val="004679CE"/>
    <w:rsid w:val="00467FFB"/>
    <w:rsid w:val="0047052B"/>
    <w:rsid w:val="00471CD0"/>
    <w:rsid w:val="00474790"/>
    <w:rsid w:val="004753E0"/>
    <w:rsid w:val="00475FA6"/>
    <w:rsid w:val="00476C72"/>
    <w:rsid w:val="004777B5"/>
    <w:rsid w:val="004804C9"/>
    <w:rsid w:val="00480AE7"/>
    <w:rsid w:val="00481003"/>
    <w:rsid w:val="00481C10"/>
    <w:rsid w:val="0048408C"/>
    <w:rsid w:val="0048531C"/>
    <w:rsid w:val="00486039"/>
    <w:rsid w:val="00486242"/>
    <w:rsid w:val="00486DB9"/>
    <w:rsid w:val="004926B1"/>
    <w:rsid w:val="00492803"/>
    <w:rsid w:val="00494261"/>
    <w:rsid w:val="00495EF0"/>
    <w:rsid w:val="004960A6"/>
    <w:rsid w:val="00496748"/>
    <w:rsid w:val="004967EE"/>
    <w:rsid w:val="00496914"/>
    <w:rsid w:val="00496C44"/>
    <w:rsid w:val="004A04DD"/>
    <w:rsid w:val="004A2068"/>
    <w:rsid w:val="004A289E"/>
    <w:rsid w:val="004A4806"/>
    <w:rsid w:val="004A4B62"/>
    <w:rsid w:val="004A7A22"/>
    <w:rsid w:val="004B04F3"/>
    <w:rsid w:val="004B4DA2"/>
    <w:rsid w:val="004B5719"/>
    <w:rsid w:val="004B5A0F"/>
    <w:rsid w:val="004B5A99"/>
    <w:rsid w:val="004B6135"/>
    <w:rsid w:val="004B62B5"/>
    <w:rsid w:val="004B66EB"/>
    <w:rsid w:val="004B67E0"/>
    <w:rsid w:val="004C0176"/>
    <w:rsid w:val="004C0913"/>
    <w:rsid w:val="004C10D8"/>
    <w:rsid w:val="004C1296"/>
    <w:rsid w:val="004C48BC"/>
    <w:rsid w:val="004C4CBB"/>
    <w:rsid w:val="004C4F67"/>
    <w:rsid w:val="004C5BC6"/>
    <w:rsid w:val="004C5EAF"/>
    <w:rsid w:val="004C60CB"/>
    <w:rsid w:val="004C69BE"/>
    <w:rsid w:val="004C75C2"/>
    <w:rsid w:val="004D1125"/>
    <w:rsid w:val="004D174A"/>
    <w:rsid w:val="004D1914"/>
    <w:rsid w:val="004D1931"/>
    <w:rsid w:val="004D1F86"/>
    <w:rsid w:val="004D267C"/>
    <w:rsid w:val="004D3D10"/>
    <w:rsid w:val="004D3F48"/>
    <w:rsid w:val="004D3FF5"/>
    <w:rsid w:val="004D5776"/>
    <w:rsid w:val="004D7E3C"/>
    <w:rsid w:val="004E10E9"/>
    <w:rsid w:val="004E2226"/>
    <w:rsid w:val="004E4247"/>
    <w:rsid w:val="004E52D1"/>
    <w:rsid w:val="004E5C3E"/>
    <w:rsid w:val="004E7509"/>
    <w:rsid w:val="004F062C"/>
    <w:rsid w:val="004F06C5"/>
    <w:rsid w:val="004F0A61"/>
    <w:rsid w:val="004F2153"/>
    <w:rsid w:val="004F3B5A"/>
    <w:rsid w:val="004F5CDE"/>
    <w:rsid w:val="004F6D8D"/>
    <w:rsid w:val="00500A65"/>
    <w:rsid w:val="0050120A"/>
    <w:rsid w:val="00502240"/>
    <w:rsid w:val="00502245"/>
    <w:rsid w:val="00505495"/>
    <w:rsid w:val="00507D4B"/>
    <w:rsid w:val="005105DC"/>
    <w:rsid w:val="00510C6E"/>
    <w:rsid w:val="0051132B"/>
    <w:rsid w:val="005116B6"/>
    <w:rsid w:val="00512051"/>
    <w:rsid w:val="005131F9"/>
    <w:rsid w:val="00515998"/>
    <w:rsid w:val="00516D6D"/>
    <w:rsid w:val="00521A0E"/>
    <w:rsid w:val="00521EC6"/>
    <w:rsid w:val="00522398"/>
    <w:rsid w:val="005239CA"/>
    <w:rsid w:val="00523BFE"/>
    <w:rsid w:val="00525177"/>
    <w:rsid w:val="005269E5"/>
    <w:rsid w:val="00526B42"/>
    <w:rsid w:val="00527601"/>
    <w:rsid w:val="005313B1"/>
    <w:rsid w:val="0053154E"/>
    <w:rsid w:val="00531B1A"/>
    <w:rsid w:val="00531C9F"/>
    <w:rsid w:val="00532AC5"/>
    <w:rsid w:val="00534BAF"/>
    <w:rsid w:val="0053545B"/>
    <w:rsid w:val="00535A5D"/>
    <w:rsid w:val="00536587"/>
    <w:rsid w:val="00537AE2"/>
    <w:rsid w:val="00537BFA"/>
    <w:rsid w:val="00543794"/>
    <w:rsid w:val="00543D0A"/>
    <w:rsid w:val="00544AC4"/>
    <w:rsid w:val="00544D4D"/>
    <w:rsid w:val="00545945"/>
    <w:rsid w:val="0055072D"/>
    <w:rsid w:val="00551226"/>
    <w:rsid w:val="00552153"/>
    <w:rsid w:val="005526EF"/>
    <w:rsid w:val="00553779"/>
    <w:rsid w:val="005546FA"/>
    <w:rsid w:val="00555554"/>
    <w:rsid w:val="00555588"/>
    <w:rsid w:val="005559FB"/>
    <w:rsid w:val="00556185"/>
    <w:rsid w:val="005570D4"/>
    <w:rsid w:val="005577E6"/>
    <w:rsid w:val="00557B55"/>
    <w:rsid w:val="00557B84"/>
    <w:rsid w:val="005605AA"/>
    <w:rsid w:val="00560B47"/>
    <w:rsid w:val="00561899"/>
    <w:rsid w:val="0056368F"/>
    <w:rsid w:val="00565F16"/>
    <w:rsid w:val="005661F7"/>
    <w:rsid w:val="0056740F"/>
    <w:rsid w:val="00567B3F"/>
    <w:rsid w:val="00567C86"/>
    <w:rsid w:val="00570016"/>
    <w:rsid w:val="0057050F"/>
    <w:rsid w:val="005709C7"/>
    <w:rsid w:val="00571502"/>
    <w:rsid w:val="0057181B"/>
    <w:rsid w:val="005747B1"/>
    <w:rsid w:val="0057484B"/>
    <w:rsid w:val="00574A28"/>
    <w:rsid w:val="00574A51"/>
    <w:rsid w:val="00575693"/>
    <w:rsid w:val="00575FDB"/>
    <w:rsid w:val="00576799"/>
    <w:rsid w:val="00581141"/>
    <w:rsid w:val="0058321C"/>
    <w:rsid w:val="00587233"/>
    <w:rsid w:val="00587236"/>
    <w:rsid w:val="005875F7"/>
    <w:rsid w:val="00587A66"/>
    <w:rsid w:val="0059040E"/>
    <w:rsid w:val="00590C2E"/>
    <w:rsid w:val="00590E6A"/>
    <w:rsid w:val="0059388E"/>
    <w:rsid w:val="005939B6"/>
    <w:rsid w:val="00594A7B"/>
    <w:rsid w:val="00594FAF"/>
    <w:rsid w:val="0059526B"/>
    <w:rsid w:val="00597B8D"/>
    <w:rsid w:val="005A0FCC"/>
    <w:rsid w:val="005A1B80"/>
    <w:rsid w:val="005A1DA4"/>
    <w:rsid w:val="005A2C3C"/>
    <w:rsid w:val="005A2F01"/>
    <w:rsid w:val="005A4BAB"/>
    <w:rsid w:val="005A5402"/>
    <w:rsid w:val="005A66AC"/>
    <w:rsid w:val="005A792C"/>
    <w:rsid w:val="005A7B2A"/>
    <w:rsid w:val="005B2314"/>
    <w:rsid w:val="005B2638"/>
    <w:rsid w:val="005B2BB1"/>
    <w:rsid w:val="005B3151"/>
    <w:rsid w:val="005B4ABC"/>
    <w:rsid w:val="005B5582"/>
    <w:rsid w:val="005B60BA"/>
    <w:rsid w:val="005B63DE"/>
    <w:rsid w:val="005B7D48"/>
    <w:rsid w:val="005C0836"/>
    <w:rsid w:val="005C24AA"/>
    <w:rsid w:val="005C4582"/>
    <w:rsid w:val="005C4C25"/>
    <w:rsid w:val="005C69D5"/>
    <w:rsid w:val="005D0783"/>
    <w:rsid w:val="005D0EC6"/>
    <w:rsid w:val="005D103F"/>
    <w:rsid w:val="005D1478"/>
    <w:rsid w:val="005D2AF8"/>
    <w:rsid w:val="005D3380"/>
    <w:rsid w:val="005D4447"/>
    <w:rsid w:val="005D4680"/>
    <w:rsid w:val="005D62E1"/>
    <w:rsid w:val="005D713B"/>
    <w:rsid w:val="005D7154"/>
    <w:rsid w:val="005D7622"/>
    <w:rsid w:val="005D7E49"/>
    <w:rsid w:val="005E0869"/>
    <w:rsid w:val="005E2E35"/>
    <w:rsid w:val="005E43E3"/>
    <w:rsid w:val="005E7E6A"/>
    <w:rsid w:val="005F3318"/>
    <w:rsid w:val="005F38CC"/>
    <w:rsid w:val="005F42B5"/>
    <w:rsid w:val="005F4A33"/>
    <w:rsid w:val="005F4F82"/>
    <w:rsid w:val="005F5DBC"/>
    <w:rsid w:val="005F6C21"/>
    <w:rsid w:val="005F7E31"/>
    <w:rsid w:val="006020ED"/>
    <w:rsid w:val="00602A5A"/>
    <w:rsid w:val="00602B32"/>
    <w:rsid w:val="006031B5"/>
    <w:rsid w:val="0060504E"/>
    <w:rsid w:val="00605313"/>
    <w:rsid w:val="006058B5"/>
    <w:rsid w:val="00606C33"/>
    <w:rsid w:val="00606C57"/>
    <w:rsid w:val="0060792D"/>
    <w:rsid w:val="00607FF1"/>
    <w:rsid w:val="00610224"/>
    <w:rsid w:val="00610A15"/>
    <w:rsid w:val="006127F7"/>
    <w:rsid w:val="00612CCE"/>
    <w:rsid w:val="0061349C"/>
    <w:rsid w:val="00613FD6"/>
    <w:rsid w:val="00614709"/>
    <w:rsid w:val="006147ED"/>
    <w:rsid w:val="006165E2"/>
    <w:rsid w:val="00616CA9"/>
    <w:rsid w:val="0062071C"/>
    <w:rsid w:val="00621CCC"/>
    <w:rsid w:val="00622802"/>
    <w:rsid w:val="00622836"/>
    <w:rsid w:val="00623CF6"/>
    <w:rsid w:val="00626148"/>
    <w:rsid w:val="00631E1D"/>
    <w:rsid w:val="00632751"/>
    <w:rsid w:val="006334E2"/>
    <w:rsid w:val="00634BA5"/>
    <w:rsid w:val="00635D17"/>
    <w:rsid w:val="00635FB4"/>
    <w:rsid w:val="0063612D"/>
    <w:rsid w:val="0063651C"/>
    <w:rsid w:val="00636B89"/>
    <w:rsid w:val="00640959"/>
    <w:rsid w:val="00642D08"/>
    <w:rsid w:val="0064328F"/>
    <w:rsid w:val="00644F5B"/>
    <w:rsid w:val="0064795F"/>
    <w:rsid w:val="0065037D"/>
    <w:rsid w:val="0065039A"/>
    <w:rsid w:val="00651036"/>
    <w:rsid w:val="0065324B"/>
    <w:rsid w:val="00653770"/>
    <w:rsid w:val="00653775"/>
    <w:rsid w:val="0065481B"/>
    <w:rsid w:val="00656802"/>
    <w:rsid w:val="00657392"/>
    <w:rsid w:val="00657BD4"/>
    <w:rsid w:val="0066256C"/>
    <w:rsid w:val="00662B32"/>
    <w:rsid w:val="00663650"/>
    <w:rsid w:val="00666727"/>
    <w:rsid w:val="006667CA"/>
    <w:rsid w:val="00666F24"/>
    <w:rsid w:val="00670709"/>
    <w:rsid w:val="00670718"/>
    <w:rsid w:val="006728F7"/>
    <w:rsid w:val="00673F2E"/>
    <w:rsid w:val="0067491D"/>
    <w:rsid w:val="00676E8A"/>
    <w:rsid w:val="00677E7B"/>
    <w:rsid w:val="00680F6E"/>
    <w:rsid w:val="00681385"/>
    <w:rsid w:val="00682E24"/>
    <w:rsid w:val="00684DE9"/>
    <w:rsid w:val="006850B2"/>
    <w:rsid w:val="00685AF6"/>
    <w:rsid w:val="00686DF0"/>
    <w:rsid w:val="00690858"/>
    <w:rsid w:val="00690A8A"/>
    <w:rsid w:val="0069110E"/>
    <w:rsid w:val="00691DBE"/>
    <w:rsid w:val="00692FBE"/>
    <w:rsid w:val="00694935"/>
    <w:rsid w:val="0069615A"/>
    <w:rsid w:val="006966D5"/>
    <w:rsid w:val="006A2C5A"/>
    <w:rsid w:val="006A2F01"/>
    <w:rsid w:val="006A4B29"/>
    <w:rsid w:val="006A4C95"/>
    <w:rsid w:val="006A7614"/>
    <w:rsid w:val="006A7876"/>
    <w:rsid w:val="006A7F2B"/>
    <w:rsid w:val="006B0375"/>
    <w:rsid w:val="006B20CD"/>
    <w:rsid w:val="006B216B"/>
    <w:rsid w:val="006B21AD"/>
    <w:rsid w:val="006B40FE"/>
    <w:rsid w:val="006B5148"/>
    <w:rsid w:val="006B59EE"/>
    <w:rsid w:val="006B5B64"/>
    <w:rsid w:val="006B5D0A"/>
    <w:rsid w:val="006B70C9"/>
    <w:rsid w:val="006B74DC"/>
    <w:rsid w:val="006C0767"/>
    <w:rsid w:val="006C1CD1"/>
    <w:rsid w:val="006C1FDE"/>
    <w:rsid w:val="006C2A70"/>
    <w:rsid w:val="006C3043"/>
    <w:rsid w:val="006C32E0"/>
    <w:rsid w:val="006C331A"/>
    <w:rsid w:val="006C4C0E"/>
    <w:rsid w:val="006C5961"/>
    <w:rsid w:val="006C5C88"/>
    <w:rsid w:val="006C5E7E"/>
    <w:rsid w:val="006C6836"/>
    <w:rsid w:val="006C6C93"/>
    <w:rsid w:val="006C7816"/>
    <w:rsid w:val="006D02A1"/>
    <w:rsid w:val="006D0ED9"/>
    <w:rsid w:val="006D2873"/>
    <w:rsid w:val="006D2E02"/>
    <w:rsid w:val="006D2E60"/>
    <w:rsid w:val="006D2F92"/>
    <w:rsid w:val="006D32F7"/>
    <w:rsid w:val="006D3532"/>
    <w:rsid w:val="006D45CA"/>
    <w:rsid w:val="006D7605"/>
    <w:rsid w:val="006E01E3"/>
    <w:rsid w:val="006E1A2D"/>
    <w:rsid w:val="006E2535"/>
    <w:rsid w:val="006E4DB1"/>
    <w:rsid w:val="006E5D80"/>
    <w:rsid w:val="006E5E6D"/>
    <w:rsid w:val="006F16CE"/>
    <w:rsid w:val="006F30A3"/>
    <w:rsid w:val="006F47A3"/>
    <w:rsid w:val="006F7C8B"/>
    <w:rsid w:val="00701352"/>
    <w:rsid w:val="007026E8"/>
    <w:rsid w:val="00705F52"/>
    <w:rsid w:val="007128FA"/>
    <w:rsid w:val="007134D5"/>
    <w:rsid w:val="00713F69"/>
    <w:rsid w:val="00715068"/>
    <w:rsid w:val="00716CC6"/>
    <w:rsid w:val="007170BE"/>
    <w:rsid w:val="00717988"/>
    <w:rsid w:val="00717A0C"/>
    <w:rsid w:val="00721B8E"/>
    <w:rsid w:val="00723E5C"/>
    <w:rsid w:val="00725CE2"/>
    <w:rsid w:val="00727A64"/>
    <w:rsid w:val="00727F32"/>
    <w:rsid w:val="00730107"/>
    <w:rsid w:val="00731671"/>
    <w:rsid w:val="00731C70"/>
    <w:rsid w:val="00733730"/>
    <w:rsid w:val="007343CA"/>
    <w:rsid w:val="0073473C"/>
    <w:rsid w:val="00736C36"/>
    <w:rsid w:val="007375DF"/>
    <w:rsid w:val="007421E1"/>
    <w:rsid w:val="0074298B"/>
    <w:rsid w:val="00743300"/>
    <w:rsid w:val="0074464C"/>
    <w:rsid w:val="007446DE"/>
    <w:rsid w:val="0074498A"/>
    <w:rsid w:val="00744CB8"/>
    <w:rsid w:val="00745C0C"/>
    <w:rsid w:val="0074767B"/>
    <w:rsid w:val="00747896"/>
    <w:rsid w:val="00750248"/>
    <w:rsid w:val="00751751"/>
    <w:rsid w:val="0075282B"/>
    <w:rsid w:val="007542A2"/>
    <w:rsid w:val="00754670"/>
    <w:rsid w:val="007559DF"/>
    <w:rsid w:val="00755F40"/>
    <w:rsid w:val="00757270"/>
    <w:rsid w:val="00757B05"/>
    <w:rsid w:val="00760DAA"/>
    <w:rsid w:val="0076166A"/>
    <w:rsid w:val="00762130"/>
    <w:rsid w:val="00762361"/>
    <w:rsid w:val="00764139"/>
    <w:rsid w:val="0076444B"/>
    <w:rsid w:val="007648F0"/>
    <w:rsid w:val="00764B1B"/>
    <w:rsid w:val="00770F0C"/>
    <w:rsid w:val="00775E18"/>
    <w:rsid w:val="00776D38"/>
    <w:rsid w:val="00776D60"/>
    <w:rsid w:val="00777E55"/>
    <w:rsid w:val="00780C09"/>
    <w:rsid w:val="00780C27"/>
    <w:rsid w:val="00783771"/>
    <w:rsid w:val="00783D8F"/>
    <w:rsid w:val="00784837"/>
    <w:rsid w:val="00784AAA"/>
    <w:rsid w:val="007854AD"/>
    <w:rsid w:val="00787395"/>
    <w:rsid w:val="00787AFE"/>
    <w:rsid w:val="00787BDE"/>
    <w:rsid w:val="007903A5"/>
    <w:rsid w:val="00791ADD"/>
    <w:rsid w:val="00791FFF"/>
    <w:rsid w:val="007938C6"/>
    <w:rsid w:val="007945ED"/>
    <w:rsid w:val="007953B9"/>
    <w:rsid w:val="007962F2"/>
    <w:rsid w:val="007964D9"/>
    <w:rsid w:val="00796DD0"/>
    <w:rsid w:val="00797445"/>
    <w:rsid w:val="007A0C50"/>
    <w:rsid w:val="007A2200"/>
    <w:rsid w:val="007A3423"/>
    <w:rsid w:val="007A36D3"/>
    <w:rsid w:val="007A52F9"/>
    <w:rsid w:val="007A5D29"/>
    <w:rsid w:val="007A6875"/>
    <w:rsid w:val="007A7312"/>
    <w:rsid w:val="007A74A8"/>
    <w:rsid w:val="007A7FCD"/>
    <w:rsid w:val="007B0C38"/>
    <w:rsid w:val="007B185B"/>
    <w:rsid w:val="007B3575"/>
    <w:rsid w:val="007B37A1"/>
    <w:rsid w:val="007B4638"/>
    <w:rsid w:val="007B69E5"/>
    <w:rsid w:val="007B6CFA"/>
    <w:rsid w:val="007C01A1"/>
    <w:rsid w:val="007C0359"/>
    <w:rsid w:val="007C0530"/>
    <w:rsid w:val="007C1648"/>
    <w:rsid w:val="007C16CD"/>
    <w:rsid w:val="007C229A"/>
    <w:rsid w:val="007C3597"/>
    <w:rsid w:val="007C69E5"/>
    <w:rsid w:val="007C71AC"/>
    <w:rsid w:val="007D04F4"/>
    <w:rsid w:val="007D45E9"/>
    <w:rsid w:val="007D4CAF"/>
    <w:rsid w:val="007D4D44"/>
    <w:rsid w:val="007D7663"/>
    <w:rsid w:val="007D7C6E"/>
    <w:rsid w:val="007E03EB"/>
    <w:rsid w:val="007E27AB"/>
    <w:rsid w:val="007E31AE"/>
    <w:rsid w:val="007E3CEA"/>
    <w:rsid w:val="007E3F78"/>
    <w:rsid w:val="007E5A3F"/>
    <w:rsid w:val="007E707D"/>
    <w:rsid w:val="007E72A4"/>
    <w:rsid w:val="007F1B45"/>
    <w:rsid w:val="007F1D69"/>
    <w:rsid w:val="007F23B0"/>
    <w:rsid w:val="007F2C38"/>
    <w:rsid w:val="007F4221"/>
    <w:rsid w:val="007F6CB7"/>
    <w:rsid w:val="007F6FF1"/>
    <w:rsid w:val="007F7023"/>
    <w:rsid w:val="007F7825"/>
    <w:rsid w:val="007F7C4D"/>
    <w:rsid w:val="00800414"/>
    <w:rsid w:val="008028EB"/>
    <w:rsid w:val="00802C6F"/>
    <w:rsid w:val="00802F17"/>
    <w:rsid w:val="00803593"/>
    <w:rsid w:val="008035E6"/>
    <w:rsid w:val="00803863"/>
    <w:rsid w:val="00804818"/>
    <w:rsid w:val="00804DC3"/>
    <w:rsid w:val="00806C9C"/>
    <w:rsid w:val="0080799F"/>
    <w:rsid w:val="0081009D"/>
    <w:rsid w:val="00814057"/>
    <w:rsid w:val="0081490F"/>
    <w:rsid w:val="0081502F"/>
    <w:rsid w:val="00815840"/>
    <w:rsid w:val="008160B0"/>
    <w:rsid w:val="00816135"/>
    <w:rsid w:val="0081688C"/>
    <w:rsid w:val="00820BB0"/>
    <w:rsid w:val="008242C9"/>
    <w:rsid w:val="0082452C"/>
    <w:rsid w:val="00824AF2"/>
    <w:rsid w:val="00826394"/>
    <w:rsid w:val="008268B0"/>
    <w:rsid w:val="00826D9B"/>
    <w:rsid w:val="00827592"/>
    <w:rsid w:val="00831A5E"/>
    <w:rsid w:val="00833F0B"/>
    <w:rsid w:val="0083511C"/>
    <w:rsid w:val="00836796"/>
    <w:rsid w:val="00837325"/>
    <w:rsid w:val="0084091D"/>
    <w:rsid w:val="00841A59"/>
    <w:rsid w:val="008425EC"/>
    <w:rsid w:val="00842EEB"/>
    <w:rsid w:val="00843AA5"/>
    <w:rsid w:val="00844499"/>
    <w:rsid w:val="00845E08"/>
    <w:rsid w:val="00850616"/>
    <w:rsid w:val="00851E29"/>
    <w:rsid w:val="00852A20"/>
    <w:rsid w:val="00852F06"/>
    <w:rsid w:val="00852F3D"/>
    <w:rsid w:val="00853127"/>
    <w:rsid w:val="00853F6B"/>
    <w:rsid w:val="00854996"/>
    <w:rsid w:val="0085558C"/>
    <w:rsid w:val="00855ADE"/>
    <w:rsid w:val="00861876"/>
    <w:rsid w:val="00862150"/>
    <w:rsid w:val="00862D37"/>
    <w:rsid w:val="0086575B"/>
    <w:rsid w:val="008663FA"/>
    <w:rsid w:val="008668A2"/>
    <w:rsid w:val="0086735C"/>
    <w:rsid w:val="00867C73"/>
    <w:rsid w:val="00871286"/>
    <w:rsid w:val="008722E8"/>
    <w:rsid w:val="00872412"/>
    <w:rsid w:val="0087325B"/>
    <w:rsid w:val="0087339F"/>
    <w:rsid w:val="00873B18"/>
    <w:rsid w:val="00874467"/>
    <w:rsid w:val="00874B4F"/>
    <w:rsid w:val="00874FF7"/>
    <w:rsid w:val="008750E0"/>
    <w:rsid w:val="0087644E"/>
    <w:rsid w:val="00876B1C"/>
    <w:rsid w:val="00876E5B"/>
    <w:rsid w:val="00880180"/>
    <w:rsid w:val="00880D39"/>
    <w:rsid w:val="00880FA8"/>
    <w:rsid w:val="00882A2B"/>
    <w:rsid w:val="00884458"/>
    <w:rsid w:val="00884C99"/>
    <w:rsid w:val="00886082"/>
    <w:rsid w:val="00886232"/>
    <w:rsid w:val="00890982"/>
    <w:rsid w:val="00890E59"/>
    <w:rsid w:val="00893010"/>
    <w:rsid w:val="0089305B"/>
    <w:rsid w:val="00893B24"/>
    <w:rsid w:val="008942EB"/>
    <w:rsid w:val="0089477D"/>
    <w:rsid w:val="008959EA"/>
    <w:rsid w:val="0089690E"/>
    <w:rsid w:val="008A010E"/>
    <w:rsid w:val="008A05B0"/>
    <w:rsid w:val="008A0FA8"/>
    <w:rsid w:val="008A1310"/>
    <w:rsid w:val="008A31DF"/>
    <w:rsid w:val="008A3E2D"/>
    <w:rsid w:val="008A42E6"/>
    <w:rsid w:val="008A6C2C"/>
    <w:rsid w:val="008A6CE6"/>
    <w:rsid w:val="008A6D18"/>
    <w:rsid w:val="008A7C3D"/>
    <w:rsid w:val="008A7E1A"/>
    <w:rsid w:val="008A7E99"/>
    <w:rsid w:val="008B05C0"/>
    <w:rsid w:val="008B1055"/>
    <w:rsid w:val="008B11C9"/>
    <w:rsid w:val="008B1A3C"/>
    <w:rsid w:val="008B1DD0"/>
    <w:rsid w:val="008B30B3"/>
    <w:rsid w:val="008B3664"/>
    <w:rsid w:val="008B3C3B"/>
    <w:rsid w:val="008B560F"/>
    <w:rsid w:val="008C01BD"/>
    <w:rsid w:val="008C2A94"/>
    <w:rsid w:val="008C33FF"/>
    <w:rsid w:val="008C462F"/>
    <w:rsid w:val="008C6539"/>
    <w:rsid w:val="008C7E76"/>
    <w:rsid w:val="008D0DBE"/>
    <w:rsid w:val="008D1C29"/>
    <w:rsid w:val="008D2B6B"/>
    <w:rsid w:val="008D2BE6"/>
    <w:rsid w:val="008D3D19"/>
    <w:rsid w:val="008D5515"/>
    <w:rsid w:val="008D5B06"/>
    <w:rsid w:val="008D6234"/>
    <w:rsid w:val="008D6A65"/>
    <w:rsid w:val="008E0A4C"/>
    <w:rsid w:val="008E14CF"/>
    <w:rsid w:val="008E4A70"/>
    <w:rsid w:val="008E578D"/>
    <w:rsid w:val="008E57F7"/>
    <w:rsid w:val="008E6366"/>
    <w:rsid w:val="008E647F"/>
    <w:rsid w:val="008E7BCD"/>
    <w:rsid w:val="008F00F9"/>
    <w:rsid w:val="008F034A"/>
    <w:rsid w:val="008F0DB5"/>
    <w:rsid w:val="008F1E15"/>
    <w:rsid w:val="008F2600"/>
    <w:rsid w:val="008F2987"/>
    <w:rsid w:val="008F2C79"/>
    <w:rsid w:val="008F2EAE"/>
    <w:rsid w:val="008F3B8D"/>
    <w:rsid w:val="008F48F7"/>
    <w:rsid w:val="008F5AEE"/>
    <w:rsid w:val="008F5C8D"/>
    <w:rsid w:val="008F5D6F"/>
    <w:rsid w:val="008F7735"/>
    <w:rsid w:val="008F7946"/>
    <w:rsid w:val="00902086"/>
    <w:rsid w:val="009023B6"/>
    <w:rsid w:val="009025EA"/>
    <w:rsid w:val="00907F25"/>
    <w:rsid w:val="00910FAB"/>
    <w:rsid w:val="00911A0B"/>
    <w:rsid w:val="00914396"/>
    <w:rsid w:val="0091522C"/>
    <w:rsid w:val="00915B0E"/>
    <w:rsid w:val="00915FFA"/>
    <w:rsid w:val="009163E9"/>
    <w:rsid w:val="00917E32"/>
    <w:rsid w:val="0092389B"/>
    <w:rsid w:val="00924078"/>
    <w:rsid w:val="00924D37"/>
    <w:rsid w:val="00925087"/>
    <w:rsid w:val="00925B13"/>
    <w:rsid w:val="00925FF9"/>
    <w:rsid w:val="00926503"/>
    <w:rsid w:val="00927629"/>
    <w:rsid w:val="00930DB5"/>
    <w:rsid w:val="00931202"/>
    <w:rsid w:val="009317CE"/>
    <w:rsid w:val="00931C46"/>
    <w:rsid w:val="00932F71"/>
    <w:rsid w:val="00933DB1"/>
    <w:rsid w:val="00934641"/>
    <w:rsid w:val="0093697E"/>
    <w:rsid w:val="00936E9A"/>
    <w:rsid w:val="0093763D"/>
    <w:rsid w:val="009376E7"/>
    <w:rsid w:val="0094452B"/>
    <w:rsid w:val="00947B1A"/>
    <w:rsid w:val="00950D3F"/>
    <w:rsid w:val="009517BC"/>
    <w:rsid w:val="00953578"/>
    <w:rsid w:val="00953CFA"/>
    <w:rsid w:val="00953D02"/>
    <w:rsid w:val="009550F1"/>
    <w:rsid w:val="00955A40"/>
    <w:rsid w:val="009569B8"/>
    <w:rsid w:val="00957A92"/>
    <w:rsid w:val="00961B1A"/>
    <w:rsid w:val="00961FCC"/>
    <w:rsid w:val="009623E1"/>
    <w:rsid w:val="00963FFB"/>
    <w:rsid w:val="00964867"/>
    <w:rsid w:val="00964D31"/>
    <w:rsid w:val="00965151"/>
    <w:rsid w:val="00965990"/>
    <w:rsid w:val="00965F3B"/>
    <w:rsid w:val="0096716F"/>
    <w:rsid w:val="009671A1"/>
    <w:rsid w:val="0097142B"/>
    <w:rsid w:val="00972418"/>
    <w:rsid w:val="00976C18"/>
    <w:rsid w:val="009779CC"/>
    <w:rsid w:val="00983CFC"/>
    <w:rsid w:val="00984EA2"/>
    <w:rsid w:val="0098522E"/>
    <w:rsid w:val="009853A9"/>
    <w:rsid w:val="00985899"/>
    <w:rsid w:val="009863EF"/>
    <w:rsid w:val="0098681B"/>
    <w:rsid w:val="00986B5C"/>
    <w:rsid w:val="009879B5"/>
    <w:rsid w:val="00991385"/>
    <w:rsid w:val="009918AF"/>
    <w:rsid w:val="00991A2F"/>
    <w:rsid w:val="00991BA8"/>
    <w:rsid w:val="009926F0"/>
    <w:rsid w:val="00992930"/>
    <w:rsid w:val="009945E0"/>
    <w:rsid w:val="00994845"/>
    <w:rsid w:val="009950DA"/>
    <w:rsid w:val="00996323"/>
    <w:rsid w:val="00996718"/>
    <w:rsid w:val="00997A53"/>
    <w:rsid w:val="00997A85"/>
    <w:rsid w:val="00997F34"/>
    <w:rsid w:val="009A12C7"/>
    <w:rsid w:val="009A151B"/>
    <w:rsid w:val="009A1E01"/>
    <w:rsid w:val="009A2638"/>
    <w:rsid w:val="009A2998"/>
    <w:rsid w:val="009A40A6"/>
    <w:rsid w:val="009A5568"/>
    <w:rsid w:val="009A5942"/>
    <w:rsid w:val="009A704E"/>
    <w:rsid w:val="009B32EC"/>
    <w:rsid w:val="009B4002"/>
    <w:rsid w:val="009B531F"/>
    <w:rsid w:val="009B5C49"/>
    <w:rsid w:val="009B5FFD"/>
    <w:rsid w:val="009C3B0B"/>
    <w:rsid w:val="009C3C3C"/>
    <w:rsid w:val="009C3DBB"/>
    <w:rsid w:val="009C421C"/>
    <w:rsid w:val="009C5142"/>
    <w:rsid w:val="009C545B"/>
    <w:rsid w:val="009C78B2"/>
    <w:rsid w:val="009D0C0B"/>
    <w:rsid w:val="009D1CAB"/>
    <w:rsid w:val="009D1CD5"/>
    <w:rsid w:val="009D1D97"/>
    <w:rsid w:val="009D2282"/>
    <w:rsid w:val="009D2538"/>
    <w:rsid w:val="009D297B"/>
    <w:rsid w:val="009D2B3E"/>
    <w:rsid w:val="009D3E63"/>
    <w:rsid w:val="009D48AC"/>
    <w:rsid w:val="009D4FED"/>
    <w:rsid w:val="009D5F48"/>
    <w:rsid w:val="009D6B21"/>
    <w:rsid w:val="009D6CEB"/>
    <w:rsid w:val="009D70EE"/>
    <w:rsid w:val="009D757F"/>
    <w:rsid w:val="009E0452"/>
    <w:rsid w:val="009E1096"/>
    <w:rsid w:val="009E132B"/>
    <w:rsid w:val="009E1623"/>
    <w:rsid w:val="009E23B0"/>
    <w:rsid w:val="009E3087"/>
    <w:rsid w:val="009E3783"/>
    <w:rsid w:val="009E3863"/>
    <w:rsid w:val="009E4D2F"/>
    <w:rsid w:val="009E545B"/>
    <w:rsid w:val="009E6516"/>
    <w:rsid w:val="009E6ECD"/>
    <w:rsid w:val="009E7B1A"/>
    <w:rsid w:val="009F0729"/>
    <w:rsid w:val="009F1A42"/>
    <w:rsid w:val="009F1DEC"/>
    <w:rsid w:val="009F27A5"/>
    <w:rsid w:val="009F2F23"/>
    <w:rsid w:val="009F3C58"/>
    <w:rsid w:val="009F5283"/>
    <w:rsid w:val="009F5A9A"/>
    <w:rsid w:val="009F5F70"/>
    <w:rsid w:val="009F7474"/>
    <w:rsid w:val="00A002C6"/>
    <w:rsid w:val="00A0038D"/>
    <w:rsid w:val="00A005CC"/>
    <w:rsid w:val="00A02DE5"/>
    <w:rsid w:val="00A02E22"/>
    <w:rsid w:val="00A065E3"/>
    <w:rsid w:val="00A10B7C"/>
    <w:rsid w:val="00A10D0B"/>
    <w:rsid w:val="00A12A43"/>
    <w:rsid w:val="00A13B90"/>
    <w:rsid w:val="00A14145"/>
    <w:rsid w:val="00A157BE"/>
    <w:rsid w:val="00A15A87"/>
    <w:rsid w:val="00A15C5B"/>
    <w:rsid w:val="00A16379"/>
    <w:rsid w:val="00A21D0D"/>
    <w:rsid w:val="00A23B71"/>
    <w:rsid w:val="00A24EAE"/>
    <w:rsid w:val="00A258D4"/>
    <w:rsid w:val="00A26B62"/>
    <w:rsid w:val="00A26E7E"/>
    <w:rsid w:val="00A27180"/>
    <w:rsid w:val="00A272A0"/>
    <w:rsid w:val="00A278BA"/>
    <w:rsid w:val="00A327F2"/>
    <w:rsid w:val="00A32992"/>
    <w:rsid w:val="00A33BC1"/>
    <w:rsid w:val="00A364C0"/>
    <w:rsid w:val="00A366CF"/>
    <w:rsid w:val="00A37046"/>
    <w:rsid w:val="00A40B0B"/>
    <w:rsid w:val="00A40D5F"/>
    <w:rsid w:val="00A41605"/>
    <w:rsid w:val="00A43896"/>
    <w:rsid w:val="00A44284"/>
    <w:rsid w:val="00A45BCC"/>
    <w:rsid w:val="00A4632C"/>
    <w:rsid w:val="00A50207"/>
    <w:rsid w:val="00A5042F"/>
    <w:rsid w:val="00A506F0"/>
    <w:rsid w:val="00A50BEE"/>
    <w:rsid w:val="00A52AE7"/>
    <w:rsid w:val="00A52F39"/>
    <w:rsid w:val="00A54F9D"/>
    <w:rsid w:val="00A55449"/>
    <w:rsid w:val="00A56E9E"/>
    <w:rsid w:val="00A57C90"/>
    <w:rsid w:val="00A62816"/>
    <w:rsid w:val="00A62AB5"/>
    <w:rsid w:val="00A62FC8"/>
    <w:rsid w:val="00A63731"/>
    <w:rsid w:val="00A63E0E"/>
    <w:rsid w:val="00A64155"/>
    <w:rsid w:val="00A643FB"/>
    <w:rsid w:val="00A64B64"/>
    <w:rsid w:val="00A64F9E"/>
    <w:rsid w:val="00A66C9A"/>
    <w:rsid w:val="00A66EC8"/>
    <w:rsid w:val="00A70885"/>
    <w:rsid w:val="00A711C6"/>
    <w:rsid w:val="00A7140B"/>
    <w:rsid w:val="00A75388"/>
    <w:rsid w:val="00A75A39"/>
    <w:rsid w:val="00A76848"/>
    <w:rsid w:val="00A76C25"/>
    <w:rsid w:val="00A76FE6"/>
    <w:rsid w:val="00A77A47"/>
    <w:rsid w:val="00A77AB4"/>
    <w:rsid w:val="00A8051C"/>
    <w:rsid w:val="00A82404"/>
    <w:rsid w:val="00A833EF"/>
    <w:rsid w:val="00A83843"/>
    <w:rsid w:val="00A83E66"/>
    <w:rsid w:val="00A85CDB"/>
    <w:rsid w:val="00A862A8"/>
    <w:rsid w:val="00A8695E"/>
    <w:rsid w:val="00A86DBA"/>
    <w:rsid w:val="00A87E13"/>
    <w:rsid w:val="00A911A6"/>
    <w:rsid w:val="00A9145A"/>
    <w:rsid w:val="00A93B60"/>
    <w:rsid w:val="00A94B9E"/>
    <w:rsid w:val="00A96990"/>
    <w:rsid w:val="00A969A1"/>
    <w:rsid w:val="00A96DC2"/>
    <w:rsid w:val="00A96E14"/>
    <w:rsid w:val="00A97CEB"/>
    <w:rsid w:val="00AA0297"/>
    <w:rsid w:val="00AA0B54"/>
    <w:rsid w:val="00AA1C93"/>
    <w:rsid w:val="00AA23FF"/>
    <w:rsid w:val="00AA3C28"/>
    <w:rsid w:val="00AA47C7"/>
    <w:rsid w:val="00AA5D09"/>
    <w:rsid w:val="00AA63BB"/>
    <w:rsid w:val="00AB11C1"/>
    <w:rsid w:val="00AB2352"/>
    <w:rsid w:val="00AB3B5B"/>
    <w:rsid w:val="00AB51FA"/>
    <w:rsid w:val="00AB5899"/>
    <w:rsid w:val="00AC19D3"/>
    <w:rsid w:val="00AC392B"/>
    <w:rsid w:val="00AC3F48"/>
    <w:rsid w:val="00AC64EC"/>
    <w:rsid w:val="00AC7182"/>
    <w:rsid w:val="00AC7517"/>
    <w:rsid w:val="00AD136A"/>
    <w:rsid w:val="00AD16A1"/>
    <w:rsid w:val="00AD259D"/>
    <w:rsid w:val="00AD5BD4"/>
    <w:rsid w:val="00AD6523"/>
    <w:rsid w:val="00AD70C0"/>
    <w:rsid w:val="00AE15EF"/>
    <w:rsid w:val="00AE20F5"/>
    <w:rsid w:val="00AE2DED"/>
    <w:rsid w:val="00AE3358"/>
    <w:rsid w:val="00AE485A"/>
    <w:rsid w:val="00AE4876"/>
    <w:rsid w:val="00AE5ACD"/>
    <w:rsid w:val="00AE6C8E"/>
    <w:rsid w:val="00AE7CD4"/>
    <w:rsid w:val="00AF1897"/>
    <w:rsid w:val="00AF3641"/>
    <w:rsid w:val="00AF3E96"/>
    <w:rsid w:val="00AF52A1"/>
    <w:rsid w:val="00B01213"/>
    <w:rsid w:val="00B01534"/>
    <w:rsid w:val="00B0181E"/>
    <w:rsid w:val="00B019BE"/>
    <w:rsid w:val="00B01EBC"/>
    <w:rsid w:val="00B045E3"/>
    <w:rsid w:val="00B05E91"/>
    <w:rsid w:val="00B06243"/>
    <w:rsid w:val="00B06296"/>
    <w:rsid w:val="00B0648E"/>
    <w:rsid w:val="00B07D65"/>
    <w:rsid w:val="00B10711"/>
    <w:rsid w:val="00B10C70"/>
    <w:rsid w:val="00B13A9C"/>
    <w:rsid w:val="00B13E5B"/>
    <w:rsid w:val="00B14410"/>
    <w:rsid w:val="00B161D5"/>
    <w:rsid w:val="00B163E7"/>
    <w:rsid w:val="00B201EA"/>
    <w:rsid w:val="00B205D3"/>
    <w:rsid w:val="00B215CD"/>
    <w:rsid w:val="00B22DA4"/>
    <w:rsid w:val="00B2479E"/>
    <w:rsid w:val="00B247FF"/>
    <w:rsid w:val="00B2549D"/>
    <w:rsid w:val="00B2578D"/>
    <w:rsid w:val="00B30261"/>
    <w:rsid w:val="00B3137E"/>
    <w:rsid w:val="00B33EF5"/>
    <w:rsid w:val="00B35A62"/>
    <w:rsid w:val="00B35F28"/>
    <w:rsid w:val="00B4214C"/>
    <w:rsid w:val="00B42F4A"/>
    <w:rsid w:val="00B44F3F"/>
    <w:rsid w:val="00B47E87"/>
    <w:rsid w:val="00B50818"/>
    <w:rsid w:val="00B5136F"/>
    <w:rsid w:val="00B541BD"/>
    <w:rsid w:val="00B55CE8"/>
    <w:rsid w:val="00B56ED2"/>
    <w:rsid w:val="00B5740A"/>
    <w:rsid w:val="00B57A71"/>
    <w:rsid w:val="00B57AFD"/>
    <w:rsid w:val="00B6008C"/>
    <w:rsid w:val="00B61DAD"/>
    <w:rsid w:val="00B621B1"/>
    <w:rsid w:val="00B6331E"/>
    <w:rsid w:val="00B63F1E"/>
    <w:rsid w:val="00B66BF1"/>
    <w:rsid w:val="00B66EA6"/>
    <w:rsid w:val="00B670BA"/>
    <w:rsid w:val="00B70BDF"/>
    <w:rsid w:val="00B723BD"/>
    <w:rsid w:val="00B72772"/>
    <w:rsid w:val="00B73E4C"/>
    <w:rsid w:val="00B747A7"/>
    <w:rsid w:val="00B74E9F"/>
    <w:rsid w:val="00B74F3E"/>
    <w:rsid w:val="00B7620C"/>
    <w:rsid w:val="00B8108B"/>
    <w:rsid w:val="00B8143A"/>
    <w:rsid w:val="00B81AFB"/>
    <w:rsid w:val="00B81FAB"/>
    <w:rsid w:val="00B820BE"/>
    <w:rsid w:val="00B83550"/>
    <w:rsid w:val="00B84479"/>
    <w:rsid w:val="00B84539"/>
    <w:rsid w:val="00B85C57"/>
    <w:rsid w:val="00B904E6"/>
    <w:rsid w:val="00B90663"/>
    <w:rsid w:val="00B970E1"/>
    <w:rsid w:val="00B9791E"/>
    <w:rsid w:val="00BA04D1"/>
    <w:rsid w:val="00BA0EC5"/>
    <w:rsid w:val="00BA0F61"/>
    <w:rsid w:val="00BA108B"/>
    <w:rsid w:val="00BA1928"/>
    <w:rsid w:val="00BA2AC4"/>
    <w:rsid w:val="00BA3859"/>
    <w:rsid w:val="00BA4B89"/>
    <w:rsid w:val="00BA4E43"/>
    <w:rsid w:val="00BA5558"/>
    <w:rsid w:val="00BA587C"/>
    <w:rsid w:val="00BB0DF9"/>
    <w:rsid w:val="00BB1AF6"/>
    <w:rsid w:val="00BB1DA6"/>
    <w:rsid w:val="00BB3320"/>
    <w:rsid w:val="00BB347C"/>
    <w:rsid w:val="00BB50E7"/>
    <w:rsid w:val="00BB629A"/>
    <w:rsid w:val="00BC12C3"/>
    <w:rsid w:val="00BC1360"/>
    <w:rsid w:val="00BC1B1F"/>
    <w:rsid w:val="00BC2EF8"/>
    <w:rsid w:val="00BC3412"/>
    <w:rsid w:val="00BC4D46"/>
    <w:rsid w:val="00BC5163"/>
    <w:rsid w:val="00BC60F3"/>
    <w:rsid w:val="00BC70AD"/>
    <w:rsid w:val="00BC75A9"/>
    <w:rsid w:val="00BD0814"/>
    <w:rsid w:val="00BD0FBF"/>
    <w:rsid w:val="00BD12CD"/>
    <w:rsid w:val="00BD219A"/>
    <w:rsid w:val="00BD36E4"/>
    <w:rsid w:val="00BD3C8C"/>
    <w:rsid w:val="00BD4045"/>
    <w:rsid w:val="00BD4670"/>
    <w:rsid w:val="00BD4E07"/>
    <w:rsid w:val="00BD5153"/>
    <w:rsid w:val="00BD6D5F"/>
    <w:rsid w:val="00BD79E4"/>
    <w:rsid w:val="00BD7BCF"/>
    <w:rsid w:val="00BE061A"/>
    <w:rsid w:val="00BE1114"/>
    <w:rsid w:val="00BE2D13"/>
    <w:rsid w:val="00BE5D7F"/>
    <w:rsid w:val="00BE5DB6"/>
    <w:rsid w:val="00BE5F1F"/>
    <w:rsid w:val="00BE6392"/>
    <w:rsid w:val="00BE7669"/>
    <w:rsid w:val="00BF08BB"/>
    <w:rsid w:val="00BF29E6"/>
    <w:rsid w:val="00BF2BC7"/>
    <w:rsid w:val="00BF2E3C"/>
    <w:rsid w:val="00BF2F8B"/>
    <w:rsid w:val="00BF417E"/>
    <w:rsid w:val="00BF4B0A"/>
    <w:rsid w:val="00BF5152"/>
    <w:rsid w:val="00BF528E"/>
    <w:rsid w:val="00BF5F49"/>
    <w:rsid w:val="00BF7863"/>
    <w:rsid w:val="00C005A3"/>
    <w:rsid w:val="00C00990"/>
    <w:rsid w:val="00C00D31"/>
    <w:rsid w:val="00C00D33"/>
    <w:rsid w:val="00C00E11"/>
    <w:rsid w:val="00C01D61"/>
    <w:rsid w:val="00C038DD"/>
    <w:rsid w:val="00C06FF4"/>
    <w:rsid w:val="00C07199"/>
    <w:rsid w:val="00C11159"/>
    <w:rsid w:val="00C11A93"/>
    <w:rsid w:val="00C1214A"/>
    <w:rsid w:val="00C12549"/>
    <w:rsid w:val="00C12F5D"/>
    <w:rsid w:val="00C1404B"/>
    <w:rsid w:val="00C146AC"/>
    <w:rsid w:val="00C14B77"/>
    <w:rsid w:val="00C14DB5"/>
    <w:rsid w:val="00C15B75"/>
    <w:rsid w:val="00C1632B"/>
    <w:rsid w:val="00C16D8B"/>
    <w:rsid w:val="00C17436"/>
    <w:rsid w:val="00C176EC"/>
    <w:rsid w:val="00C17FE6"/>
    <w:rsid w:val="00C216EA"/>
    <w:rsid w:val="00C2265C"/>
    <w:rsid w:val="00C22A72"/>
    <w:rsid w:val="00C2358A"/>
    <w:rsid w:val="00C2594E"/>
    <w:rsid w:val="00C3183C"/>
    <w:rsid w:val="00C341C1"/>
    <w:rsid w:val="00C3432C"/>
    <w:rsid w:val="00C35A54"/>
    <w:rsid w:val="00C371F6"/>
    <w:rsid w:val="00C37D1C"/>
    <w:rsid w:val="00C40B0D"/>
    <w:rsid w:val="00C40FA9"/>
    <w:rsid w:val="00C419B3"/>
    <w:rsid w:val="00C42315"/>
    <w:rsid w:val="00C4251A"/>
    <w:rsid w:val="00C4290E"/>
    <w:rsid w:val="00C44A98"/>
    <w:rsid w:val="00C44D96"/>
    <w:rsid w:val="00C4563E"/>
    <w:rsid w:val="00C45EAC"/>
    <w:rsid w:val="00C50093"/>
    <w:rsid w:val="00C52F76"/>
    <w:rsid w:val="00C53280"/>
    <w:rsid w:val="00C5444E"/>
    <w:rsid w:val="00C548D2"/>
    <w:rsid w:val="00C55FB5"/>
    <w:rsid w:val="00C62C1D"/>
    <w:rsid w:val="00C63906"/>
    <w:rsid w:val="00C63A65"/>
    <w:rsid w:val="00C63CD9"/>
    <w:rsid w:val="00C6465A"/>
    <w:rsid w:val="00C647E9"/>
    <w:rsid w:val="00C66309"/>
    <w:rsid w:val="00C66653"/>
    <w:rsid w:val="00C67C93"/>
    <w:rsid w:val="00C70147"/>
    <w:rsid w:val="00C72313"/>
    <w:rsid w:val="00C73449"/>
    <w:rsid w:val="00C74103"/>
    <w:rsid w:val="00C7472D"/>
    <w:rsid w:val="00C7659E"/>
    <w:rsid w:val="00C76D3A"/>
    <w:rsid w:val="00C76E5B"/>
    <w:rsid w:val="00C80619"/>
    <w:rsid w:val="00C81995"/>
    <w:rsid w:val="00C82577"/>
    <w:rsid w:val="00C84262"/>
    <w:rsid w:val="00C8448B"/>
    <w:rsid w:val="00C85912"/>
    <w:rsid w:val="00C8644D"/>
    <w:rsid w:val="00C873F6"/>
    <w:rsid w:val="00C933F7"/>
    <w:rsid w:val="00C9517E"/>
    <w:rsid w:val="00C95CA4"/>
    <w:rsid w:val="00C963AA"/>
    <w:rsid w:val="00C96F3C"/>
    <w:rsid w:val="00C9745D"/>
    <w:rsid w:val="00CA180B"/>
    <w:rsid w:val="00CA1D71"/>
    <w:rsid w:val="00CA2AF0"/>
    <w:rsid w:val="00CA2B56"/>
    <w:rsid w:val="00CA39DD"/>
    <w:rsid w:val="00CA4F8A"/>
    <w:rsid w:val="00CA596C"/>
    <w:rsid w:val="00CA60B0"/>
    <w:rsid w:val="00CB2453"/>
    <w:rsid w:val="00CB2454"/>
    <w:rsid w:val="00CB3A8E"/>
    <w:rsid w:val="00CB6B0F"/>
    <w:rsid w:val="00CB6F18"/>
    <w:rsid w:val="00CC1590"/>
    <w:rsid w:val="00CC264A"/>
    <w:rsid w:val="00CC4C66"/>
    <w:rsid w:val="00CC6486"/>
    <w:rsid w:val="00CC6680"/>
    <w:rsid w:val="00CD0B2D"/>
    <w:rsid w:val="00CD0C1E"/>
    <w:rsid w:val="00CD2147"/>
    <w:rsid w:val="00CD30EB"/>
    <w:rsid w:val="00CD4237"/>
    <w:rsid w:val="00CD78EF"/>
    <w:rsid w:val="00CE13AD"/>
    <w:rsid w:val="00CE251D"/>
    <w:rsid w:val="00CE3167"/>
    <w:rsid w:val="00CE32DA"/>
    <w:rsid w:val="00CE33B0"/>
    <w:rsid w:val="00CE36A9"/>
    <w:rsid w:val="00CE6E1A"/>
    <w:rsid w:val="00CE6E3C"/>
    <w:rsid w:val="00CE7314"/>
    <w:rsid w:val="00CE7822"/>
    <w:rsid w:val="00CF02E6"/>
    <w:rsid w:val="00CF0F48"/>
    <w:rsid w:val="00CF2660"/>
    <w:rsid w:val="00CF36C6"/>
    <w:rsid w:val="00CF43EB"/>
    <w:rsid w:val="00CF4527"/>
    <w:rsid w:val="00CF6FC2"/>
    <w:rsid w:val="00D020AB"/>
    <w:rsid w:val="00D02940"/>
    <w:rsid w:val="00D042AE"/>
    <w:rsid w:val="00D04787"/>
    <w:rsid w:val="00D05C85"/>
    <w:rsid w:val="00D05E7F"/>
    <w:rsid w:val="00D06003"/>
    <w:rsid w:val="00D06A74"/>
    <w:rsid w:val="00D07553"/>
    <w:rsid w:val="00D100D3"/>
    <w:rsid w:val="00D10DBB"/>
    <w:rsid w:val="00D125A3"/>
    <w:rsid w:val="00D12A89"/>
    <w:rsid w:val="00D13771"/>
    <w:rsid w:val="00D14ABB"/>
    <w:rsid w:val="00D159E8"/>
    <w:rsid w:val="00D1699B"/>
    <w:rsid w:val="00D20277"/>
    <w:rsid w:val="00D20A6A"/>
    <w:rsid w:val="00D20AFE"/>
    <w:rsid w:val="00D2165C"/>
    <w:rsid w:val="00D221F3"/>
    <w:rsid w:val="00D244F1"/>
    <w:rsid w:val="00D27F9D"/>
    <w:rsid w:val="00D30F86"/>
    <w:rsid w:val="00D324DF"/>
    <w:rsid w:val="00D32D3D"/>
    <w:rsid w:val="00D331B0"/>
    <w:rsid w:val="00D33593"/>
    <w:rsid w:val="00D33650"/>
    <w:rsid w:val="00D349E0"/>
    <w:rsid w:val="00D37DA0"/>
    <w:rsid w:val="00D40B6A"/>
    <w:rsid w:val="00D422D3"/>
    <w:rsid w:val="00D439E5"/>
    <w:rsid w:val="00D44E5E"/>
    <w:rsid w:val="00D45BBA"/>
    <w:rsid w:val="00D467FC"/>
    <w:rsid w:val="00D53AFA"/>
    <w:rsid w:val="00D54358"/>
    <w:rsid w:val="00D5637B"/>
    <w:rsid w:val="00D56848"/>
    <w:rsid w:val="00D57817"/>
    <w:rsid w:val="00D57C0E"/>
    <w:rsid w:val="00D605B3"/>
    <w:rsid w:val="00D61C10"/>
    <w:rsid w:val="00D639B4"/>
    <w:rsid w:val="00D64022"/>
    <w:rsid w:val="00D654A8"/>
    <w:rsid w:val="00D665AF"/>
    <w:rsid w:val="00D66716"/>
    <w:rsid w:val="00D677A8"/>
    <w:rsid w:val="00D679AD"/>
    <w:rsid w:val="00D70E5B"/>
    <w:rsid w:val="00D728F9"/>
    <w:rsid w:val="00D7370E"/>
    <w:rsid w:val="00D73E95"/>
    <w:rsid w:val="00D75BC1"/>
    <w:rsid w:val="00D81094"/>
    <w:rsid w:val="00D8210E"/>
    <w:rsid w:val="00D84951"/>
    <w:rsid w:val="00D85E78"/>
    <w:rsid w:val="00D86BE8"/>
    <w:rsid w:val="00D90FC6"/>
    <w:rsid w:val="00D9171B"/>
    <w:rsid w:val="00D92340"/>
    <w:rsid w:val="00D9242B"/>
    <w:rsid w:val="00D9383E"/>
    <w:rsid w:val="00D94816"/>
    <w:rsid w:val="00D957EC"/>
    <w:rsid w:val="00D95986"/>
    <w:rsid w:val="00D95AC2"/>
    <w:rsid w:val="00D966A8"/>
    <w:rsid w:val="00D97EEE"/>
    <w:rsid w:val="00DA16E8"/>
    <w:rsid w:val="00DA194C"/>
    <w:rsid w:val="00DA21F8"/>
    <w:rsid w:val="00DA3885"/>
    <w:rsid w:val="00DA3DFB"/>
    <w:rsid w:val="00DA6708"/>
    <w:rsid w:val="00DB08AE"/>
    <w:rsid w:val="00DB0F29"/>
    <w:rsid w:val="00DB1B85"/>
    <w:rsid w:val="00DB27E8"/>
    <w:rsid w:val="00DB2A98"/>
    <w:rsid w:val="00DB3030"/>
    <w:rsid w:val="00DB32F3"/>
    <w:rsid w:val="00DB3CC1"/>
    <w:rsid w:val="00DB4E5B"/>
    <w:rsid w:val="00DB67F5"/>
    <w:rsid w:val="00DB7581"/>
    <w:rsid w:val="00DB77FB"/>
    <w:rsid w:val="00DC0167"/>
    <w:rsid w:val="00DC03AD"/>
    <w:rsid w:val="00DC1D0B"/>
    <w:rsid w:val="00DC4368"/>
    <w:rsid w:val="00DC5B03"/>
    <w:rsid w:val="00DD3235"/>
    <w:rsid w:val="00DD36FF"/>
    <w:rsid w:val="00DD58E6"/>
    <w:rsid w:val="00DD6660"/>
    <w:rsid w:val="00DD7A51"/>
    <w:rsid w:val="00DE3A8C"/>
    <w:rsid w:val="00DE3FAE"/>
    <w:rsid w:val="00DE6113"/>
    <w:rsid w:val="00DF0411"/>
    <w:rsid w:val="00DF1367"/>
    <w:rsid w:val="00DF2A29"/>
    <w:rsid w:val="00DF320B"/>
    <w:rsid w:val="00DF36D0"/>
    <w:rsid w:val="00DF4A8F"/>
    <w:rsid w:val="00DF4D27"/>
    <w:rsid w:val="00DF5DA0"/>
    <w:rsid w:val="00DF7627"/>
    <w:rsid w:val="00E00013"/>
    <w:rsid w:val="00E00534"/>
    <w:rsid w:val="00E013D0"/>
    <w:rsid w:val="00E01E49"/>
    <w:rsid w:val="00E0453F"/>
    <w:rsid w:val="00E05162"/>
    <w:rsid w:val="00E0537E"/>
    <w:rsid w:val="00E057B4"/>
    <w:rsid w:val="00E05EEB"/>
    <w:rsid w:val="00E06337"/>
    <w:rsid w:val="00E11640"/>
    <w:rsid w:val="00E12243"/>
    <w:rsid w:val="00E1354D"/>
    <w:rsid w:val="00E13A5A"/>
    <w:rsid w:val="00E14785"/>
    <w:rsid w:val="00E157E3"/>
    <w:rsid w:val="00E17709"/>
    <w:rsid w:val="00E20565"/>
    <w:rsid w:val="00E20900"/>
    <w:rsid w:val="00E2148D"/>
    <w:rsid w:val="00E219CF"/>
    <w:rsid w:val="00E2222D"/>
    <w:rsid w:val="00E23E7F"/>
    <w:rsid w:val="00E24276"/>
    <w:rsid w:val="00E24ACB"/>
    <w:rsid w:val="00E24C93"/>
    <w:rsid w:val="00E26A75"/>
    <w:rsid w:val="00E26F3B"/>
    <w:rsid w:val="00E2791D"/>
    <w:rsid w:val="00E30E9E"/>
    <w:rsid w:val="00E31762"/>
    <w:rsid w:val="00E36015"/>
    <w:rsid w:val="00E36C3F"/>
    <w:rsid w:val="00E37595"/>
    <w:rsid w:val="00E37A5D"/>
    <w:rsid w:val="00E37ABB"/>
    <w:rsid w:val="00E41278"/>
    <w:rsid w:val="00E414FF"/>
    <w:rsid w:val="00E421A8"/>
    <w:rsid w:val="00E441E0"/>
    <w:rsid w:val="00E45373"/>
    <w:rsid w:val="00E45E13"/>
    <w:rsid w:val="00E47AAB"/>
    <w:rsid w:val="00E516B2"/>
    <w:rsid w:val="00E52394"/>
    <w:rsid w:val="00E53D55"/>
    <w:rsid w:val="00E55235"/>
    <w:rsid w:val="00E553D1"/>
    <w:rsid w:val="00E55646"/>
    <w:rsid w:val="00E56BF8"/>
    <w:rsid w:val="00E571D6"/>
    <w:rsid w:val="00E576A6"/>
    <w:rsid w:val="00E60F85"/>
    <w:rsid w:val="00E61729"/>
    <w:rsid w:val="00E62DEE"/>
    <w:rsid w:val="00E63798"/>
    <w:rsid w:val="00E64FA6"/>
    <w:rsid w:val="00E66B17"/>
    <w:rsid w:val="00E71DA0"/>
    <w:rsid w:val="00E746F2"/>
    <w:rsid w:val="00E75BAF"/>
    <w:rsid w:val="00E7631B"/>
    <w:rsid w:val="00E777DC"/>
    <w:rsid w:val="00E808B0"/>
    <w:rsid w:val="00E80B7A"/>
    <w:rsid w:val="00E82898"/>
    <w:rsid w:val="00E82C6F"/>
    <w:rsid w:val="00E82DF5"/>
    <w:rsid w:val="00E8308B"/>
    <w:rsid w:val="00E832CC"/>
    <w:rsid w:val="00E84C39"/>
    <w:rsid w:val="00E85358"/>
    <w:rsid w:val="00E8582D"/>
    <w:rsid w:val="00E85899"/>
    <w:rsid w:val="00E86DDC"/>
    <w:rsid w:val="00E87156"/>
    <w:rsid w:val="00E8760E"/>
    <w:rsid w:val="00E87E28"/>
    <w:rsid w:val="00E9075B"/>
    <w:rsid w:val="00E914D6"/>
    <w:rsid w:val="00E91A19"/>
    <w:rsid w:val="00E938B8"/>
    <w:rsid w:val="00E93E71"/>
    <w:rsid w:val="00E96E8A"/>
    <w:rsid w:val="00E975EB"/>
    <w:rsid w:val="00EA06BF"/>
    <w:rsid w:val="00EA355A"/>
    <w:rsid w:val="00EA3A32"/>
    <w:rsid w:val="00EA3A6E"/>
    <w:rsid w:val="00EA4466"/>
    <w:rsid w:val="00EA559D"/>
    <w:rsid w:val="00EA5BF8"/>
    <w:rsid w:val="00EA5DB5"/>
    <w:rsid w:val="00EA71F9"/>
    <w:rsid w:val="00EA7FFC"/>
    <w:rsid w:val="00EB0421"/>
    <w:rsid w:val="00EB0E41"/>
    <w:rsid w:val="00EB1FE6"/>
    <w:rsid w:val="00EB3577"/>
    <w:rsid w:val="00EB5B62"/>
    <w:rsid w:val="00EB5FA0"/>
    <w:rsid w:val="00EB6BF5"/>
    <w:rsid w:val="00EB709C"/>
    <w:rsid w:val="00EB72C1"/>
    <w:rsid w:val="00EB72F6"/>
    <w:rsid w:val="00EC0344"/>
    <w:rsid w:val="00EC0C2F"/>
    <w:rsid w:val="00EC18D3"/>
    <w:rsid w:val="00EC2D2E"/>
    <w:rsid w:val="00EC3642"/>
    <w:rsid w:val="00EC38B2"/>
    <w:rsid w:val="00EC4EFB"/>
    <w:rsid w:val="00EC5EC1"/>
    <w:rsid w:val="00EC7556"/>
    <w:rsid w:val="00EC790F"/>
    <w:rsid w:val="00ED00B8"/>
    <w:rsid w:val="00ED0470"/>
    <w:rsid w:val="00ED0DC2"/>
    <w:rsid w:val="00ED123C"/>
    <w:rsid w:val="00ED3445"/>
    <w:rsid w:val="00ED3573"/>
    <w:rsid w:val="00ED36CE"/>
    <w:rsid w:val="00ED3D91"/>
    <w:rsid w:val="00ED6621"/>
    <w:rsid w:val="00EE29C5"/>
    <w:rsid w:val="00EE34B7"/>
    <w:rsid w:val="00EE4D4A"/>
    <w:rsid w:val="00EE5819"/>
    <w:rsid w:val="00EE5A50"/>
    <w:rsid w:val="00EE60CD"/>
    <w:rsid w:val="00EE6F30"/>
    <w:rsid w:val="00EF0171"/>
    <w:rsid w:val="00EF2FD1"/>
    <w:rsid w:val="00EF38A1"/>
    <w:rsid w:val="00EF4CCE"/>
    <w:rsid w:val="00EF4EFF"/>
    <w:rsid w:val="00EF5A4F"/>
    <w:rsid w:val="00EF5F6A"/>
    <w:rsid w:val="00EF7B68"/>
    <w:rsid w:val="00EF7C82"/>
    <w:rsid w:val="00F00E7C"/>
    <w:rsid w:val="00F02359"/>
    <w:rsid w:val="00F03615"/>
    <w:rsid w:val="00F03FA8"/>
    <w:rsid w:val="00F07841"/>
    <w:rsid w:val="00F10851"/>
    <w:rsid w:val="00F10F0D"/>
    <w:rsid w:val="00F11F86"/>
    <w:rsid w:val="00F14B09"/>
    <w:rsid w:val="00F1631B"/>
    <w:rsid w:val="00F1768B"/>
    <w:rsid w:val="00F20185"/>
    <w:rsid w:val="00F20187"/>
    <w:rsid w:val="00F206C5"/>
    <w:rsid w:val="00F21FCA"/>
    <w:rsid w:val="00F22CF9"/>
    <w:rsid w:val="00F25937"/>
    <w:rsid w:val="00F25951"/>
    <w:rsid w:val="00F26929"/>
    <w:rsid w:val="00F272AE"/>
    <w:rsid w:val="00F3239C"/>
    <w:rsid w:val="00F32E58"/>
    <w:rsid w:val="00F36548"/>
    <w:rsid w:val="00F36EA6"/>
    <w:rsid w:val="00F37F85"/>
    <w:rsid w:val="00F41660"/>
    <w:rsid w:val="00F41B08"/>
    <w:rsid w:val="00F421AC"/>
    <w:rsid w:val="00F42B16"/>
    <w:rsid w:val="00F4326E"/>
    <w:rsid w:val="00F437B8"/>
    <w:rsid w:val="00F470C4"/>
    <w:rsid w:val="00F50128"/>
    <w:rsid w:val="00F51A2B"/>
    <w:rsid w:val="00F51D77"/>
    <w:rsid w:val="00F52170"/>
    <w:rsid w:val="00F5280C"/>
    <w:rsid w:val="00F52A5F"/>
    <w:rsid w:val="00F52B2A"/>
    <w:rsid w:val="00F52D0A"/>
    <w:rsid w:val="00F54B47"/>
    <w:rsid w:val="00F56A34"/>
    <w:rsid w:val="00F57B7F"/>
    <w:rsid w:val="00F57FEA"/>
    <w:rsid w:val="00F61ABD"/>
    <w:rsid w:val="00F6222D"/>
    <w:rsid w:val="00F62952"/>
    <w:rsid w:val="00F63C35"/>
    <w:rsid w:val="00F64145"/>
    <w:rsid w:val="00F64721"/>
    <w:rsid w:val="00F6518A"/>
    <w:rsid w:val="00F714C2"/>
    <w:rsid w:val="00F71B1A"/>
    <w:rsid w:val="00F74039"/>
    <w:rsid w:val="00F747F6"/>
    <w:rsid w:val="00F75396"/>
    <w:rsid w:val="00F76CCE"/>
    <w:rsid w:val="00F772AA"/>
    <w:rsid w:val="00F80F90"/>
    <w:rsid w:val="00F81852"/>
    <w:rsid w:val="00F81FD2"/>
    <w:rsid w:val="00F8374A"/>
    <w:rsid w:val="00F84290"/>
    <w:rsid w:val="00F84DCF"/>
    <w:rsid w:val="00F84FC4"/>
    <w:rsid w:val="00F8693A"/>
    <w:rsid w:val="00F87709"/>
    <w:rsid w:val="00F879CB"/>
    <w:rsid w:val="00F9225C"/>
    <w:rsid w:val="00F92959"/>
    <w:rsid w:val="00F93A04"/>
    <w:rsid w:val="00F9419F"/>
    <w:rsid w:val="00F94229"/>
    <w:rsid w:val="00F9551F"/>
    <w:rsid w:val="00F96417"/>
    <w:rsid w:val="00F969B8"/>
    <w:rsid w:val="00F971BD"/>
    <w:rsid w:val="00F97679"/>
    <w:rsid w:val="00F97841"/>
    <w:rsid w:val="00FA02A3"/>
    <w:rsid w:val="00FA09FD"/>
    <w:rsid w:val="00FA0BAD"/>
    <w:rsid w:val="00FA1D9E"/>
    <w:rsid w:val="00FA2617"/>
    <w:rsid w:val="00FA2826"/>
    <w:rsid w:val="00FA4250"/>
    <w:rsid w:val="00FA5020"/>
    <w:rsid w:val="00FA6D88"/>
    <w:rsid w:val="00FA7F37"/>
    <w:rsid w:val="00FB0B6B"/>
    <w:rsid w:val="00FB0C9F"/>
    <w:rsid w:val="00FB0DDA"/>
    <w:rsid w:val="00FB186E"/>
    <w:rsid w:val="00FB407F"/>
    <w:rsid w:val="00FB4AD7"/>
    <w:rsid w:val="00FB561E"/>
    <w:rsid w:val="00FC0322"/>
    <w:rsid w:val="00FC338B"/>
    <w:rsid w:val="00FC43A9"/>
    <w:rsid w:val="00FC568B"/>
    <w:rsid w:val="00FC5717"/>
    <w:rsid w:val="00FC6F12"/>
    <w:rsid w:val="00FD1C2C"/>
    <w:rsid w:val="00FD1CA5"/>
    <w:rsid w:val="00FD337A"/>
    <w:rsid w:val="00FD3FDC"/>
    <w:rsid w:val="00FD44BE"/>
    <w:rsid w:val="00FD591B"/>
    <w:rsid w:val="00FD5ABB"/>
    <w:rsid w:val="00FD60DB"/>
    <w:rsid w:val="00FD7032"/>
    <w:rsid w:val="00FE3892"/>
    <w:rsid w:val="00FE4AFB"/>
    <w:rsid w:val="00FE70C3"/>
    <w:rsid w:val="00FF277D"/>
    <w:rsid w:val="00FF4793"/>
    <w:rsid w:val="00FF56C9"/>
    <w:rsid w:val="00FF7590"/>
    <w:rsid w:val="00FF7C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42D55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5D103F"/>
    <w:pPr>
      <w:spacing w:after="200" w:line="276" w:lineRule="auto"/>
    </w:pPr>
    <w:rPr>
      <w:sz w:val="22"/>
      <w:szCs w:val="22"/>
      <w:lang w:eastAsia="en-US"/>
    </w:rPr>
  </w:style>
  <w:style w:type="paragraph" w:styleId="Ttulo1">
    <w:name w:val="heading 1"/>
    <w:basedOn w:val="Normal"/>
    <w:next w:val="Normal"/>
    <w:link w:val="Ttulo1Car"/>
    <w:uiPriority w:val="9"/>
    <w:qFormat/>
    <w:rsid w:val="00986B5C"/>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qFormat/>
    <w:rsid w:val="00A26E7E"/>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qFormat/>
    <w:rsid w:val="00986B5C"/>
    <w:pPr>
      <w:keepNext/>
      <w:keepLines/>
      <w:spacing w:before="40" w:after="0"/>
      <w:outlineLvl w:val="2"/>
    </w:pPr>
    <w:rPr>
      <w:rFonts w:ascii="Calibri Light" w:eastAsia="Times New Roman" w:hAnsi="Calibri Light"/>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B7118"/>
    <w:pPr>
      <w:tabs>
        <w:tab w:val="center" w:pos="4419"/>
        <w:tab w:val="right" w:pos="8838"/>
      </w:tabs>
      <w:spacing w:after="0" w:line="240" w:lineRule="auto"/>
    </w:pPr>
  </w:style>
  <w:style w:type="character" w:customStyle="1" w:styleId="EncabezadoCar">
    <w:name w:val="Encabezado Car"/>
    <w:link w:val="Encabezado"/>
    <w:rsid w:val="003B7118"/>
    <w:rPr>
      <w:rFonts w:ascii="Calibri" w:eastAsia="Calibri" w:hAnsi="Calibri" w:cs="Times New Roman"/>
    </w:rPr>
  </w:style>
  <w:style w:type="paragraph" w:styleId="Piedepgina">
    <w:name w:val="footer"/>
    <w:basedOn w:val="Normal"/>
    <w:link w:val="PiedepginaCar"/>
    <w:uiPriority w:val="99"/>
    <w:unhideWhenUsed/>
    <w:rsid w:val="003B7118"/>
    <w:pPr>
      <w:tabs>
        <w:tab w:val="center" w:pos="4419"/>
        <w:tab w:val="right" w:pos="8838"/>
      </w:tabs>
      <w:spacing w:after="0" w:line="240" w:lineRule="auto"/>
    </w:pPr>
  </w:style>
  <w:style w:type="character" w:customStyle="1" w:styleId="PiedepginaCar">
    <w:name w:val="Pie de página Car"/>
    <w:link w:val="Piedepgina"/>
    <w:uiPriority w:val="99"/>
    <w:rsid w:val="003B7118"/>
    <w:rPr>
      <w:rFonts w:ascii="Calibri" w:eastAsia="Calibri" w:hAnsi="Calibri" w:cs="Times New Roman"/>
    </w:rPr>
  </w:style>
  <w:style w:type="paragraph" w:customStyle="1" w:styleId="estilo30">
    <w:name w:val="estilo30"/>
    <w:basedOn w:val="Normal"/>
    <w:rsid w:val="003B711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3B711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3B7118"/>
    <w:pPr>
      <w:autoSpaceDE w:val="0"/>
      <w:autoSpaceDN w:val="0"/>
      <w:adjustRightInd w:val="0"/>
    </w:pPr>
    <w:rPr>
      <w:rFonts w:ascii="Tahoma" w:hAnsi="Tahoma" w:cs="Tahoma"/>
      <w:color w:val="000000"/>
      <w:sz w:val="24"/>
      <w:szCs w:val="24"/>
    </w:rPr>
  </w:style>
  <w:style w:type="paragraph" w:customStyle="1" w:styleId="Listavistosa-nfasis11">
    <w:name w:val="Lista vistosa - Énfasis 11"/>
    <w:basedOn w:val="Normal"/>
    <w:link w:val="Listavistosa-nfasis1Car"/>
    <w:uiPriority w:val="34"/>
    <w:qFormat/>
    <w:rsid w:val="003B7118"/>
    <w:pPr>
      <w:ind w:left="720"/>
      <w:contextualSpacing/>
    </w:pPr>
  </w:style>
  <w:style w:type="paragraph" w:styleId="Textodeglobo">
    <w:name w:val="Balloon Text"/>
    <w:basedOn w:val="Normal"/>
    <w:link w:val="TextodegloboCar"/>
    <w:uiPriority w:val="99"/>
    <w:semiHidden/>
    <w:unhideWhenUsed/>
    <w:rsid w:val="003B711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B7118"/>
    <w:rPr>
      <w:rFonts w:ascii="Tahoma" w:eastAsia="Calibri" w:hAnsi="Tahoma" w:cs="Tahoma"/>
      <w:sz w:val="16"/>
      <w:szCs w:val="16"/>
    </w:rPr>
  </w:style>
  <w:style w:type="paragraph" w:styleId="Textoindependiente">
    <w:name w:val="Body Text"/>
    <w:basedOn w:val="Normal"/>
    <w:link w:val="TextoindependienteCar"/>
    <w:uiPriority w:val="99"/>
    <w:rsid w:val="003B7118"/>
    <w:pPr>
      <w:spacing w:after="120"/>
    </w:pPr>
  </w:style>
  <w:style w:type="character" w:customStyle="1" w:styleId="TextoindependienteCar">
    <w:name w:val="Texto independiente Car"/>
    <w:link w:val="Textoindependiente"/>
    <w:uiPriority w:val="99"/>
    <w:rsid w:val="003B7118"/>
    <w:rPr>
      <w:rFonts w:ascii="Calibri" w:eastAsia="Calibri" w:hAnsi="Calibri" w:cs="Times New Roman"/>
    </w:rPr>
  </w:style>
  <w:style w:type="character" w:styleId="Refdecomentario">
    <w:name w:val="annotation reference"/>
    <w:uiPriority w:val="99"/>
    <w:semiHidden/>
    <w:unhideWhenUsed/>
    <w:rsid w:val="003B7118"/>
    <w:rPr>
      <w:sz w:val="16"/>
      <w:szCs w:val="16"/>
    </w:rPr>
  </w:style>
  <w:style w:type="paragraph" w:styleId="Textocomentario">
    <w:name w:val="annotation text"/>
    <w:basedOn w:val="Normal"/>
    <w:link w:val="TextocomentarioCar"/>
    <w:uiPriority w:val="99"/>
    <w:unhideWhenUsed/>
    <w:rsid w:val="003B7118"/>
    <w:pPr>
      <w:spacing w:line="240" w:lineRule="auto"/>
    </w:pPr>
    <w:rPr>
      <w:sz w:val="20"/>
      <w:szCs w:val="20"/>
    </w:rPr>
  </w:style>
  <w:style w:type="character" w:customStyle="1" w:styleId="TextocomentarioCar">
    <w:name w:val="Texto comentario Car"/>
    <w:link w:val="Textocomentario"/>
    <w:uiPriority w:val="99"/>
    <w:rsid w:val="003B711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B7118"/>
    <w:rPr>
      <w:b/>
      <w:bCs/>
    </w:rPr>
  </w:style>
  <w:style w:type="character" w:customStyle="1" w:styleId="AsuntodelcomentarioCar">
    <w:name w:val="Asunto del comentario Car"/>
    <w:link w:val="Asuntodelcomentario"/>
    <w:uiPriority w:val="99"/>
    <w:semiHidden/>
    <w:rsid w:val="003B7118"/>
    <w:rPr>
      <w:rFonts w:ascii="Calibri" w:eastAsia="Calibri" w:hAnsi="Calibri" w:cs="Times New Roman"/>
      <w:b/>
      <w:bCs/>
      <w:sz w:val="20"/>
      <w:szCs w:val="20"/>
    </w:rPr>
  </w:style>
  <w:style w:type="table" w:styleId="Tablaconcuadrcula">
    <w:name w:val="Table Grid"/>
    <w:basedOn w:val="Tablanormal"/>
    <w:uiPriority w:val="59"/>
    <w:rsid w:val="003B7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3B7118"/>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3B7118"/>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3B7118"/>
    <w:rPr>
      <w:rFonts w:ascii="Calibri" w:eastAsia="Calibri" w:hAnsi="Calibri" w:cs="Times New Roman"/>
      <w:sz w:val="20"/>
      <w:szCs w:val="20"/>
    </w:rPr>
  </w:style>
  <w:style w:type="character" w:styleId="Refdenotaalpie">
    <w:name w:val="footnote reference"/>
    <w:aliases w:val="Ref,de nota al pie"/>
    <w:uiPriority w:val="99"/>
    <w:unhideWhenUsed/>
    <w:qFormat/>
    <w:rsid w:val="003B7118"/>
    <w:rPr>
      <w:vertAlign w:val="superscript"/>
    </w:rPr>
  </w:style>
  <w:style w:type="character" w:styleId="Hipervnculo">
    <w:name w:val="Hyperlink"/>
    <w:uiPriority w:val="99"/>
    <w:unhideWhenUsed/>
    <w:rsid w:val="00BD6D5F"/>
    <w:rPr>
      <w:color w:val="0563C1"/>
      <w:u w:val="single"/>
    </w:rPr>
  </w:style>
  <w:style w:type="paragraph" w:customStyle="1" w:styleId="ROMANOS">
    <w:name w:val="ROMANOS"/>
    <w:basedOn w:val="Normal"/>
    <w:rsid w:val="004E10E9"/>
    <w:pPr>
      <w:tabs>
        <w:tab w:val="left" w:pos="720"/>
      </w:tabs>
      <w:spacing w:after="101" w:line="216" w:lineRule="atLeast"/>
      <w:ind w:left="720" w:hanging="432"/>
      <w:jc w:val="both"/>
    </w:pPr>
    <w:rPr>
      <w:rFonts w:ascii="Arial" w:eastAsia="Times New Roman" w:hAnsi="Arial" w:cs="Arial"/>
      <w:sz w:val="18"/>
      <w:szCs w:val="20"/>
      <w:lang w:eastAsia="es-MX"/>
    </w:rPr>
  </w:style>
  <w:style w:type="paragraph" w:customStyle="1" w:styleId="Texto">
    <w:name w:val="Texto"/>
    <w:aliases w:val="independiente,independiente Car Car Car"/>
    <w:basedOn w:val="Normal"/>
    <w:link w:val="TextoCar"/>
    <w:qFormat/>
    <w:rsid w:val="004E10E9"/>
    <w:pPr>
      <w:spacing w:after="101" w:line="216" w:lineRule="exact"/>
      <w:ind w:firstLine="288"/>
      <w:jc w:val="both"/>
    </w:pPr>
    <w:rPr>
      <w:rFonts w:ascii="Arial" w:eastAsia="Times New Roman" w:hAnsi="Arial"/>
      <w:sz w:val="18"/>
      <w:szCs w:val="18"/>
      <w:lang w:val="es-ES" w:eastAsia="es-ES"/>
    </w:rPr>
  </w:style>
  <w:style w:type="paragraph" w:customStyle="1" w:styleId="texto0">
    <w:name w:val="texto"/>
    <w:basedOn w:val="Normal"/>
    <w:rsid w:val="004E10E9"/>
    <w:pPr>
      <w:spacing w:after="101" w:line="216" w:lineRule="atLeast"/>
      <w:ind w:firstLine="288"/>
      <w:jc w:val="both"/>
    </w:pPr>
    <w:rPr>
      <w:rFonts w:ascii="Arial" w:eastAsia="Times New Roman" w:hAnsi="Arial" w:cs="Arial"/>
      <w:sz w:val="18"/>
      <w:szCs w:val="20"/>
      <w:lang w:eastAsia="es-MX"/>
    </w:rPr>
  </w:style>
  <w:style w:type="character" w:customStyle="1" w:styleId="TextoCar">
    <w:name w:val="Texto Car"/>
    <w:link w:val="Texto"/>
    <w:rsid w:val="004E10E9"/>
    <w:rPr>
      <w:rFonts w:ascii="Arial" w:eastAsia="Times New Roman" w:hAnsi="Arial" w:cs="Times New Roman"/>
      <w:sz w:val="18"/>
      <w:szCs w:val="18"/>
      <w:lang w:val="es-ES" w:eastAsia="es-ES"/>
    </w:rPr>
  </w:style>
  <w:style w:type="character" w:customStyle="1" w:styleId="Ttulo1Car">
    <w:name w:val="Título 1 Car"/>
    <w:link w:val="Ttulo1"/>
    <w:uiPriority w:val="9"/>
    <w:rsid w:val="00986B5C"/>
    <w:rPr>
      <w:rFonts w:ascii="Calibri Light" w:eastAsia="Times New Roman" w:hAnsi="Calibri Light" w:cs="Times New Roman"/>
      <w:color w:val="2E74B5"/>
      <w:sz w:val="32"/>
      <w:szCs w:val="32"/>
    </w:rPr>
  </w:style>
  <w:style w:type="character" w:customStyle="1" w:styleId="Ttulo3Car">
    <w:name w:val="Título 3 Car"/>
    <w:link w:val="Ttulo3"/>
    <w:uiPriority w:val="9"/>
    <w:rsid w:val="00986B5C"/>
    <w:rPr>
      <w:rFonts w:ascii="Calibri Light" w:eastAsia="Times New Roman" w:hAnsi="Calibri Light" w:cs="Times New Roman"/>
      <w:color w:val="1F4D78"/>
      <w:sz w:val="24"/>
      <w:szCs w:val="24"/>
    </w:rPr>
  </w:style>
  <w:style w:type="paragraph" w:styleId="Lista">
    <w:name w:val="List"/>
    <w:basedOn w:val="Normal"/>
    <w:uiPriority w:val="99"/>
    <w:unhideWhenUsed/>
    <w:rsid w:val="00986B5C"/>
    <w:pPr>
      <w:ind w:left="283" w:hanging="283"/>
      <w:contextualSpacing/>
    </w:pPr>
  </w:style>
  <w:style w:type="paragraph" w:styleId="Lista2">
    <w:name w:val="List 2"/>
    <w:basedOn w:val="Normal"/>
    <w:uiPriority w:val="99"/>
    <w:unhideWhenUsed/>
    <w:rsid w:val="00986B5C"/>
    <w:pPr>
      <w:ind w:left="566" w:hanging="283"/>
      <w:contextualSpacing/>
    </w:pPr>
  </w:style>
  <w:style w:type="paragraph" w:styleId="Saludo">
    <w:name w:val="Salutation"/>
    <w:basedOn w:val="Normal"/>
    <w:next w:val="Normal"/>
    <w:link w:val="SaludoCar"/>
    <w:uiPriority w:val="99"/>
    <w:unhideWhenUsed/>
    <w:rsid w:val="00986B5C"/>
  </w:style>
  <w:style w:type="character" w:customStyle="1" w:styleId="SaludoCar">
    <w:name w:val="Saludo Car"/>
    <w:link w:val="Saludo"/>
    <w:uiPriority w:val="99"/>
    <w:rsid w:val="00986B5C"/>
    <w:rPr>
      <w:rFonts w:ascii="Calibri" w:eastAsia="Calibri" w:hAnsi="Calibri" w:cs="Times New Roman"/>
    </w:rPr>
  </w:style>
  <w:style w:type="paragraph" w:styleId="Listaconvietas2">
    <w:name w:val="List Bullet 2"/>
    <w:basedOn w:val="Normal"/>
    <w:uiPriority w:val="99"/>
    <w:unhideWhenUsed/>
    <w:rsid w:val="00986B5C"/>
    <w:pPr>
      <w:numPr>
        <w:numId w:val="1"/>
      </w:numPr>
      <w:contextualSpacing/>
    </w:pPr>
  </w:style>
  <w:style w:type="paragraph" w:styleId="Listaconvietas3">
    <w:name w:val="List Bullet 3"/>
    <w:basedOn w:val="Normal"/>
    <w:uiPriority w:val="99"/>
    <w:unhideWhenUsed/>
    <w:rsid w:val="00986B5C"/>
    <w:pPr>
      <w:numPr>
        <w:numId w:val="2"/>
      </w:numPr>
      <w:contextualSpacing/>
    </w:pPr>
  </w:style>
  <w:style w:type="paragraph" w:styleId="Continuarlista2">
    <w:name w:val="List Continue 2"/>
    <w:basedOn w:val="Normal"/>
    <w:uiPriority w:val="99"/>
    <w:unhideWhenUsed/>
    <w:rsid w:val="00986B5C"/>
    <w:pPr>
      <w:spacing w:after="120"/>
      <w:ind w:left="566"/>
      <w:contextualSpacing/>
    </w:pPr>
  </w:style>
  <w:style w:type="paragraph" w:customStyle="1" w:styleId="Direccininterior">
    <w:name w:val="Dirección interior"/>
    <w:basedOn w:val="Normal"/>
    <w:rsid w:val="00986B5C"/>
  </w:style>
  <w:style w:type="paragraph" w:styleId="Sangradetextonormal">
    <w:name w:val="Body Text Indent"/>
    <w:basedOn w:val="Normal"/>
    <w:link w:val="SangradetextonormalCar"/>
    <w:uiPriority w:val="99"/>
    <w:unhideWhenUsed/>
    <w:rsid w:val="00986B5C"/>
    <w:pPr>
      <w:spacing w:after="120"/>
      <w:ind w:left="283"/>
    </w:pPr>
  </w:style>
  <w:style w:type="character" w:customStyle="1" w:styleId="SangradetextonormalCar">
    <w:name w:val="Sangría de texto normal Car"/>
    <w:link w:val="Sangradetextonormal"/>
    <w:uiPriority w:val="99"/>
    <w:rsid w:val="00986B5C"/>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986B5C"/>
    <w:pPr>
      <w:spacing w:after="200"/>
      <w:ind w:left="360" w:firstLine="360"/>
    </w:pPr>
  </w:style>
  <w:style w:type="character" w:customStyle="1" w:styleId="Textoindependienteprimerasangra2Car">
    <w:name w:val="Texto independiente primera sangría 2 Car"/>
    <w:link w:val="Textoindependienteprimerasangra2"/>
    <w:uiPriority w:val="99"/>
    <w:rsid w:val="00986B5C"/>
    <w:rPr>
      <w:rFonts w:ascii="Calibri" w:eastAsia="Calibri" w:hAnsi="Calibri" w:cs="Times New Roman"/>
    </w:rPr>
  </w:style>
  <w:style w:type="character" w:customStyle="1" w:styleId="apple-converted-space">
    <w:name w:val="apple-converted-space"/>
    <w:basedOn w:val="Fuentedeprrafopredeter"/>
    <w:rsid w:val="00BA587C"/>
  </w:style>
  <w:style w:type="paragraph" w:customStyle="1" w:styleId="Estilo">
    <w:name w:val="Estilo"/>
    <w:basedOn w:val="Cuadrculamedia21"/>
    <w:link w:val="EstiloCar"/>
    <w:qFormat/>
    <w:rsid w:val="00F52170"/>
    <w:pPr>
      <w:jc w:val="both"/>
    </w:pPr>
    <w:rPr>
      <w:rFonts w:ascii="Arial" w:hAnsi="Arial"/>
      <w:sz w:val="24"/>
    </w:rPr>
  </w:style>
  <w:style w:type="character" w:customStyle="1" w:styleId="EstiloCar">
    <w:name w:val="Estilo Car"/>
    <w:link w:val="Estilo"/>
    <w:rsid w:val="00F52170"/>
    <w:rPr>
      <w:rFonts w:ascii="Arial" w:hAnsi="Arial"/>
      <w:sz w:val="24"/>
    </w:rPr>
  </w:style>
  <w:style w:type="paragraph" w:customStyle="1" w:styleId="Cuadrculamedia21">
    <w:name w:val="Cuadrícula media 21"/>
    <w:uiPriority w:val="1"/>
    <w:qFormat/>
    <w:rsid w:val="00F52170"/>
    <w:rPr>
      <w:sz w:val="22"/>
      <w:szCs w:val="22"/>
      <w:lang w:eastAsia="en-US"/>
    </w:rPr>
  </w:style>
  <w:style w:type="numbering" w:customStyle="1" w:styleId="Sinlista1">
    <w:name w:val="Sin lista1"/>
    <w:next w:val="Sinlista"/>
    <w:uiPriority w:val="99"/>
    <w:semiHidden/>
    <w:unhideWhenUsed/>
    <w:rsid w:val="006A7614"/>
  </w:style>
  <w:style w:type="character" w:customStyle="1" w:styleId="Listavistosa-nfasis1Car">
    <w:name w:val="Lista vistosa - Énfasis 1 Car"/>
    <w:link w:val="Listavistosa-nfasis11"/>
    <w:uiPriority w:val="34"/>
    <w:locked/>
    <w:rsid w:val="006A7614"/>
    <w:rPr>
      <w:rFonts w:ascii="Calibri" w:eastAsia="Calibri" w:hAnsi="Calibri" w:cs="Times New Roman"/>
    </w:rPr>
  </w:style>
  <w:style w:type="character" w:customStyle="1" w:styleId="Ttulo2Car">
    <w:name w:val="Título 2 Car"/>
    <w:link w:val="Ttulo2"/>
    <w:uiPriority w:val="9"/>
    <w:rsid w:val="00A26E7E"/>
    <w:rPr>
      <w:rFonts w:ascii="Calibri Light" w:eastAsia="Times New Roman" w:hAnsi="Calibri Light" w:cs="Times New Roman"/>
      <w:b/>
      <w:bCs/>
      <w:i/>
      <w:iCs/>
      <w:sz w:val="28"/>
      <w:szCs w:val="28"/>
    </w:rPr>
  </w:style>
  <w:style w:type="character" w:customStyle="1" w:styleId="red">
    <w:name w:val="red"/>
    <w:basedOn w:val="Fuentedeprrafopredeter"/>
    <w:rsid w:val="00CE13AD"/>
  </w:style>
  <w:style w:type="paragraph" w:styleId="Prrafodelista">
    <w:name w:val="List Paragraph"/>
    <w:aliases w:val="Bullet List,FooterText,numbered,List Paragraph1,Paragraphe de liste1,Bulletr List Paragraph,列出段落,列出段落1,Cuadros,Lista general"/>
    <w:basedOn w:val="Normal"/>
    <w:link w:val="PrrafodelistaCar"/>
    <w:uiPriority w:val="34"/>
    <w:qFormat/>
    <w:rsid w:val="004123B8"/>
    <w:pPr>
      <w:ind w:left="720"/>
      <w:contextualSpacing/>
    </w:p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
    <w:link w:val="Prrafodelista"/>
    <w:uiPriority w:val="34"/>
    <w:rsid w:val="004123B8"/>
    <w:rPr>
      <w:sz w:val="22"/>
      <w:szCs w:val="22"/>
      <w:lang w:eastAsia="en-US"/>
    </w:rPr>
  </w:style>
  <w:style w:type="paragraph" w:styleId="Sinespaciado">
    <w:name w:val="No Spacing"/>
    <w:uiPriority w:val="1"/>
    <w:qFormat/>
    <w:rsid w:val="001952D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8184">
      <w:bodyDiv w:val="1"/>
      <w:marLeft w:val="0"/>
      <w:marRight w:val="0"/>
      <w:marTop w:val="0"/>
      <w:marBottom w:val="0"/>
      <w:divBdr>
        <w:top w:val="none" w:sz="0" w:space="0" w:color="auto"/>
        <w:left w:val="none" w:sz="0" w:space="0" w:color="auto"/>
        <w:bottom w:val="none" w:sz="0" w:space="0" w:color="auto"/>
        <w:right w:val="none" w:sz="0" w:space="0" w:color="auto"/>
      </w:divBdr>
    </w:div>
    <w:div w:id="29961696">
      <w:bodyDiv w:val="1"/>
      <w:marLeft w:val="0"/>
      <w:marRight w:val="0"/>
      <w:marTop w:val="0"/>
      <w:marBottom w:val="0"/>
      <w:divBdr>
        <w:top w:val="none" w:sz="0" w:space="0" w:color="auto"/>
        <w:left w:val="none" w:sz="0" w:space="0" w:color="auto"/>
        <w:bottom w:val="none" w:sz="0" w:space="0" w:color="auto"/>
        <w:right w:val="none" w:sz="0" w:space="0" w:color="auto"/>
      </w:divBdr>
    </w:div>
    <w:div w:id="36898506">
      <w:bodyDiv w:val="1"/>
      <w:marLeft w:val="0"/>
      <w:marRight w:val="0"/>
      <w:marTop w:val="0"/>
      <w:marBottom w:val="0"/>
      <w:divBdr>
        <w:top w:val="none" w:sz="0" w:space="0" w:color="auto"/>
        <w:left w:val="none" w:sz="0" w:space="0" w:color="auto"/>
        <w:bottom w:val="none" w:sz="0" w:space="0" w:color="auto"/>
        <w:right w:val="none" w:sz="0" w:space="0" w:color="auto"/>
      </w:divBdr>
    </w:div>
    <w:div w:id="74278956">
      <w:bodyDiv w:val="1"/>
      <w:marLeft w:val="0"/>
      <w:marRight w:val="0"/>
      <w:marTop w:val="0"/>
      <w:marBottom w:val="0"/>
      <w:divBdr>
        <w:top w:val="none" w:sz="0" w:space="0" w:color="auto"/>
        <w:left w:val="none" w:sz="0" w:space="0" w:color="auto"/>
        <w:bottom w:val="none" w:sz="0" w:space="0" w:color="auto"/>
        <w:right w:val="none" w:sz="0" w:space="0" w:color="auto"/>
      </w:divBdr>
    </w:div>
    <w:div w:id="179709634">
      <w:bodyDiv w:val="1"/>
      <w:marLeft w:val="0"/>
      <w:marRight w:val="0"/>
      <w:marTop w:val="0"/>
      <w:marBottom w:val="0"/>
      <w:divBdr>
        <w:top w:val="none" w:sz="0" w:space="0" w:color="auto"/>
        <w:left w:val="none" w:sz="0" w:space="0" w:color="auto"/>
        <w:bottom w:val="none" w:sz="0" w:space="0" w:color="auto"/>
        <w:right w:val="none" w:sz="0" w:space="0" w:color="auto"/>
      </w:divBdr>
    </w:div>
    <w:div w:id="382752641">
      <w:bodyDiv w:val="1"/>
      <w:marLeft w:val="0"/>
      <w:marRight w:val="0"/>
      <w:marTop w:val="0"/>
      <w:marBottom w:val="0"/>
      <w:divBdr>
        <w:top w:val="none" w:sz="0" w:space="0" w:color="auto"/>
        <w:left w:val="none" w:sz="0" w:space="0" w:color="auto"/>
        <w:bottom w:val="none" w:sz="0" w:space="0" w:color="auto"/>
        <w:right w:val="none" w:sz="0" w:space="0" w:color="auto"/>
      </w:divBdr>
    </w:div>
    <w:div w:id="418987965">
      <w:bodyDiv w:val="1"/>
      <w:marLeft w:val="0"/>
      <w:marRight w:val="0"/>
      <w:marTop w:val="0"/>
      <w:marBottom w:val="0"/>
      <w:divBdr>
        <w:top w:val="none" w:sz="0" w:space="0" w:color="auto"/>
        <w:left w:val="none" w:sz="0" w:space="0" w:color="auto"/>
        <w:bottom w:val="none" w:sz="0" w:space="0" w:color="auto"/>
        <w:right w:val="none" w:sz="0" w:space="0" w:color="auto"/>
      </w:divBdr>
    </w:div>
    <w:div w:id="461966199">
      <w:bodyDiv w:val="1"/>
      <w:marLeft w:val="0"/>
      <w:marRight w:val="0"/>
      <w:marTop w:val="0"/>
      <w:marBottom w:val="0"/>
      <w:divBdr>
        <w:top w:val="none" w:sz="0" w:space="0" w:color="auto"/>
        <w:left w:val="none" w:sz="0" w:space="0" w:color="auto"/>
        <w:bottom w:val="none" w:sz="0" w:space="0" w:color="auto"/>
        <w:right w:val="none" w:sz="0" w:space="0" w:color="auto"/>
      </w:divBdr>
      <w:divsChild>
        <w:div w:id="419061161">
          <w:marLeft w:val="288"/>
          <w:marRight w:val="0"/>
          <w:marTop w:val="0"/>
          <w:marBottom w:val="80"/>
          <w:divBdr>
            <w:top w:val="none" w:sz="0" w:space="0" w:color="auto"/>
            <w:left w:val="none" w:sz="0" w:space="0" w:color="auto"/>
            <w:bottom w:val="none" w:sz="0" w:space="0" w:color="auto"/>
            <w:right w:val="none" w:sz="0" w:space="0" w:color="auto"/>
          </w:divBdr>
        </w:div>
        <w:div w:id="532233278">
          <w:marLeft w:val="288"/>
          <w:marRight w:val="0"/>
          <w:marTop w:val="0"/>
          <w:marBottom w:val="80"/>
          <w:divBdr>
            <w:top w:val="none" w:sz="0" w:space="0" w:color="auto"/>
            <w:left w:val="none" w:sz="0" w:space="0" w:color="auto"/>
            <w:bottom w:val="none" w:sz="0" w:space="0" w:color="auto"/>
            <w:right w:val="none" w:sz="0" w:space="0" w:color="auto"/>
          </w:divBdr>
        </w:div>
        <w:div w:id="547038468">
          <w:marLeft w:val="288"/>
          <w:marRight w:val="0"/>
          <w:marTop w:val="0"/>
          <w:marBottom w:val="80"/>
          <w:divBdr>
            <w:top w:val="none" w:sz="0" w:space="0" w:color="auto"/>
            <w:left w:val="none" w:sz="0" w:space="0" w:color="auto"/>
            <w:bottom w:val="none" w:sz="0" w:space="0" w:color="auto"/>
            <w:right w:val="none" w:sz="0" w:space="0" w:color="auto"/>
          </w:divBdr>
        </w:div>
        <w:div w:id="659233378">
          <w:marLeft w:val="288"/>
          <w:marRight w:val="0"/>
          <w:marTop w:val="0"/>
          <w:marBottom w:val="80"/>
          <w:divBdr>
            <w:top w:val="none" w:sz="0" w:space="0" w:color="auto"/>
            <w:left w:val="none" w:sz="0" w:space="0" w:color="auto"/>
            <w:bottom w:val="none" w:sz="0" w:space="0" w:color="auto"/>
            <w:right w:val="none" w:sz="0" w:space="0" w:color="auto"/>
          </w:divBdr>
        </w:div>
        <w:div w:id="938298779">
          <w:marLeft w:val="288"/>
          <w:marRight w:val="0"/>
          <w:marTop w:val="0"/>
          <w:marBottom w:val="80"/>
          <w:divBdr>
            <w:top w:val="none" w:sz="0" w:space="0" w:color="auto"/>
            <w:left w:val="none" w:sz="0" w:space="0" w:color="auto"/>
            <w:bottom w:val="none" w:sz="0" w:space="0" w:color="auto"/>
            <w:right w:val="none" w:sz="0" w:space="0" w:color="auto"/>
          </w:divBdr>
        </w:div>
        <w:div w:id="1046099727">
          <w:marLeft w:val="288"/>
          <w:marRight w:val="0"/>
          <w:marTop w:val="0"/>
          <w:marBottom w:val="80"/>
          <w:divBdr>
            <w:top w:val="none" w:sz="0" w:space="0" w:color="auto"/>
            <w:left w:val="none" w:sz="0" w:space="0" w:color="auto"/>
            <w:bottom w:val="none" w:sz="0" w:space="0" w:color="auto"/>
            <w:right w:val="none" w:sz="0" w:space="0" w:color="auto"/>
          </w:divBdr>
        </w:div>
        <w:div w:id="1187869458">
          <w:marLeft w:val="288"/>
          <w:marRight w:val="0"/>
          <w:marTop w:val="0"/>
          <w:marBottom w:val="80"/>
          <w:divBdr>
            <w:top w:val="none" w:sz="0" w:space="0" w:color="auto"/>
            <w:left w:val="none" w:sz="0" w:space="0" w:color="auto"/>
            <w:bottom w:val="none" w:sz="0" w:space="0" w:color="auto"/>
            <w:right w:val="none" w:sz="0" w:space="0" w:color="auto"/>
          </w:divBdr>
        </w:div>
        <w:div w:id="1258294768">
          <w:marLeft w:val="288"/>
          <w:marRight w:val="0"/>
          <w:marTop w:val="0"/>
          <w:marBottom w:val="80"/>
          <w:divBdr>
            <w:top w:val="none" w:sz="0" w:space="0" w:color="auto"/>
            <w:left w:val="none" w:sz="0" w:space="0" w:color="auto"/>
            <w:bottom w:val="none" w:sz="0" w:space="0" w:color="auto"/>
            <w:right w:val="none" w:sz="0" w:space="0" w:color="auto"/>
          </w:divBdr>
        </w:div>
        <w:div w:id="1298805026">
          <w:marLeft w:val="288"/>
          <w:marRight w:val="0"/>
          <w:marTop w:val="0"/>
          <w:marBottom w:val="80"/>
          <w:divBdr>
            <w:top w:val="none" w:sz="0" w:space="0" w:color="auto"/>
            <w:left w:val="none" w:sz="0" w:space="0" w:color="auto"/>
            <w:bottom w:val="none" w:sz="0" w:space="0" w:color="auto"/>
            <w:right w:val="none" w:sz="0" w:space="0" w:color="auto"/>
          </w:divBdr>
        </w:div>
        <w:div w:id="1776361748">
          <w:marLeft w:val="288"/>
          <w:marRight w:val="0"/>
          <w:marTop w:val="0"/>
          <w:marBottom w:val="80"/>
          <w:divBdr>
            <w:top w:val="none" w:sz="0" w:space="0" w:color="auto"/>
            <w:left w:val="none" w:sz="0" w:space="0" w:color="auto"/>
            <w:bottom w:val="none" w:sz="0" w:space="0" w:color="auto"/>
            <w:right w:val="none" w:sz="0" w:space="0" w:color="auto"/>
          </w:divBdr>
        </w:div>
      </w:divsChild>
    </w:div>
    <w:div w:id="489564330">
      <w:bodyDiv w:val="1"/>
      <w:marLeft w:val="0"/>
      <w:marRight w:val="0"/>
      <w:marTop w:val="0"/>
      <w:marBottom w:val="0"/>
      <w:divBdr>
        <w:top w:val="none" w:sz="0" w:space="0" w:color="auto"/>
        <w:left w:val="none" w:sz="0" w:space="0" w:color="auto"/>
        <w:bottom w:val="none" w:sz="0" w:space="0" w:color="auto"/>
        <w:right w:val="none" w:sz="0" w:space="0" w:color="auto"/>
      </w:divBdr>
    </w:div>
    <w:div w:id="553397767">
      <w:bodyDiv w:val="1"/>
      <w:marLeft w:val="0"/>
      <w:marRight w:val="0"/>
      <w:marTop w:val="0"/>
      <w:marBottom w:val="0"/>
      <w:divBdr>
        <w:top w:val="none" w:sz="0" w:space="0" w:color="auto"/>
        <w:left w:val="none" w:sz="0" w:space="0" w:color="auto"/>
        <w:bottom w:val="none" w:sz="0" w:space="0" w:color="auto"/>
        <w:right w:val="none" w:sz="0" w:space="0" w:color="auto"/>
      </w:divBdr>
    </w:div>
    <w:div w:id="633872281">
      <w:bodyDiv w:val="1"/>
      <w:marLeft w:val="0"/>
      <w:marRight w:val="0"/>
      <w:marTop w:val="0"/>
      <w:marBottom w:val="0"/>
      <w:divBdr>
        <w:top w:val="none" w:sz="0" w:space="0" w:color="auto"/>
        <w:left w:val="none" w:sz="0" w:space="0" w:color="auto"/>
        <w:bottom w:val="none" w:sz="0" w:space="0" w:color="auto"/>
        <w:right w:val="none" w:sz="0" w:space="0" w:color="auto"/>
      </w:divBdr>
    </w:div>
    <w:div w:id="758984681">
      <w:bodyDiv w:val="1"/>
      <w:marLeft w:val="0"/>
      <w:marRight w:val="0"/>
      <w:marTop w:val="0"/>
      <w:marBottom w:val="0"/>
      <w:divBdr>
        <w:top w:val="none" w:sz="0" w:space="0" w:color="auto"/>
        <w:left w:val="none" w:sz="0" w:space="0" w:color="auto"/>
        <w:bottom w:val="none" w:sz="0" w:space="0" w:color="auto"/>
        <w:right w:val="none" w:sz="0" w:space="0" w:color="auto"/>
      </w:divBdr>
    </w:div>
    <w:div w:id="819690113">
      <w:bodyDiv w:val="1"/>
      <w:marLeft w:val="0"/>
      <w:marRight w:val="0"/>
      <w:marTop w:val="0"/>
      <w:marBottom w:val="0"/>
      <w:divBdr>
        <w:top w:val="none" w:sz="0" w:space="0" w:color="auto"/>
        <w:left w:val="none" w:sz="0" w:space="0" w:color="auto"/>
        <w:bottom w:val="none" w:sz="0" w:space="0" w:color="auto"/>
        <w:right w:val="none" w:sz="0" w:space="0" w:color="auto"/>
      </w:divBdr>
    </w:div>
    <w:div w:id="820973713">
      <w:bodyDiv w:val="1"/>
      <w:marLeft w:val="0"/>
      <w:marRight w:val="0"/>
      <w:marTop w:val="0"/>
      <w:marBottom w:val="0"/>
      <w:divBdr>
        <w:top w:val="none" w:sz="0" w:space="0" w:color="auto"/>
        <w:left w:val="none" w:sz="0" w:space="0" w:color="auto"/>
        <w:bottom w:val="none" w:sz="0" w:space="0" w:color="auto"/>
        <w:right w:val="none" w:sz="0" w:space="0" w:color="auto"/>
      </w:divBdr>
    </w:div>
    <w:div w:id="852184423">
      <w:bodyDiv w:val="1"/>
      <w:marLeft w:val="0"/>
      <w:marRight w:val="0"/>
      <w:marTop w:val="0"/>
      <w:marBottom w:val="0"/>
      <w:divBdr>
        <w:top w:val="none" w:sz="0" w:space="0" w:color="auto"/>
        <w:left w:val="none" w:sz="0" w:space="0" w:color="auto"/>
        <w:bottom w:val="none" w:sz="0" w:space="0" w:color="auto"/>
        <w:right w:val="none" w:sz="0" w:space="0" w:color="auto"/>
      </w:divBdr>
    </w:div>
    <w:div w:id="870919809">
      <w:bodyDiv w:val="1"/>
      <w:marLeft w:val="0"/>
      <w:marRight w:val="0"/>
      <w:marTop w:val="0"/>
      <w:marBottom w:val="0"/>
      <w:divBdr>
        <w:top w:val="none" w:sz="0" w:space="0" w:color="auto"/>
        <w:left w:val="none" w:sz="0" w:space="0" w:color="auto"/>
        <w:bottom w:val="none" w:sz="0" w:space="0" w:color="auto"/>
        <w:right w:val="none" w:sz="0" w:space="0" w:color="auto"/>
      </w:divBdr>
    </w:div>
    <w:div w:id="952396764">
      <w:bodyDiv w:val="1"/>
      <w:marLeft w:val="0"/>
      <w:marRight w:val="0"/>
      <w:marTop w:val="0"/>
      <w:marBottom w:val="0"/>
      <w:divBdr>
        <w:top w:val="none" w:sz="0" w:space="0" w:color="auto"/>
        <w:left w:val="none" w:sz="0" w:space="0" w:color="auto"/>
        <w:bottom w:val="none" w:sz="0" w:space="0" w:color="auto"/>
        <w:right w:val="none" w:sz="0" w:space="0" w:color="auto"/>
      </w:divBdr>
    </w:div>
    <w:div w:id="1107967926">
      <w:bodyDiv w:val="1"/>
      <w:marLeft w:val="0"/>
      <w:marRight w:val="0"/>
      <w:marTop w:val="0"/>
      <w:marBottom w:val="0"/>
      <w:divBdr>
        <w:top w:val="none" w:sz="0" w:space="0" w:color="auto"/>
        <w:left w:val="none" w:sz="0" w:space="0" w:color="auto"/>
        <w:bottom w:val="none" w:sz="0" w:space="0" w:color="auto"/>
        <w:right w:val="none" w:sz="0" w:space="0" w:color="auto"/>
      </w:divBdr>
    </w:div>
    <w:div w:id="1205019238">
      <w:bodyDiv w:val="1"/>
      <w:marLeft w:val="0"/>
      <w:marRight w:val="0"/>
      <w:marTop w:val="0"/>
      <w:marBottom w:val="0"/>
      <w:divBdr>
        <w:top w:val="none" w:sz="0" w:space="0" w:color="auto"/>
        <w:left w:val="none" w:sz="0" w:space="0" w:color="auto"/>
        <w:bottom w:val="none" w:sz="0" w:space="0" w:color="auto"/>
        <w:right w:val="none" w:sz="0" w:space="0" w:color="auto"/>
      </w:divBdr>
    </w:div>
    <w:div w:id="1315375297">
      <w:bodyDiv w:val="1"/>
      <w:marLeft w:val="0"/>
      <w:marRight w:val="0"/>
      <w:marTop w:val="0"/>
      <w:marBottom w:val="0"/>
      <w:divBdr>
        <w:top w:val="none" w:sz="0" w:space="0" w:color="auto"/>
        <w:left w:val="none" w:sz="0" w:space="0" w:color="auto"/>
        <w:bottom w:val="none" w:sz="0" w:space="0" w:color="auto"/>
        <w:right w:val="none" w:sz="0" w:space="0" w:color="auto"/>
      </w:divBdr>
    </w:div>
    <w:div w:id="1356464693">
      <w:bodyDiv w:val="1"/>
      <w:marLeft w:val="0"/>
      <w:marRight w:val="0"/>
      <w:marTop w:val="0"/>
      <w:marBottom w:val="0"/>
      <w:divBdr>
        <w:top w:val="none" w:sz="0" w:space="0" w:color="auto"/>
        <w:left w:val="none" w:sz="0" w:space="0" w:color="auto"/>
        <w:bottom w:val="none" w:sz="0" w:space="0" w:color="auto"/>
        <w:right w:val="none" w:sz="0" w:space="0" w:color="auto"/>
      </w:divBdr>
    </w:div>
    <w:div w:id="1376658795">
      <w:bodyDiv w:val="1"/>
      <w:marLeft w:val="0"/>
      <w:marRight w:val="0"/>
      <w:marTop w:val="0"/>
      <w:marBottom w:val="0"/>
      <w:divBdr>
        <w:top w:val="none" w:sz="0" w:space="0" w:color="auto"/>
        <w:left w:val="none" w:sz="0" w:space="0" w:color="auto"/>
        <w:bottom w:val="none" w:sz="0" w:space="0" w:color="auto"/>
        <w:right w:val="none" w:sz="0" w:space="0" w:color="auto"/>
      </w:divBdr>
    </w:div>
    <w:div w:id="1513645255">
      <w:bodyDiv w:val="1"/>
      <w:marLeft w:val="0"/>
      <w:marRight w:val="0"/>
      <w:marTop w:val="0"/>
      <w:marBottom w:val="0"/>
      <w:divBdr>
        <w:top w:val="none" w:sz="0" w:space="0" w:color="auto"/>
        <w:left w:val="none" w:sz="0" w:space="0" w:color="auto"/>
        <w:bottom w:val="none" w:sz="0" w:space="0" w:color="auto"/>
        <w:right w:val="none" w:sz="0" w:space="0" w:color="auto"/>
      </w:divBdr>
    </w:div>
    <w:div w:id="1548181675">
      <w:bodyDiv w:val="1"/>
      <w:marLeft w:val="0"/>
      <w:marRight w:val="0"/>
      <w:marTop w:val="0"/>
      <w:marBottom w:val="0"/>
      <w:divBdr>
        <w:top w:val="none" w:sz="0" w:space="0" w:color="auto"/>
        <w:left w:val="none" w:sz="0" w:space="0" w:color="auto"/>
        <w:bottom w:val="none" w:sz="0" w:space="0" w:color="auto"/>
        <w:right w:val="none" w:sz="0" w:space="0" w:color="auto"/>
      </w:divBdr>
      <w:divsChild>
        <w:div w:id="71398409">
          <w:marLeft w:val="0"/>
          <w:marRight w:val="0"/>
          <w:marTop w:val="0"/>
          <w:marBottom w:val="101"/>
          <w:divBdr>
            <w:top w:val="none" w:sz="0" w:space="0" w:color="auto"/>
            <w:left w:val="none" w:sz="0" w:space="0" w:color="auto"/>
            <w:bottom w:val="none" w:sz="0" w:space="0" w:color="auto"/>
            <w:right w:val="none" w:sz="0" w:space="0" w:color="auto"/>
          </w:divBdr>
        </w:div>
        <w:div w:id="88015211">
          <w:marLeft w:val="0"/>
          <w:marRight w:val="0"/>
          <w:marTop w:val="0"/>
          <w:marBottom w:val="101"/>
          <w:divBdr>
            <w:top w:val="none" w:sz="0" w:space="0" w:color="auto"/>
            <w:left w:val="none" w:sz="0" w:space="0" w:color="auto"/>
            <w:bottom w:val="none" w:sz="0" w:space="0" w:color="auto"/>
            <w:right w:val="none" w:sz="0" w:space="0" w:color="auto"/>
          </w:divBdr>
        </w:div>
        <w:div w:id="230623161">
          <w:marLeft w:val="0"/>
          <w:marRight w:val="0"/>
          <w:marTop w:val="0"/>
          <w:marBottom w:val="101"/>
          <w:divBdr>
            <w:top w:val="none" w:sz="0" w:space="0" w:color="auto"/>
            <w:left w:val="none" w:sz="0" w:space="0" w:color="auto"/>
            <w:bottom w:val="none" w:sz="0" w:space="0" w:color="auto"/>
            <w:right w:val="none" w:sz="0" w:space="0" w:color="auto"/>
          </w:divBdr>
        </w:div>
        <w:div w:id="245383576">
          <w:marLeft w:val="0"/>
          <w:marRight w:val="0"/>
          <w:marTop w:val="0"/>
          <w:marBottom w:val="101"/>
          <w:divBdr>
            <w:top w:val="none" w:sz="0" w:space="0" w:color="auto"/>
            <w:left w:val="none" w:sz="0" w:space="0" w:color="auto"/>
            <w:bottom w:val="none" w:sz="0" w:space="0" w:color="auto"/>
            <w:right w:val="none" w:sz="0" w:space="0" w:color="auto"/>
          </w:divBdr>
        </w:div>
        <w:div w:id="753237577">
          <w:marLeft w:val="0"/>
          <w:marRight w:val="0"/>
          <w:marTop w:val="0"/>
          <w:marBottom w:val="101"/>
          <w:divBdr>
            <w:top w:val="none" w:sz="0" w:space="0" w:color="auto"/>
            <w:left w:val="none" w:sz="0" w:space="0" w:color="auto"/>
            <w:bottom w:val="none" w:sz="0" w:space="0" w:color="auto"/>
            <w:right w:val="none" w:sz="0" w:space="0" w:color="auto"/>
          </w:divBdr>
        </w:div>
        <w:div w:id="843589993">
          <w:marLeft w:val="0"/>
          <w:marRight w:val="0"/>
          <w:marTop w:val="0"/>
          <w:marBottom w:val="101"/>
          <w:divBdr>
            <w:top w:val="none" w:sz="0" w:space="0" w:color="auto"/>
            <w:left w:val="none" w:sz="0" w:space="0" w:color="auto"/>
            <w:bottom w:val="none" w:sz="0" w:space="0" w:color="auto"/>
            <w:right w:val="none" w:sz="0" w:space="0" w:color="auto"/>
          </w:divBdr>
        </w:div>
        <w:div w:id="872306235">
          <w:marLeft w:val="0"/>
          <w:marRight w:val="0"/>
          <w:marTop w:val="0"/>
          <w:marBottom w:val="101"/>
          <w:divBdr>
            <w:top w:val="none" w:sz="0" w:space="0" w:color="auto"/>
            <w:left w:val="none" w:sz="0" w:space="0" w:color="auto"/>
            <w:bottom w:val="none" w:sz="0" w:space="0" w:color="auto"/>
            <w:right w:val="none" w:sz="0" w:space="0" w:color="auto"/>
          </w:divBdr>
        </w:div>
        <w:div w:id="1367413344">
          <w:marLeft w:val="0"/>
          <w:marRight w:val="0"/>
          <w:marTop w:val="0"/>
          <w:marBottom w:val="101"/>
          <w:divBdr>
            <w:top w:val="none" w:sz="0" w:space="0" w:color="auto"/>
            <w:left w:val="none" w:sz="0" w:space="0" w:color="auto"/>
            <w:bottom w:val="none" w:sz="0" w:space="0" w:color="auto"/>
            <w:right w:val="none" w:sz="0" w:space="0" w:color="auto"/>
          </w:divBdr>
        </w:div>
        <w:div w:id="1509907970">
          <w:marLeft w:val="0"/>
          <w:marRight w:val="0"/>
          <w:marTop w:val="0"/>
          <w:marBottom w:val="101"/>
          <w:divBdr>
            <w:top w:val="none" w:sz="0" w:space="0" w:color="auto"/>
            <w:left w:val="none" w:sz="0" w:space="0" w:color="auto"/>
            <w:bottom w:val="none" w:sz="0" w:space="0" w:color="auto"/>
            <w:right w:val="none" w:sz="0" w:space="0" w:color="auto"/>
          </w:divBdr>
        </w:div>
        <w:div w:id="1868450608">
          <w:marLeft w:val="0"/>
          <w:marRight w:val="0"/>
          <w:marTop w:val="0"/>
          <w:marBottom w:val="101"/>
          <w:divBdr>
            <w:top w:val="none" w:sz="0" w:space="0" w:color="auto"/>
            <w:left w:val="none" w:sz="0" w:space="0" w:color="auto"/>
            <w:bottom w:val="none" w:sz="0" w:space="0" w:color="auto"/>
            <w:right w:val="none" w:sz="0" w:space="0" w:color="auto"/>
          </w:divBdr>
        </w:div>
        <w:div w:id="1950773430">
          <w:marLeft w:val="0"/>
          <w:marRight w:val="0"/>
          <w:marTop w:val="0"/>
          <w:marBottom w:val="101"/>
          <w:divBdr>
            <w:top w:val="none" w:sz="0" w:space="0" w:color="auto"/>
            <w:left w:val="none" w:sz="0" w:space="0" w:color="auto"/>
            <w:bottom w:val="none" w:sz="0" w:space="0" w:color="auto"/>
            <w:right w:val="none" w:sz="0" w:space="0" w:color="auto"/>
          </w:divBdr>
        </w:div>
        <w:div w:id="1955670562">
          <w:marLeft w:val="0"/>
          <w:marRight w:val="0"/>
          <w:marTop w:val="0"/>
          <w:marBottom w:val="101"/>
          <w:divBdr>
            <w:top w:val="none" w:sz="0" w:space="0" w:color="auto"/>
            <w:left w:val="none" w:sz="0" w:space="0" w:color="auto"/>
            <w:bottom w:val="none" w:sz="0" w:space="0" w:color="auto"/>
            <w:right w:val="none" w:sz="0" w:space="0" w:color="auto"/>
          </w:divBdr>
        </w:div>
      </w:divsChild>
    </w:div>
    <w:div w:id="1637951696">
      <w:bodyDiv w:val="1"/>
      <w:marLeft w:val="0"/>
      <w:marRight w:val="0"/>
      <w:marTop w:val="0"/>
      <w:marBottom w:val="0"/>
      <w:divBdr>
        <w:top w:val="none" w:sz="0" w:space="0" w:color="auto"/>
        <w:left w:val="none" w:sz="0" w:space="0" w:color="auto"/>
        <w:bottom w:val="none" w:sz="0" w:space="0" w:color="auto"/>
        <w:right w:val="none" w:sz="0" w:space="0" w:color="auto"/>
      </w:divBdr>
    </w:div>
    <w:div w:id="1686125516">
      <w:bodyDiv w:val="1"/>
      <w:marLeft w:val="0"/>
      <w:marRight w:val="0"/>
      <w:marTop w:val="0"/>
      <w:marBottom w:val="0"/>
      <w:divBdr>
        <w:top w:val="none" w:sz="0" w:space="0" w:color="auto"/>
        <w:left w:val="none" w:sz="0" w:space="0" w:color="auto"/>
        <w:bottom w:val="none" w:sz="0" w:space="0" w:color="auto"/>
        <w:right w:val="none" w:sz="0" w:space="0" w:color="auto"/>
      </w:divBdr>
    </w:div>
    <w:div w:id="1750151975">
      <w:bodyDiv w:val="1"/>
      <w:marLeft w:val="0"/>
      <w:marRight w:val="0"/>
      <w:marTop w:val="0"/>
      <w:marBottom w:val="0"/>
      <w:divBdr>
        <w:top w:val="none" w:sz="0" w:space="0" w:color="auto"/>
        <w:left w:val="none" w:sz="0" w:space="0" w:color="auto"/>
        <w:bottom w:val="none" w:sz="0" w:space="0" w:color="auto"/>
        <w:right w:val="none" w:sz="0" w:space="0" w:color="auto"/>
      </w:divBdr>
    </w:div>
    <w:div w:id="1785493284">
      <w:bodyDiv w:val="1"/>
      <w:marLeft w:val="0"/>
      <w:marRight w:val="0"/>
      <w:marTop w:val="0"/>
      <w:marBottom w:val="0"/>
      <w:divBdr>
        <w:top w:val="none" w:sz="0" w:space="0" w:color="auto"/>
        <w:left w:val="none" w:sz="0" w:space="0" w:color="auto"/>
        <w:bottom w:val="none" w:sz="0" w:space="0" w:color="auto"/>
        <w:right w:val="none" w:sz="0" w:space="0" w:color="auto"/>
      </w:divBdr>
      <w:divsChild>
        <w:div w:id="595898">
          <w:marLeft w:val="0"/>
          <w:marRight w:val="0"/>
          <w:marTop w:val="0"/>
          <w:marBottom w:val="101"/>
          <w:divBdr>
            <w:top w:val="none" w:sz="0" w:space="0" w:color="auto"/>
            <w:left w:val="none" w:sz="0" w:space="0" w:color="auto"/>
            <w:bottom w:val="none" w:sz="0" w:space="0" w:color="auto"/>
            <w:right w:val="none" w:sz="0" w:space="0" w:color="auto"/>
          </w:divBdr>
        </w:div>
        <w:div w:id="1502163441">
          <w:marLeft w:val="0"/>
          <w:marRight w:val="0"/>
          <w:marTop w:val="0"/>
          <w:marBottom w:val="101"/>
          <w:divBdr>
            <w:top w:val="none" w:sz="0" w:space="0" w:color="auto"/>
            <w:left w:val="none" w:sz="0" w:space="0" w:color="auto"/>
            <w:bottom w:val="none" w:sz="0" w:space="0" w:color="auto"/>
            <w:right w:val="none" w:sz="0" w:space="0" w:color="auto"/>
          </w:divBdr>
        </w:div>
        <w:div w:id="2062433827">
          <w:marLeft w:val="0"/>
          <w:marRight w:val="0"/>
          <w:marTop w:val="0"/>
          <w:marBottom w:val="101"/>
          <w:divBdr>
            <w:top w:val="none" w:sz="0" w:space="0" w:color="auto"/>
            <w:left w:val="none" w:sz="0" w:space="0" w:color="auto"/>
            <w:bottom w:val="none" w:sz="0" w:space="0" w:color="auto"/>
            <w:right w:val="none" w:sz="0" w:space="0" w:color="auto"/>
          </w:divBdr>
        </w:div>
        <w:div w:id="2067022732">
          <w:marLeft w:val="0"/>
          <w:marRight w:val="0"/>
          <w:marTop w:val="0"/>
          <w:marBottom w:val="101"/>
          <w:divBdr>
            <w:top w:val="none" w:sz="0" w:space="0" w:color="auto"/>
            <w:left w:val="none" w:sz="0" w:space="0" w:color="auto"/>
            <w:bottom w:val="none" w:sz="0" w:space="0" w:color="auto"/>
            <w:right w:val="none" w:sz="0" w:space="0" w:color="auto"/>
          </w:divBdr>
        </w:div>
      </w:divsChild>
    </w:div>
    <w:div w:id="1925139023">
      <w:bodyDiv w:val="1"/>
      <w:marLeft w:val="0"/>
      <w:marRight w:val="0"/>
      <w:marTop w:val="0"/>
      <w:marBottom w:val="0"/>
      <w:divBdr>
        <w:top w:val="none" w:sz="0" w:space="0" w:color="auto"/>
        <w:left w:val="none" w:sz="0" w:space="0" w:color="auto"/>
        <w:bottom w:val="none" w:sz="0" w:space="0" w:color="auto"/>
        <w:right w:val="none" w:sz="0" w:space="0" w:color="auto"/>
      </w:divBdr>
    </w:div>
    <w:div w:id="1956862897">
      <w:bodyDiv w:val="1"/>
      <w:marLeft w:val="0"/>
      <w:marRight w:val="0"/>
      <w:marTop w:val="0"/>
      <w:marBottom w:val="0"/>
      <w:divBdr>
        <w:top w:val="none" w:sz="0" w:space="0" w:color="auto"/>
        <w:left w:val="none" w:sz="0" w:space="0" w:color="auto"/>
        <w:bottom w:val="none" w:sz="0" w:space="0" w:color="auto"/>
        <w:right w:val="none" w:sz="0" w:space="0" w:color="auto"/>
      </w:divBdr>
    </w:div>
    <w:div w:id="2029913188">
      <w:bodyDiv w:val="1"/>
      <w:marLeft w:val="0"/>
      <w:marRight w:val="0"/>
      <w:marTop w:val="0"/>
      <w:marBottom w:val="0"/>
      <w:divBdr>
        <w:top w:val="none" w:sz="0" w:space="0" w:color="auto"/>
        <w:left w:val="none" w:sz="0" w:space="0" w:color="auto"/>
        <w:bottom w:val="none" w:sz="0" w:space="0" w:color="auto"/>
        <w:right w:val="none" w:sz="0" w:space="0" w:color="auto"/>
      </w:divBdr>
    </w:div>
    <w:div w:id="2048218951">
      <w:bodyDiv w:val="1"/>
      <w:marLeft w:val="0"/>
      <w:marRight w:val="0"/>
      <w:marTop w:val="0"/>
      <w:marBottom w:val="0"/>
      <w:divBdr>
        <w:top w:val="none" w:sz="0" w:space="0" w:color="auto"/>
        <w:left w:val="none" w:sz="0" w:space="0" w:color="auto"/>
        <w:bottom w:val="none" w:sz="0" w:space="0" w:color="auto"/>
        <w:right w:val="none" w:sz="0" w:space="0" w:color="auto"/>
      </w:divBdr>
    </w:div>
    <w:div w:id="210248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package" Target="embeddings/Documento_de_Microsoft_Word1.docx"/><Relationship Id="rId39" Type="http://schemas.openxmlformats.org/officeDocument/2006/relationships/header" Target="header9.xml"/><Relationship Id="rId21" Type="http://schemas.openxmlformats.org/officeDocument/2006/relationships/image" Target="media/image7.png"/><Relationship Id="rId34" Type="http://schemas.openxmlformats.org/officeDocument/2006/relationships/package" Target="embeddings/Documento_de_Microsoft_Word5.docx"/><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emf"/><Relationship Id="rId11" Type="http://schemas.openxmlformats.org/officeDocument/2006/relationships/header" Target="header3.xml"/><Relationship Id="rId24" Type="http://schemas.openxmlformats.org/officeDocument/2006/relationships/package" Target="embeddings/Documento_de_Microsoft_Word.docx"/><Relationship Id="rId32" Type="http://schemas.openxmlformats.org/officeDocument/2006/relationships/package" Target="embeddings/Documento_de_Microsoft_Word4.docx"/><Relationship Id="rId37" Type="http://schemas.openxmlformats.org/officeDocument/2006/relationships/package" Target="embeddings/Documento_de_Microsoft_Word6.docx"/><Relationship Id="rId40" Type="http://schemas.openxmlformats.org/officeDocument/2006/relationships/image" Target="media/image17.emf"/><Relationship Id="rId45"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package" Target="embeddings/Documento_de_Microsoft_Word2.docx"/><Relationship Id="rId36" Type="http://schemas.openxmlformats.org/officeDocument/2006/relationships/image" Target="media/image16.emf"/><Relationship Id="rId49"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13.emf"/><Relationship Id="rId44" Type="http://schemas.openxmlformats.org/officeDocument/2006/relationships/header" Target="header1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package" Target="embeddings/Documento_de_Microsoft_Word3.docx"/><Relationship Id="rId35" Type="http://schemas.openxmlformats.org/officeDocument/2006/relationships/image" Target="media/image15.png"/><Relationship Id="rId43" Type="http://schemas.openxmlformats.org/officeDocument/2006/relationships/header" Target="header12.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header" Target="header8.xml"/><Relationship Id="rId46" Type="http://schemas.openxmlformats.org/officeDocument/2006/relationships/header" Target="header14.xml"/><Relationship Id="rId20" Type="http://schemas.openxmlformats.org/officeDocument/2006/relationships/image" Target="media/image6.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38100" algn="ctr">
          <a:solidFill>
            <a:srgbClr val="FF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91440" tIns="45720" rIns="91440" bIns="45720" anchor="ctr"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94C12-3DE6-4DEC-A44E-6C5FAF136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48493</Words>
  <Characters>266716</Characters>
  <Application>Microsoft Office Word</Application>
  <DocSecurity>0</DocSecurity>
  <Lines>2222</Lines>
  <Paragraphs>629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2014-11-26T18:09:00Z</cp:lastPrinted>
  <dcterms:created xsi:type="dcterms:W3CDTF">2018-08-02T21:53:00Z</dcterms:created>
  <dcterms:modified xsi:type="dcterms:W3CDTF">2018-10-09T16:43:00Z</dcterms:modified>
</cp:coreProperties>
</file>